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560" w:lineRule="exact"/>
        <w:rPr>
          <w:rFonts w:ascii="仿宋_GB2312" w:eastAsia="仿宋_GB2312"/>
          <w:b w:val="0"/>
          <w:sz w:val="32"/>
          <w:szCs w:val="32"/>
        </w:rPr>
      </w:pPr>
      <w:bookmarkStart w:id="0" w:name="_Toc4402523"/>
      <w:bookmarkStart w:id="1" w:name="_Toc532568493"/>
      <w:r>
        <w:rPr>
          <w:rFonts w:hint="eastAsia" w:ascii="仿宋_GB2312" w:eastAsia="仿宋_GB2312"/>
          <w:b w:val="0"/>
          <w:sz w:val="32"/>
          <w:szCs w:val="32"/>
        </w:rPr>
        <w:t>附件1：深圳市博物馆事业发展五年规划（2018-2023）暨2035远景目标拟建主要博物馆（或博物馆集聚区）一览表</w:t>
      </w:r>
      <w:bookmarkEnd w:id="0"/>
    </w:p>
    <w:p/>
    <w:bookmarkEnd w:id="1"/>
    <w:tbl>
      <w:tblPr>
        <w:tblStyle w:val="21"/>
        <w:tblW w:w="8424" w:type="dxa"/>
        <w:tblInd w:w="98" w:type="dxa"/>
        <w:tblLayout w:type="fixed"/>
        <w:tblCellMar>
          <w:top w:w="0" w:type="dxa"/>
          <w:left w:w="10" w:type="dxa"/>
          <w:bottom w:w="0" w:type="dxa"/>
          <w:right w:w="10" w:type="dxa"/>
        </w:tblCellMar>
      </w:tblPr>
      <w:tblGrid>
        <w:gridCol w:w="1009"/>
        <w:gridCol w:w="120"/>
        <w:gridCol w:w="3668"/>
        <w:gridCol w:w="205"/>
        <w:gridCol w:w="962"/>
        <w:gridCol w:w="31"/>
        <w:gridCol w:w="615"/>
        <w:gridCol w:w="906"/>
        <w:gridCol w:w="106"/>
        <w:gridCol w:w="802"/>
      </w:tblGrid>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b/>
                <w:sz w:val="28"/>
              </w:rPr>
              <w:t>一、通过新建推出的一批具有国际性、本土化的博物馆</w:t>
            </w: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rPr>
              <w:t>博物馆名称（暂拟）</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rPr>
              <w:t>馆藏定位与特色</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b/>
              </w:rPr>
            </w:pPr>
            <w:r>
              <w:rPr>
                <w:rFonts w:ascii="宋体" w:hAnsi="宋体" w:cs="宋体"/>
                <w:b/>
              </w:rPr>
              <w:t>规模与目标等级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eastAsia="Calibri" w:cs="Calibri"/>
                <w:b/>
              </w:rPr>
            </w:pPr>
            <w:r>
              <w:rPr>
                <w:rFonts w:ascii="宋体" w:hAnsi="宋体" w:cs="宋体"/>
                <w:b/>
              </w:rPr>
              <w:t>隶属</w:t>
            </w:r>
          </w:p>
          <w:p>
            <w:pPr>
              <w:spacing w:line="400" w:lineRule="exact"/>
              <w:rPr>
                <w:b/>
              </w:rPr>
            </w:pPr>
            <w:r>
              <w:rPr>
                <w:rFonts w:ascii="宋体" w:hAnsi="宋体" w:cs="宋体"/>
                <w:b/>
              </w:rPr>
              <w:t>性质</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rPr>
              <w:t>拟建地址</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rPr>
              <w:t>进展与目标</w:t>
            </w: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hint="eastAsia" w:ascii="宋体" w:hAnsi="宋体" w:cs="宋体"/>
                <w:sz w:val="22"/>
              </w:rPr>
              <w:t>中国国家博物馆·深圳馆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该馆拟由深圳市政府与中国国家博物馆合作兴建，中国国家博物馆负责提供馆藏精品和展览；功能定位为中国国家博物馆征集东南亚、海外文物乃至世界文明文物的基地，征集到的文物由中国国家博物馆根据需要挑选后，作为“中国国家博物馆·深圳馆”的馆藏。中国国家博物馆发挥藏品优势，通过轮展、复制或调拨重复品的方式，丰富“中国国家博物馆·深圳馆”的馆藏。双方合作在深圳建设馆藏文物保护实验室，做好馆藏文物的修复及预防性保护，并可辐射到粤港澳大湾区。中国国家博物馆每年举办的国际交流展和临时展览，将“中国国家博物馆·深圳馆”作为展览第二站。</w:t>
            </w:r>
          </w:p>
          <w:p>
            <w:pPr>
              <w:spacing w:line="400" w:lineRule="exact"/>
              <w:jc w:val="center"/>
              <w:rPr>
                <w:rFonts w:ascii="宋体" w:hAnsi="宋体" w:cs="宋体"/>
                <w:b/>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12万平方米</w:t>
            </w:r>
          </w:p>
          <w:p>
            <w:pPr>
              <w:spacing w:line="400" w:lineRule="exact"/>
              <w:rPr>
                <w:rFonts w:ascii="宋体" w:hAnsi="宋体" w:cs="宋体"/>
                <w:sz w:val="22"/>
              </w:rPr>
            </w:pPr>
            <w:r>
              <w:rPr>
                <w:rFonts w:hint="eastAsia" w:ascii="宋体" w:hAnsi="宋体" w:cs="宋体"/>
                <w:sz w:val="22"/>
              </w:rPr>
              <w:t>一级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hint="eastAsia" w:ascii="宋体" w:hAnsi="宋体" w:cs="宋体"/>
              </w:rPr>
              <w:t>前海</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pPr>
            <w:r>
              <w:rPr>
                <w:rFonts w:hint="eastAsia" w:ascii="宋体" w:hAnsi="宋体" w:cs="宋体"/>
              </w:rPr>
              <w:t>前期规划</w:t>
            </w:r>
          </w:p>
        </w:tc>
      </w:tr>
      <w:tr>
        <w:tblPrEx>
          <w:tblLayout w:type="fixed"/>
          <w:tblCellMar>
            <w:top w:w="0" w:type="dxa"/>
            <w:left w:w="10" w:type="dxa"/>
            <w:bottom w:w="0" w:type="dxa"/>
            <w:right w:w="10" w:type="dxa"/>
          </w:tblCellMar>
        </w:tblPrEx>
        <w:trPr>
          <w:trHeight w:val="90" w:hRule="atLeast"/>
        </w:trPr>
        <w:tc>
          <w:tcPr>
            <w:tcW w:w="1009"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深圳改革开放展览馆</w:t>
            </w:r>
          </w:p>
        </w:tc>
        <w:tc>
          <w:tcPr>
            <w:tcW w:w="3993" w:type="dxa"/>
            <w:gridSpan w:val="3"/>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以深圳</w:t>
            </w:r>
            <w:r>
              <w:rPr>
                <w:rFonts w:hint="eastAsia" w:ascii="宋体" w:hAnsi="宋体" w:cs="宋体"/>
              </w:rPr>
              <w:t>改革开放为基础，进而</w:t>
            </w:r>
            <w:r>
              <w:rPr>
                <w:rFonts w:ascii="宋体" w:hAnsi="宋体" w:cs="宋体"/>
                <w:sz w:val="22"/>
              </w:rPr>
              <w:t>全面反映中国改革开放的历史与经验</w:t>
            </w:r>
            <w:r>
              <w:rPr>
                <w:rFonts w:hint="eastAsia" w:ascii="宋体" w:hAnsi="宋体" w:cs="宋体"/>
                <w:sz w:val="22"/>
              </w:rPr>
              <w:t>。设置建设陈列展览区、公共服务区、藏品保管保护区等六大主要功能区。作为以改革开放主题的博物馆，将成为展示和宣传中国改革开放重要成果的“窗口”，以及接待党和国家领导人、外国政要的重要场所。同时，通过整合和优化资源，可打造成中国改革开放的专门研究机构。(待申报获得批准后，调整为中国改革开放博物馆)。</w:t>
            </w:r>
          </w:p>
        </w:tc>
        <w:tc>
          <w:tcPr>
            <w:tcW w:w="993" w:type="dxa"/>
            <w:gridSpan w:val="2"/>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估算投资约15亿元，建筑面积6万平方米。</w:t>
            </w:r>
          </w:p>
          <w:p>
            <w:pPr>
              <w:spacing w:line="400" w:lineRule="exact"/>
              <w:jc w:val="left"/>
              <w:rPr>
                <w:rFonts w:ascii="宋体" w:hAnsi="宋体" w:cs="宋体"/>
              </w:rPr>
            </w:pPr>
          </w:p>
          <w:p>
            <w:pPr>
              <w:spacing w:line="400" w:lineRule="exact"/>
              <w:jc w:val="left"/>
            </w:pPr>
            <w:r>
              <w:rPr>
                <w:rFonts w:hint="eastAsia" w:ascii="宋体" w:hAnsi="宋体" w:cs="宋体"/>
              </w:rPr>
              <w:t>一级</w:t>
            </w:r>
          </w:p>
        </w:tc>
        <w:tc>
          <w:tcPr>
            <w:tcW w:w="615"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hint="eastAsia" w:ascii="宋体" w:hAnsi="宋体" w:cs="宋体"/>
              </w:rPr>
              <w:t>福田区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筹建中</w:t>
            </w:r>
          </w:p>
          <w:p>
            <w:pPr>
              <w:spacing w:line="400" w:lineRule="exact"/>
              <w:rPr>
                <w:rFonts w:ascii="宋体" w:hAnsi="宋体" w:cs="宋体"/>
                <w:sz w:val="22"/>
              </w:rPr>
            </w:pPr>
          </w:p>
        </w:tc>
      </w:tr>
      <w:tr>
        <w:tblPrEx>
          <w:tblLayout w:type="fixed"/>
          <w:tblCellMar>
            <w:top w:w="0" w:type="dxa"/>
            <w:left w:w="10" w:type="dxa"/>
            <w:bottom w:w="0" w:type="dxa"/>
            <w:right w:w="10" w:type="dxa"/>
          </w:tblCellMar>
        </w:tblPrEx>
        <w:trPr>
          <w:trHeight w:val="1990" w:hRule="atLeast"/>
        </w:trPr>
        <w:tc>
          <w:tcPr>
            <w:tcW w:w="1009"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left"/>
            </w:pPr>
            <w:r>
              <w:rPr>
                <w:rFonts w:hint="eastAsia"/>
              </w:rPr>
              <w:t>深圳科学技术馆</w:t>
            </w:r>
          </w:p>
        </w:tc>
        <w:tc>
          <w:tcPr>
            <w:tcW w:w="3993" w:type="dxa"/>
            <w:gridSpan w:val="3"/>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重点展示深圳科技发展成果、科技创新与文化创意融合发展业态、科技创新成果的文化属性及其艺术化体现、文化创意领域中的科技成果等主要内容的专题馆，是集展示与教育、科研与交流、收藏与制作、旅游为一体的大型公益性科普教育文化基础设施。主要通过常设展馆、短期展览、互动体验、参与制作等形式，以参与、体验、互动性展品及数字化展示等手段，对公众进行科普文化教育及开展科学文化交流。</w:t>
            </w:r>
          </w:p>
        </w:tc>
        <w:tc>
          <w:tcPr>
            <w:tcW w:w="993" w:type="dxa"/>
            <w:gridSpan w:val="2"/>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投资估算12亿元，建设规模预估5万平方米</w:t>
            </w:r>
          </w:p>
          <w:p>
            <w:pPr>
              <w:spacing w:line="400" w:lineRule="exact"/>
              <w:jc w:val="left"/>
              <w:rPr>
                <w:rFonts w:ascii="宋体" w:hAnsi="宋体" w:cs="宋体"/>
              </w:rPr>
            </w:pPr>
          </w:p>
          <w:p>
            <w:pPr>
              <w:spacing w:line="400" w:lineRule="exact"/>
              <w:jc w:val="left"/>
              <w:rPr>
                <w:rFonts w:ascii="宋体" w:hAnsi="宋体" w:cs="宋体"/>
              </w:rPr>
            </w:pPr>
            <w:r>
              <w:rPr>
                <w:rFonts w:hint="eastAsia" w:ascii="宋体" w:hAnsi="宋体" w:cs="宋体"/>
              </w:rPr>
              <w:t>一级</w:t>
            </w:r>
          </w:p>
        </w:tc>
        <w:tc>
          <w:tcPr>
            <w:tcW w:w="615"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hint="eastAsia" w:ascii="宋体" w:hAnsi="宋体" w:cs="宋体"/>
              </w:rPr>
              <w:t>光明区</w:t>
            </w:r>
          </w:p>
          <w:p>
            <w:pPr>
              <w:spacing w:line="400" w:lineRule="exact"/>
              <w:jc w:val="center"/>
              <w:rPr>
                <w:rFonts w:ascii="宋体" w:hAnsi="宋体" w:cs="宋体"/>
              </w:rPr>
            </w:pP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前期规划论证</w:t>
            </w:r>
          </w:p>
        </w:tc>
      </w:tr>
      <w:tr>
        <w:tblPrEx>
          <w:tblLayout w:type="fixed"/>
          <w:tblCellMar>
            <w:top w:w="0" w:type="dxa"/>
            <w:left w:w="10" w:type="dxa"/>
            <w:bottom w:w="0" w:type="dxa"/>
            <w:right w:w="10" w:type="dxa"/>
          </w:tblCellMar>
        </w:tblPrEx>
        <w:trPr>
          <w:trHeight w:val="629"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深圳自然博物馆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项目定位为“中国领先，世界一流”的现代大型综合性自然博物馆，以收藏、展览、研究和自然科学教育为四大基本功能，致力于建设成为全国领先的自然历史遗物收藏中心、自然标本陈列展览中心、自然科学研究中心和科普教育中心，建设成为现代化、智慧化、高科技应用程度较高的综合性自然博物馆。同时将成为粤港澳大湾区乃至华南地区第一座大型综合性自然博物馆。</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投资估算57亿元，建设规模预估13万平方米</w:t>
            </w:r>
          </w:p>
          <w:p>
            <w:pPr>
              <w:spacing w:line="400" w:lineRule="exact"/>
              <w:jc w:val="left"/>
              <w:rPr>
                <w:rFonts w:ascii="宋体" w:hAnsi="宋体" w:cs="宋体"/>
              </w:rPr>
            </w:pPr>
          </w:p>
          <w:p>
            <w:pPr>
              <w:spacing w:line="400" w:lineRule="exact"/>
              <w:jc w:val="left"/>
            </w:pPr>
            <w:r>
              <w:rPr>
                <w:rFonts w:ascii="宋体" w:hAnsi="宋体" w:cs="宋体"/>
              </w:rPr>
              <w:t>一级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ascii="宋体" w:hAnsi="宋体" w:cs="宋体"/>
                <w:sz w:val="22"/>
              </w:rPr>
              <w:t>坪山区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筹建中</w:t>
            </w:r>
          </w:p>
        </w:tc>
      </w:tr>
      <w:tr>
        <w:tblPrEx>
          <w:tblLayout w:type="fixed"/>
          <w:tblCellMar>
            <w:top w:w="0" w:type="dxa"/>
            <w:left w:w="10" w:type="dxa"/>
            <w:bottom w:w="0" w:type="dxa"/>
            <w:right w:w="10" w:type="dxa"/>
          </w:tblCellMar>
        </w:tblPrEx>
        <w:trPr>
          <w:trHeight w:val="584"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深圳海洋博物馆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利用深圳得天独厚的海洋资源，打造一座集收藏、展示、研究为一体的生态类博物馆</w:t>
            </w:r>
            <w:r>
              <w:rPr>
                <w:rFonts w:hint="eastAsia" w:ascii="宋体" w:hAnsi="宋体" w:cs="宋体"/>
                <w:sz w:val="22"/>
              </w:rPr>
              <w:t>。凸显深圳海滨城市特点，展示世界海洋自然、海洋科技和海洋人文史，展示人类从认识海洋到开发海洋和保护海洋的过程，体现海洋在人类生存发展过程中发挥的重要作用，是集历史性、文化性和艺术性于一体的标志性建筑。该馆功能包括收藏保护、展示教育科普、科学研究、交流传播、休闲旅游等，是打造深圳全球海洋中心城市的地标性文化设施。</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投资估算20亿元，建设规模预估8万平方米。</w:t>
            </w:r>
          </w:p>
          <w:p>
            <w:pPr>
              <w:spacing w:line="400" w:lineRule="exact"/>
              <w:jc w:val="left"/>
              <w:rPr>
                <w:rFonts w:ascii="宋体" w:hAnsi="宋体" w:cs="宋体"/>
              </w:rPr>
            </w:pPr>
          </w:p>
          <w:p>
            <w:pPr>
              <w:spacing w:line="400" w:lineRule="exact"/>
              <w:jc w:val="center"/>
            </w:pPr>
            <w:r>
              <w:rPr>
                <w:rFonts w:ascii="宋体" w:hAnsi="宋体" w:cs="宋体"/>
              </w:rPr>
              <w:t>一级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hint="eastAsia" w:ascii="宋体" w:hAnsi="宋体" w:cs="宋体"/>
              </w:rPr>
              <w:t>大鹏新区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前期规划论证</w:t>
            </w: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hint="eastAsia" w:ascii="宋体" w:hAnsi="宋体" w:cs="宋体"/>
              </w:rPr>
              <w:t>深圳创意设计馆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hint="eastAsia"/>
              </w:rPr>
              <w:t>主要功能为收藏和展示国际前沿高端设计、历届深圳环球设计大奖、中国设计大展、联合国教科文组织创意城市网络创意设计新锐奖等在深圳举办的重要设计大赛的优秀作品及深圳设计界创作成果，开展当代设计学术研究和国内外设计艺术交流等，将成为展示中国当代设计的窗口，中国设计创意文化的地标，推动中国当代设计与国际设计交流的平台，当代设计的学术研究基地，收藏当代设计精品的重要场所，同时是面向公众进行审美教育、丰富市民文化生活的大型公益性艺术机构。（待申报获得批准后，调整为中国设计馆）</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left"/>
              <w:rPr>
                <w:rFonts w:ascii="宋体" w:hAnsi="宋体" w:cs="宋体"/>
              </w:rPr>
            </w:pPr>
            <w:r>
              <w:rPr>
                <w:rFonts w:hint="eastAsia" w:ascii="宋体" w:hAnsi="宋体" w:cs="宋体"/>
              </w:rPr>
              <w:t>投资估算12亿元，建设规模预估6万平方米</w:t>
            </w:r>
          </w:p>
          <w:p>
            <w:pPr>
              <w:spacing w:line="400" w:lineRule="exact"/>
              <w:jc w:val="left"/>
              <w:rPr>
                <w:rFonts w:ascii="宋体" w:hAnsi="宋体" w:cs="宋体"/>
              </w:rPr>
            </w:pPr>
          </w:p>
          <w:p>
            <w:pPr>
              <w:spacing w:line="400" w:lineRule="exact"/>
              <w:jc w:val="center"/>
            </w:pPr>
            <w:r>
              <w:rPr>
                <w:rFonts w:hint="eastAsia" w:ascii="宋体" w:hAnsi="宋体" w:cs="宋体"/>
              </w:rPr>
              <w:t>一级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hint="eastAsia" w:ascii="宋体" w:hAnsi="宋体" w:cs="宋体"/>
              </w:rPr>
              <w:t>南山后海片区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前期规划论证</w:t>
            </w:r>
          </w:p>
        </w:tc>
      </w:tr>
      <w:tr>
        <w:tblPrEx>
          <w:tblLayout w:type="fixed"/>
          <w:tblCellMar>
            <w:top w:w="0" w:type="dxa"/>
            <w:left w:w="10" w:type="dxa"/>
            <w:bottom w:w="0" w:type="dxa"/>
            <w:right w:w="10" w:type="dxa"/>
          </w:tblCellMar>
        </w:tblPrEx>
        <w:trPr>
          <w:trHeight w:val="2225"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深圳儿童博物馆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采用以游戏化、探究式互动参与为主的多样化展教方式，鼓励儿童亲身体验、积极思考，锻炼能力，激发对世界的好奇与兴趣</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eastAsia="Calibri" w:cs="Calibri"/>
              </w:rPr>
            </w:pPr>
            <w:r>
              <w:rPr>
                <w:rFonts w:ascii="宋体" w:hAnsi="宋体" w:cs="宋体"/>
              </w:rPr>
              <w:t>中型</w:t>
            </w:r>
          </w:p>
          <w:p>
            <w:pPr>
              <w:spacing w:line="400" w:lineRule="exact"/>
              <w:jc w:val="center"/>
            </w:pPr>
            <w:r>
              <w:rPr>
                <w:rFonts w:ascii="宋体" w:hAnsi="宋体" w:cs="宋体"/>
              </w:rPr>
              <w:t>二级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行业</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福田区景田妇儿大厦</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前期规划论证</w:t>
            </w: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咸头岭新石器</w:t>
            </w:r>
            <w:r>
              <w:rPr>
                <w:rFonts w:hint="eastAsia" w:ascii="宋体" w:hAnsi="宋体" w:cs="宋体"/>
              </w:rPr>
              <w:t>时代</w:t>
            </w:r>
            <w:r>
              <w:rPr>
                <w:rFonts w:ascii="宋体" w:hAnsi="宋体" w:cs="宋体"/>
              </w:rPr>
              <w:t>遗址博物馆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sz w:val="22"/>
              </w:rPr>
              <w:t>易地建馆（因遗址濒临海滩），收藏、展示</w:t>
            </w:r>
            <w:r>
              <w:rPr>
                <w:rFonts w:ascii="宋体" w:hAnsi="宋体" w:cs="宋体"/>
              </w:rPr>
              <w:t>遗址出土文物，复原深圳近7000年前的远古历史</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eastAsia="Calibri" w:cs="Calibri"/>
              </w:rPr>
            </w:pPr>
            <w:r>
              <w:rPr>
                <w:rFonts w:ascii="宋体" w:hAnsi="宋体" w:cs="宋体"/>
              </w:rPr>
              <w:t>中型</w:t>
            </w:r>
          </w:p>
          <w:p>
            <w:pPr>
              <w:spacing w:line="400" w:lineRule="exact"/>
              <w:jc w:val="center"/>
            </w:pPr>
            <w:r>
              <w:rPr>
                <w:rFonts w:ascii="宋体" w:hAnsi="宋体" w:cs="宋体"/>
              </w:rPr>
              <w:t>二级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大鹏新区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深圳城中村博物馆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通过“城中村”的保护和开发利用，反映深圳城市化进程</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eastAsia="Calibri" w:cs="Calibri"/>
              </w:rPr>
            </w:pPr>
            <w:r>
              <w:rPr>
                <w:rFonts w:ascii="宋体" w:hAnsi="宋体" w:cs="宋体"/>
              </w:rPr>
              <w:t>中型</w:t>
            </w:r>
          </w:p>
          <w:p>
            <w:pPr>
              <w:spacing w:line="400" w:lineRule="exact"/>
              <w:jc w:val="center"/>
            </w:pPr>
            <w:r>
              <w:rPr>
                <w:rFonts w:ascii="宋体" w:hAnsi="宋体" w:cs="宋体"/>
              </w:rPr>
              <w:t>二级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sz w:val="22"/>
              </w:rPr>
            </w:pP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福田区下沙村</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p>
        </w:tc>
      </w:tr>
      <w:tr>
        <w:tblPrEx>
          <w:tblLayout w:type="fixed"/>
          <w:tblCellMar>
            <w:top w:w="0" w:type="dxa"/>
            <w:left w:w="10" w:type="dxa"/>
            <w:bottom w:w="0" w:type="dxa"/>
            <w:right w:w="10" w:type="dxa"/>
          </w:tblCellMar>
        </w:tblPrEx>
        <w:trPr>
          <w:trHeight w:val="1" w:hRule="atLeast"/>
        </w:trPr>
        <w:tc>
          <w:tcPr>
            <w:tcW w:w="10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hint="eastAsia" w:ascii="宋体" w:hAnsi="宋体" w:cs="宋体"/>
              </w:rPr>
              <w:t>中国非遗展演中心（深圳非物质文化遗产博物馆）</w:t>
            </w:r>
          </w:p>
        </w:tc>
        <w:tc>
          <w:tcPr>
            <w:tcW w:w="399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在全面反映深圳非遗的基础上，引进国内其他省市富有代表性的非遗项目，“活化”保护与利用</w:t>
            </w:r>
          </w:p>
        </w:tc>
        <w:tc>
          <w:tcPr>
            <w:tcW w:w="993"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eastAsia="Calibri" w:cs="Calibri"/>
              </w:rPr>
            </w:pPr>
            <w:r>
              <w:rPr>
                <w:rFonts w:ascii="宋体" w:hAnsi="宋体" w:cs="宋体"/>
              </w:rPr>
              <w:t>中型</w:t>
            </w:r>
          </w:p>
          <w:p>
            <w:pPr>
              <w:spacing w:line="400" w:lineRule="exact"/>
              <w:jc w:val="center"/>
            </w:pPr>
            <w:r>
              <w:rPr>
                <w:rFonts w:ascii="宋体" w:hAnsi="宋体" w:cs="宋体"/>
              </w:rPr>
              <w:t>二级</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ascii="宋体" w:hAnsi="宋体" w:cs="宋体"/>
              </w:rPr>
              <w:t>国有</w:t>
            </w:r>
          </w:p>
        </w:tc>
        <w:tc>
          <w:tcPr>
            <w:tcW w:w="101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rPr>
            </w:pPr>
            <w:r>
              <w:rPr>
                <w:rFonts w:hint="eastAsia" w:ascii="宋体" w:hAnsi="宋体" w:cs="宋体"/>
              </w:rPr>
              <w:t>南山区、罗湖区或龙岗区</w:t>
            </w:r>
          </w:p>
        </w:tc>
        <w:tc>
          <w:tcPr>
            <w:tcW w:w="8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p>
        </w:tc>
      </w:tr>
      <w:tr>
        <w:tblPrEx>
          <w:tblLayout w:type="fixed"/>
          <w:tblCellMar>
            <w:top w:w="0" w:type="dxa"/>
            <w:left w:w="10" w:type="dxa"/>
            <w:bottom w:w="0" w:type="dxa"/>
            <w:right w:w="10" w:type="dxa"/>
          </w:tblCellMar>
        </w:tblPrEx>
        <w:trPr>
          <w:trHeight w:val="520"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b/>
                <w:sz w:val="28"/>
              </w:rPr>
              <w:t>二、通过推进现有博物馆的优化重组和转型升级产生新的博物馆</w:t>
            </w:r>
          </w:p>
        </w:tc>
      </w:tr>
      <w:tr>
        <w:tblPrEx>
          <w:tblLayout w:type="fixed"/>
          <w:tblCellMar>
            <w:top w:w="0" w:type="dxa"/>
            <w:left w:w="10" w:type="dxa"/>
            <w:bottom w:w="0" w:type="dxa"/>
            <w:right w:w="10" w:type="dxa"/>
          </w:tblCellMar>
        </w:tblPrEx>
        <w:trPr>
          <w:trHeight w:val="1445" w:hRule="atLeast"/>
        </w:trPr>
        <w:tc>
          <w:tcPr>
            <w:tcW w:w="112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sz w:val="24"/>
              </w:rPr>
              <w:t>博物馆名称（暂拟）</w:t>
            </w:r>
          </w:p>
        </w:tc>
        <w:tc>
          <w:tcPr>
            <w:tcW w:w="3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sz w:val="24"/>
              </w:rPr>
              <w:t>馆藏特色定位</w:t>
            </w:r>
          </w:p>
        </w:tc>
        <w:tc>
          <w:tcPr>
            <w:tcW w:w="116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sz w:val="24"/>
              </w:rPr>
              <w:t>规模与目标等级</w:t>
            </w:r>
          </w:p>
        </w:tc>
        <w:tc>
          <w:tcPr>
            <w:tcW w:w="64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sz w:val="22"/>
              </w:rPr>
            </w:pP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sz w:val="24"/>
              </w:rPr>
              <w:t>拟建地址</w:t>
            </w:r>
          </w:p>
        </w:tc>
        <w:tc>
          <w:tcPr>
            <w:tcW w:w="90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ascii="宋体" w:hAnsi="宋体" w:cs="宋体"/>
                <w:b/>
              </w:rPr>
            </w:pPr>
            <w:r>
              <w:rPr>
                <w:rFonts w:ascii="宋体" w:hAnsi="宋体" w:cs="宋体"/>
                <w:b/>
                <w:sz w:val="24"/>
              </w:rPr>
              <w:t>目前进展与目标建成期</w:t>
            </w:r>
          </w:p>
        </w:tc>
      </w:tr>
      <w:tr>
        <w:tblPrEx>
          <w:tblLayout w:type="fixed"/>
          <w:tblCellMar>
            <w:top w:w="0" w:type="dxa"/>
            <w:left w:w="10" w:type="dxa"/>
            <w:bottom w:w="0" w:type="dxa"/>
            <w:right w:w="10" w:type="dxa"/>
          </w:tblCellMar>
        </w:tblPrEx>
        <w:trPr>
          <w:trHeight w:val="1" w:hRule="atLeast"/>
        </w:trPr>
        <w:tc>
          <w:tcPr>
            <w:tcW w:w="112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sz w:val="24"/>
              </w:rPr>
              <w:t>深圳革命历史博物馆</w:t>
            </w:r>
          </w:p>
        </w:tc>
        <w:tc>
          <w:tcPr>
            <w:tcW w:w="3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sz w:val="24"/>
              </w:rPr>
              <w:t>将深圳</w:t>
            </w:r>
            <w:r>
              <w:rPr>
                <w:rFonts w:hint="eastAsia" w:ascii="宋体" w:hAnsi="宋体" w:cs="宋体"/>
                <w:sz w:val="24"/>
              </w:rPr>
              <w:t>市坪山区</w:t>
            </w:r>
            <w:r>
              <w:rPr>
                <w:rFonts w:ascii="宋体" w:hAnsi="宋体" w:cs="宋体"/>
                <w:sz w:val="24"/>
              </w:rPr>
              <w:t>东江纵队纪念馆与其他“红色景点”整合为深圳革命历史博物馆</w:t>
            </w:r>
          </w:p>
        </w:tc>
        <w:tc>
          <w:tcPr>
            <w:tcW w:w="116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rFonts w:eastAsia="Calibri" w:cs="Calibri"/>
                <w:sz w:val="24"/>
              </w:rPr>
            </w:pPr>
            <w:r>
              <w:rPr>
                <w:rFonts w:ascii="宋体" w:hAnsi="宋体" w:cs="宋体"/>
                <w:sz w:val="24"/>
              </w:rPr>
              <w:t>小型</w:t>
            </w:r>
          </w:p>
          <w:p>
            <w:pPr>
              <w:spacing w:line="400" w:lineRule="exact"/>
              <w:jc w:val="center"/>
            </w:pPr>
            <w:r>
              <w:rPr>
                <w:rFonts w:ascii="宋体" w:hAnsi="宋体" w:cs="宋体"/>
                <w:sz w:val="24"/>
              </w:rPr>
              <w:t>三级</w:t>
            </w:r>
          </w:p>
        </w:tc>
        <w:tc>
          <w:tcPr>
            <w:tcW w:w="64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rPr>
              <w:t>国有</w:t>
            </w:r>
          </w:p>
        </w:tc>
        <w:tc>
          <w:tcPr>
            <w:tcW w:w="9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r>
              <w:rPr>
                <w:rFonts w:ascii="宋体" w:hAnsi="宋体" w:cs="宋体"/>
                <w:sz w:val="22"/>
              </w:rPr>
              <w:t>坪山区坪山街道东纵路</w:t>
            </w:r>
          </w:p>
        </w:tc>
        <w:tc>
          <w:tcPr>
            <w:tcW w:w="90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sz w:val="22"/>
              </w:rPr>
            </w:pPr>
          </w:p>
        </w:tc>
      </w:tr>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b/>
                <w:sz w:val="28"/>
              </w:rPr>
              <w:t>三、通过创新体制，建设一批行业博物馆，重点打造几座标杆式非国有博物馆。</w:t>
            </w:r>
          </w:p>
        </w:tc>
      </w:tr>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pPr>
            <w:r>
              <w:rPr>
                <w:rFonts w:eastAsia="Calibri" w:cs="Calibri"/>
                <w:sz w:val="24"/>
              </w:rPr>
              <w:t>1</w:t>
            </w:r>
            <w:r>
              <w:rPr>
                <w:rFonts w:ascii="宋体" w:hAnsi="宋体" w:cs="宋体"/>
                <w:sz w:val="24"/>
              </w:rPr>
              <w:t>、借鉴上海等地发展行业博物馆的做法与经验，相关政府机关、单位、企业、社会团体与文化部门携手，规划建设一批行业博物馆。例如公安消防博物馆、法治博物馆、口岸博物馆、城市交通博物馆、数字通讯博物馆（腾讯公司）、金融证券博物馆（证券交易所）、钱币博物馆（中国人民银行）</w:t>
            </w:r>
            <w:r>
              <w:rPr>
                <w:rFonts w:hint="eastAsia" w:ascii="宋体" w:hAnsi="宋体" w:cs="宋体"/>
                <w:sz w:val="24"/>
              </w:rPr>
              <w:t>、</w:t>
            </w:r>
            <w:r>
              <w:rPr>
                <w:rFonts w:ascii="宋体" w:hAnsi="宋体" w:cs="宋体"/>
                <w:sz w:val="24"/>
              </w:rPr>
              <w:t>保险文化博物馆（平安保险）、水务博物馆、体育博物馆、现代设计博物馆（深圳大学）、服饰文化博物馆（服装行业协会）、玩具博物馆（玩具行业协会）等。</w:t>
            </w:r>
          </w:p>
        </w:tc>
      </w:tr>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pPr>
            <w:r>
              <w:rPr>
                <w:rFonts w:eastAsia="Calibri" w:cs="Calibri"/>
                <w:sz w:val="24"/>
              </w:rPr>
              <w:t>2</w:t>
            </w:r>
            <w:r>
              <w:rPr>
                <w:rFonts w:ascii="宋体" w:hAnsi="宋体" w:cs="宋体"/>
                <w:sz w:val="24"/>
              </w:rPr>
              <w:t>、切实解决非国有博物馆在生存发展上的“瓶颈”问题；修改完善《深圳市</w:t>
            </w:r>
            <w:r>
              <w:rPr>
                <w:rFonts w:hint="eastAsia" w:ascii="宋体" w:hAnsi="宋体" w:cs="宋体"/>
                <w:sz w:val="24"/>
              </w:rPr>
              <w:t>非国有</w:t>
            </w:r>
            <w:r>
              <w:rPr>
                <w:rFonts w:ascii="宋体" w:hAnsi="宋体" w:cs="宋体"/>
                <w:sz w:val="24"/>
              </w:rPr>
              <w:t>博物馆扶持办法》，在经费补贴、场馆建设、寄展服务、业务帮扶、人才引进等方面，进一步加大对非国有博物馆的扶持力度；改革管理模式，引入竞争机制，实行绩效评估，进行分级管理，重点打造</w:t>
            </w:r>
            <w:r>
              <w:rPr>
                <w:rFonts w:hint="eastAsia" w:ascii="宋体" w:hAnsi="宋体" w:cs="宋体"/>
                <w:sz w:val="24"/>
              </w:rPr>
              <w:t>若干</w:t>
            </w:r>
            <w:r>
              <w:rPr>
                <w:rFonts w:ascii="宋体" w:hAnsi="宋体" w:cs="宋体"/>
                <w:sz w:val="24"/>
              </w:rPr>
              <w:t>座标杆式非国有博物馆</w:t>
            </w:r>
            <w:r>
              <w:rPr>
                <w:rFonts w:hint="eastAsia" w:ascii="宋体" w:hAnsi="宋体" w:cs="宋体"/>
                <w:sz w:val="24"/>
              </w:rPr>
              <w:t>。</w:t>
            </w:r>
          </w:p>
        </w:tc>
      </w:tr>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rPr>
                <w:rFonts w:ascii="宋体" w:hAnsi="宋体" w:cs="宋体"/>
              </w:rPr>
            </w:pPr>
            <w:r>
              <w:rPr>
                <w:rFonts w:ascii="宋体" w:hAnsi="宋体" w:cs="宋体"/>
                <w:b/>
                <w:sz w:val="28"/>
              </w:rPr>
              <w:t>四、打造博物馆群落，建设公园特色博物馆。</w:t>
            </w:r>
          </w:p>
        </w:tc>
      </w:tr>
      <w:tr>
        <w:tblPrEx>
          <w:tblLayout w:type="fixed"/>
          <w:tblCellMar>
            <w:top w:w="0" w:type="dxa"/>
            <w:left w:w="10" w:type="dxa"/>
            <w:bottom w:w="0" w:type="dxa"/>
            <w:right w:w="10" w:type="dxa"/>
          </w:tblCellMar>
        </w:tblPrEx>
        <w:trPr>
          <w:trHeight w:val="1"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pPr>
            <w:r>
              <w:rPr>
                <w:rFonts w:eastAsia="Calibri" w:cs="Calibri"/>
                <w:sz w:val="24"/>
              </w:rPr>
              <w:t>1</w:t>
            </w:r>
            <w:r>
              <w:rPr>
                <w:rFonts w:ascii="宋体" w:hAnsi="宋体" w:cs="宋体"/>
                <w:sz w:val="24"/>
              </w:rPr>
              <w:t>、建设“安托山”博物馆集聚区。</w:t>
            </w:r>
            <w:r>
              <w:rPr>
                <w:rFonts w:hint="eastAsia" w:ascii="宋体" w:hAnsi="宋体" w:cs="宋体"/>
                <w:sz w:val="24"/>
              </w:rPr>
              <w:t>整合</w:t>
            </w:r>
            <w:r>
              <w:rPr>
                <w:rFonts w:ascii="宋体" w:hAnsi="宋体" w:cs="宋体"/>
                <w:sz w:val="24"/>
              </w:rPr>
              <w:t>深圳本地的办馆资源，将一些散落各处、运营困难的博物馆集中于安托山公园内，使之融为一个整体，形成集聚效应，增强自身活力和“造血”功能。</w:t>
            </w:r>
          </w:p>
        </w:tc>
      </w:tr>
      <w:tr>
        <w:tblPrEx>
          <w:tblLayout w:type="fixed"/>
          <w:tblCellMar>
            <w:top w:w="0" w:type="dxa"/>
            <w:left w:w="10" w:type="dxa"/>
            <w:bottom w:w="0" w:type="dxa"/>
            <w:right w:w="10" w:type="dxa"/>
          </w:tblCellMar>
        </w:tblPrEx>
        <w:trPr>
          <w:trHeight w:val="1125" w:hRule="atLeast"/>
        </w:trPr>
        <w:tc>
          <w:tcPr>
            <w:tcW w:w="8424"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pPr>
            <w:r>
              <w:rPr>
                <w:rFonts w:eastAsia="Calibri" w:cs="Calibri"/>
                <w:sz w:val="24"/>
              </w:rPr>
              <w:t>2</w:t>
            </w:r>
            <w:r>
              <w:rPr>
                <w:rFonts w:ascii="宋体" w:hAnsi="宋体" w:cs="宋体"/>
                <w:sz w:val="24"/>
              </w:rPr>
              <w:t>、建设公园特色博物馆：配合公园“文化提升工程”，</w:t>
            </w:r>
            <w:r>
              <w:rPr>
                <w:rFonts w:hint="eastAsia" w:ascii="宋体" w:hAnsi="宋体" w:cs="宋体"/>
                <w:sz w:val="24"/>
              </w:rPr>
              <w:t>建设公园特色博物馆，</w:t>
            </w:r>
            <w:r>
              <w:rPr>
                <w:rFonts w:ascii="宋体" w:hAnsi="宋体" w:cs="宋体"/>
                <w:sz w:val="24"/>
              </w:rPr>
              <w:t>在中心公园、中山公园、仙湖植物园等</w:t>
            </w:r>
            <w:r>
              <w:rPr>
                <w:rFonts w:hint="eastAsia" w:ascii="宋体" w:hAnsi="宋体" w:cs="宋体"/>
                <w:sz w:val="24"/>
              </w:rPr>
              <w:t>地</w:t>
            </w:r>
            <w:r>
              <w:rPr>
                <w:rFonts w:ascii="宋体" w:hAnsi="宋体" w:cs="宋体"/>
                <w:sz w:val="24"/>
              </w:rPr>
              <w:t>，规划建设与自身环境相协调的特色博物馆。</w:t>
            </w:r>
          </w:p>
        </w:tc>
      </w:tr>
    </w:tbl>
    <w:p>
      <w:pPr>
        <w:spacing w:line="240" w:lineRule="atLeast"/>
        <w:rPr>
          <w:rFonts w:ascii="仿宋_GB2312" w:eastAsia="仿宋_GB2312"/>
          <w:sz w:val="32"/>
          <w:szCs w:val="32"/>
        </w:rPr>
      </w:pPr>
      <w:bookmarkStart w:id="2" w:name="_Toc1503"/>
    </w:p>
    <w:bookmarkEnd w:id="2"/>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7B2F"/>
    <w:rsid w:val="000F4220"/>
    <w:rsid w:val="0037425F"/>
    <w:rsid w:val="00385EC5"/>
    <w:rsid w:val="003D2806"/>
    <w:rsid w:val="00450DAA"/>
    <w:rsid w:val="007F7711"/>
    <w:rsid w:val="00A553EB"/>
    <w:rsid w:val="00A57B2F"/>
    <w:rsid w:val="00B55235"/>
    <w:rsid w:val="00C87F44"/>
    <w:rsid w:val="00C92BE3"/>
    <w:rsid w:val="00CC1395"/>
    <w:rsid w:val="15040448"/>
    <w:rsid w:val="52360364"/>
    <w:rsid w:val="5C66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
    <w:pPr>
      <w:keepNext/>
      <w:keepLines/>
      <w:spacing w:before="260" w:after="260" w:line="416" w:lineRule="auto"/>
      <w:outlineLvl w:val="2"/>
    </w:pPr>
    <w:rPr>
      <w:b/>
      <w:bCs/>
      <w:sz w:val="32"/>
      <w:szCs w:val="32"/>
    </w:rPr>
  </w:style>
  <w:style w:type="paragraph" w:styleId="5">
    <w:name w:val="heading 4"/>
    <w:basedOn w:val="1"/>
    <w:next w:val="1"/>
    <w:link w:val="30"/>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050"/>
      <w:jc w:val="left"/>
    </w:pPr>
    <w:rPr>
      <w:sz w:val="20"/>
      <w:szCs w:val="20"/>
    </w:rPr>
  </w:style>
  <w:style w:type="paragraph" w:styleId="7">
    <w:name w:val="toc 5"/>
    <w:basedOn w:val="1"/>
    <w:next w:val="1"/>
    <w:unhideWhenUsed/>
    <w:qFormat/>
    <w:uiPriority w:val="39"/>
    <w:pPr>
      <w:ind w:left="630"/>
      <w:jc w:val="left"/>
    </w:pPr>
    <w:rPr>
      <w:sz w:val="20"/>
      <w:szCs w:val="20"/>
    </w:rPr>
  </w:style>
  <w:style w:type="paragraph" w:styleId="8">
    <w:name w:val="toc 3"/>
    <w:basedOn w:val="1"/>
    <w:next w:val="1"/>
    <w:unhideWhenUsed/>
    <w:qFormat/>
    <w:uiPriority w:val="39"/>
    <w:pPr>
      <w:ind w:left="210"/>
      <w:jc w:val="left"/>
    </w:pPr>
    <w:rPr>
      <w:sz w:val="20"/>
      <w:szCs w:val="20"/>
    </w:rPr>
  </w:style>
  <w:style w:type="paragraph" w:styleId="9">
    <w:name w:val="toc 8"/>
    <w:basedOn w:val="1"/>
    <w:next w:val="1"/>
    <w:unhideWhenUsed/>
    <w:qFormat/>
    <w:uiPriority w:val="39"/>
    <w:pPr>
      <w:ind w:left="1260"/>
      <w:jc w:val="left"/>
    </w:pPr>
    <w:rPr>
      <w:sz w:val="20"/>
      <w:szCs w:val="20"/>
    </w:rPr>
  </w:style>
  <w:style w:type="paragraph" w:styleId="10">
    <w:name w:val="Date"/>
    <w:basedOn w:val="1"/>
    <w:next w:val="1"/>
    <w:link w:val="37"/>
    <w:unhideWhenUsed/>
    <w:qFormat/>
    <w:uiPriority w:val="99"/>
    <w:pPr>
      <w:ind w:left="100" w:leftChars="2500"/>
    </w:pPr>
  </w:style>
  <w:style w:type="paragraph" w:styleId="11">
    <w:name w:val="Balloon Text"/>
    <w:basedOn w:val="1"/>
    <w:link w:val="38"/>
    <w:unhideWhenUsed/>
    <w:qFormat/>
    <w:uiPriority w:val="99"/>
    <w:rPr>
      <w:rFonts w:asciiTheme="minorHAnsi" w:hAnsiTheme="minorHAnsi" w:eastAsiaTheme="minorEastAsia" w:cstheme="minorBidi"/>
      <w:sz w:val="18"/>
      <w:szCs w:val="18"/>
    </w:rPr>
  </w:style>
  <w:style w:type="paragraph" w:styleId="12">
    <w:name w:val="footer"/>
    <w:basedOn w:val="1"/>
    <w:link w:val="3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4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pPr>
      <w:spacing w:before="360"/>
      <w:jc w:val="left"/>
    </w:pPr>
    <w:rPr>
      <w:rFonts w:ascii="Cambria" w:hAnsi="Cambria"/>
      <w:b/>
      <w:bCs/>
      <w:caps/>
      <w:sz w:val="24"/>
      <w:szCs w:val="24"/>
    </w:rPr>
  </w:style>
  <w:style w:type="paragraph" w:styleId="15">
    <w:name w:val="toc 4"/>
    <w:basedOn w:val="1"/>
    <w:next w:val="1"/>
    <w:unhideWhenUsed/>
    <w:qFormat/>
    <w:uiPriority w:val="39"/>
    <w:pPr>
      <w:ind w:left="420"/>
      <w:jc w:val="left"/>
    </w:pPr>
    <w:rPr>
      <w:sz w:val="20"/>
      <w:szCs w:val="20"/>
    </w:rPr>
  </w:style>
  <w:style w:type="paragraph" w:styleId="16">
    <w:name w:val="footnote text"/>
    <w:basedOn w:val="1"/>
    <w:link w:val="36"/>
    <w:qFormat/>
    <w:uiPriority w:val="99"/>
    <w:pPr>
      <w:snapToGrid w:val="0"/>
      <w:jc w:val="left"/>
    </w:pPr>
    <w:rPr>
      <w:rFonts w:asciiTheme="minorHAnsi" w:hAnsiTheme="minorHAnsi" w:eastAsiaTheme="minorEastAsia" w:cstheme="minorBidi"/>
      <w:sz w:val="18"/>
      <w:szCs w:val="24"/>
    </w:rPr>
  </w:style>
  <w:style w:type="paragraph" w:styleId="17">
    <w:name w:val="toc 6"/>
    <w:basedOn w:val="1"/>
    <w:next w:val="1"/>
    <w:unhideWhenUsed/>
    <w:qFormat/>
    <w:uiPriority w:val="39"/>
    <w:pPr>
      <w:ind w:left="840"/>
      <w:jc w:val="left"/>
    </w:pPr>
    <w:rPr>
      <w:sz w:val="20"/>
      <w:szCs w:val="20"/>
    </w:rPr>
  </w:style>
  <w:style w:type="paragraph" w:styleId="18">
    <w:name w:val="toc 2"/>
    <w:basedOn w:val="1"/>
    <w:next w:val="1"/>
    <w:unhideWhenUsed/>
    <w:qFormat/>
    <w:uiPriority w:val="39"/>
    <w:pPr>
      <w:spacing w:before="240"/>
      <w:jc w:val="left"/>
    </w:pPr>
    <w:rPr>
      <w:b/>
      <w:bCs/>
      <w:sz w:val="20"/>
      <w:szCs w:val="20"/>
    </w:rPr>
  </w:style>
  <w:style w:type="paragraph" w:styleId="19">
    <w:name w:val="toc 9"/>
    <w:basedOn w:val="1"/>
    <w:next w:val="1"/>
    <w:unhideWhenUsed/>
    <w:qFormat/>
    <w:uiPriority w:val="39"/>
    <w:pPr>
      <w:ind w:left="1470"/>
      <w:jc w:val="left"/>
    </w:pPr>
    <w:rPr>
      <w:sz w:val="20"/>
      <w:szCs w:val="20"/>
    </w:rPr>
  </w:style>
  <w:style w:type="paragraph" w:styleId="20">
    <w:name w:val="Normal (Web)"/>
    <w:basedOn w:val="1"/>
    <w:qFormat/>
    <w:uiPriority w:val="0"/>
    <w:pPr>
      <w:spacing w:beforeAutospacing="1" w:afterAutospacing="1"/>
      <w:jc w:val="left"/>
    </w:pPr>
    <w:rPr>
      <w:kern w:val="0"/>
      <w:sz w:val="24"/>
      <w:szCs w:val="24"/>
    </w:rPr>
  </w:style>
  <w:style w:type="table" w:styleId="22">
    <w:name w:val="Table Grid"/>
    <w:basedOn w:val="21"/>
    <w:qFormat/>
    <w:uiPriority w:val="0"/>
    <w:pPr>
      <w:widowControl w:val="0"/>
      <w:spacing w:line="240" w:lineRule="auto"/>
      <w:ind w:firstLine="0" w:firstLineChars="0"/>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basedOn w:val="23"/>
    <w:unhideWhenUsed/>
    <w:qFormat/>
    <w:uiPriority w:val="99"/>
    <w:rPr>
      <w:color w:val="0000FF"/>
      <w:u w:val="single"/>
    </w:rPr>
  </w:style>
  <w:style w:type="character" w:styleId="26">
    <w:name w:val="footnote reference"/>
    <w:basedOn w:val="23"/>
    <w:unhideWhenUsed/>
    <w:qFormat/>
    <w:uiPriority w:val="99"/>
    <w:rPr>
      <w:vertAlign w:val="superscript"/>
    </w:rPr>
  </w:style>
  <w:style w:type="character" w:customStyle="1" w:styleId="27">
    <w:name w:val="标题 1 Char"/>
    <w:basedOn w:val="23"/>
    <w:link w:val="2"/>
    <w:qFormat/>
    <w:uiPriority w:val="9"/>
    <w:rPr>
      <w:rFonts w:ascii="Calibri" w:hAnsi="Calibri" w:eastAsia="宋体" w:cs="Times New Roman"/>
      <w:b/>
      <w:bCs/>
      <w:kern w:val="44"/>
      <w:sz w:val="44"/>
      <w:szCs w:val="44"/>
    </w:rPr>
  </w:style>
  <w:style w:type="character" w:customStyle="1" w:styleId="28">
    <w:name w:val="标题 2 Char"/>
    <w:basedOn w:val="23"/>
    <w:link w:val="3"/>
    <w:qFormat/>
    <w:uiPriority w:val="9"/>
    <w:rPr>
      <w:rFonts w:ascii="Cambria" w:hAnsi="Cambria" w:eastAsia="宋体" w:cs="Times New Roman"/>
      <w:b/>
      <w:bCs/>
      <w:sz w:val="32"/>
      <w:szCs w:val="32"/>
    </w:rPr>
  </w:style>
  <w:style w:type="character" w:customStyle="1" w:styleId="29">
    <w:name w:val="标题 3 Char"/>
    <w:basedOn w:val="23"/>
    <w:link w:val="4"/>
    <w:qFormat/>
    <w:uiPriority w:val="9"/>
    <w:rPr>
      <w:rFonts w:ascii="Calibri" w:hAnsi="Calibri" w:eastAsia="宋体" w:cs="Times New Roman"/>
      <w:b/>
      <w:bCs/>
      <w:sz w:val="32"/>
      <w:szCs w:val="32"/>
    </w:rPr>
  </w:style>
  <w:style w:type="character" w:customStyle="1" w:styleId="30">
    <w:name w:val="标题 4 Char"/>
    <w:basedOn w:val="23"/>
    <w:link w:val="5"/>
    <w:qFormat/>
    <w:uiPriority w:val="9"/>
    <w:rPr>
      <w:rFonts w:ascii="Cambria" w:hAnsi="Cambria" w:eastAsia="宋体" w:cs="Times New Roman"/>
      <w:b/>
      <w:bCs/>
      <w:sz w:val="28"/>
      <w:szCs w:val="28"/>
    </w:rPr>
  </w:style>
  <w:style w:type="character" w:customStyle="1" w:styleId="31">
    <w:name w:val="脚注文本 Char"/>
    <w:basedOn w:val="23"/>
    <w:link w:val="16"/>
    <w:qFormat/>
    <w:uiPriority w:val="99"/>
    <w:rPr>
      <w:sz w:val="18"/>
      <w:szCs w:val="24"/>
    </w:rPr>
  </w:style>
  <w:style w:type="character" w:customStyle="1" w:styleId="32">
    <w:name w:val="页眉 Char"/>
    <w:basedOn w:val="23"/>
    <w:link w:val="13"/>
    <w:qFormat/>
    <w:uiPriority w:val="99"/>
    <w:rPr>
      <w:sz w:val="18"/>
      <w:szCs w:val="18"/>
    </w:rPr>
  </w:style>
  <w:style w:type="character" w:customStyle="1" w:styleId="33">
    <w:name w:val="日期 Char"/>
    <w:basedOn w:val="23"/>
    <w:link w:val="10"/>
    <w:qFormat/>
    <w:uiPriority w:val="99"/>
    <w:rPr>
      <w:rFonts w:ascii="Calibri" w:hAnsi="Calibri" w:eastAsia="宋体" w:cs="Times New Roman"/>
    </w:rPr>
  </w:style>
  <w:style w:type="character" w:customStyle="1" w:styleId="34">
    <w:name w:val="页脚 Char"/>
    <w:basedOn w:val="23"/>
    <w:link w:val="12"/>
    <w:qFormat/>
    <w:uiPriority w:val="99"/>
    <w:rPr>
      <w:sz w:val="18"/>
      <w:szCs w:val="18"/>
    </w:rPr>
  </w:style>
  <w:style w:type="character" w:customStyle="1" w:styleId="35">
    <w:name w:val="批注框文本 Char"/>
    <w:basedOn w:val="23"/>
    <w:link w:val="11"/>
    <w:qFormat/>
    <w:uiPriority w:val="99"/>
    <w:rPr>
      <w:sz w:val="18"/>
      <w:szCs w:val="18"/>
    </w:rPr>
  </w:style>
  <w:style w:type="character" w:customStyle="1" w:styleId="36">
    <w:name w:val="脚注文本 Char1"/>
    <w:basedOn w:val="23"/>
    <w:link w:val="16"/>
    <w:semiHidden/>
    <w:qFormat/>
    <w:uiPriority w:val="99"/>
    <w:rPr>
      <w:rFonts w:ascii="Calibri" w:hAnsi="Calibri" w:eastAsia="宋体" w:cs="Times New Roman"/>
      <w:sz w:val="18"/>
      <w:szCs w:val="18"/>
    </w:rPr>
  </w:style>
  <w:style w:type="character" w:customStyle="1" w:styleId="37">
    <w:name w:val="日期 Char1"/>
    <w:basedOn w:val="23"/>
    <w:link w:val="10"/>
    <w:semiHidden/>
    <w:qFormat/>
    <w:uiPriority w:val="99"/>
    <w:rPr>
      <w:rFonts w:ascii="Calibri" w:hAnsi="Calibri" w:eastAsia="宋体" w:cs="Times New Roman"/>
    </w:rPr>
  </w:style>
  <w:style w:type="character" w:customStyle="1" w:styleId="38">
    <w:name w:val="批注框文本 Char1"/>
    <w:basedOn w:val="23"/>
    <w:link w:val="11"/>
    <w:semiHidden/>
    <w:uiPriority w:val="99"/>
    <w:rPr>
      <w:rFonts w:ascii="Calibri" w:hAnsi="Calibri" w:eastAsia="宋体" w:cs="Times New Roman"/>
      <w:sz w:val="18"/>
      <w:szCs w:val="18"/>
    </w:rPr>
  </w:style>
  <w:style w:type="character" w:customStyle="1" w:styleId="39">
    <w:name w:val="页脚 Char1"/>
    <w:basedOn w:val="23"/>
    <w:link w:val="12"/>
    <w:semiHidden/>
    <w:qFormat/>
    <w:uiPriority w:val="99"/>
    <w:rPr>
      <w:rFonts w:ascii="Calibri" w:hAnsi="Calibri" w:eastAsia="宋体" w:cs="Times New Roman"/>
      <w:sz w:val="18"/>
      <w:szCs w:val="18"/>
    </w:rPr>
  </w:style>
  <w:style w:type="character" w:customStyle="1" w:styleId="40">
    <w:name w:val="页眉 Char1"/>
    <w:basedOn w:val="23"/>
    <w:link w:val="13"/>
    <w:semiHidden/>
    <w:qFormat/>
    <w:uiPriority w:val="99"/>
    <w:rPr>
      <w:rFonts w:ascii="Calibri" w:hAnsi="Calibri" w:eastAsia="宋体" w:cs="Times New Roman"/>
      <w:sz w:val="18"/>
      <w:szCs w:val="18"/>
    </w:rPr>
  </w:style>
  <w:style w:type="paragraph" w:customStyle="1" w:styleId="41">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42">
    <w:name w:val="List Paragraph"/>
    <w:basedOn w:val="1"/>
    <w:qFormat/>
    <w:uiPriority w:val="34"/>
    <w:pPr>
      <w:ind w:firstLine="420" w:firstLineChars="200"/>
    </w:pPr>
  </w:style>
  <w:style w:type="paragraph" w:customStyle="1" w:styleId="43">
    <w:name w:val="修订1"/>
    <w:unhideWhenUsed/>
    <w:qFormat/>
    <w:uiPriority w:val="99"/>
    <w:pPr>
      <w:spacing w:line="240" w:lineRule="auto"/>
      <w:ind w:firstLine="0" w:firstLineChars="0"/>
      <w:jc w:val="left"/>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3117</Words>
  <Characters>17770</Characters>
  <Lines>148</Lines>
  <Paragraphs>41</Paragraphs>
  <TotalTime>3</TotalTime>
  <ScaleCrop>false</ScaleCrop>
  <LinksUpToDate>false</LinksUpToDate>
  <CharactersWithSpaces>20846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2019-04-23T01:46:00Z</dcterms:created>
  <dc:creator>china</dc:creator>
  <cp:lastModifiedBy>小邝</cp:lastModifiedBy>
  <dcterms:modified xsi:type="dcterms:W3CDTF">2019-04-24T02:41:18Z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