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关于《深圳市高端体育赛事和高水平职业</w:t>
      </w:r>
    </w:p>
    <w:p>
      <w:pPr>
        <w:spacing w:line="579" w:lineRule="exact"/>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体育俱乐部资助审计办法</w:t>
      </w:r>
      <w:r>
        <w:rPr>
          <w:rFonts w:hint="eastAsia" w:ascii="方正小标宋_GBK" w:hAnsi="方正小标宋_GBK" w:eastAsia="方正小标宋_GBK" w:cs="方正小标宋_GBK"/>
          <w:color w:val="000000"/>
          <w:sz w:val="44"/>
          <w:szCs w:val="44"/>
          <w:lang w:val="en-US" w:eastAsia="zh-CN"/>
        </w:rPr>
        <w:t>》的政策解读</w:t>
      </w:r>
    </w:p>
    <w:p/>
    <w:p>
      <w:pPr>
        <w:spacing w:line="579" w:lineRule="exact"/>
        <w:ind w:firstLine="411" w:firstLineChars="196"/>
        <w:rPr>
          <w:rFonts w:hint="eastAsia" w:ascii="仿宋_GB2312" w:hAnsi="仿宋" w:eastAsia="仿宋_GB2312" w:cs="Times New Roman"/>
          <w:sz w:val="32"/>
          <w:szCs w:val="32"/>
          <w:highlight w:val="none"/>
          <w:lang w:val="en-US" w:eastAsia="zh-CN"/>
        </w:rPr>
      </w:pPr>
      <w:r>
        <w:rPr>
          <w:rFonts w:hint="eastAsia" w:ascii="宋体" w:hAnsi="宋体" w:eastAsia="宋体" w:cs="宋体"/>
          <w:i w:val="0"/>
          <w:caps w:val="0"/>
          <w:color w:val="666666"/>
          <w:spacing w:val="0"/>
          <w:sz w:val="21"/>
          <w:szCs w:val="21"/>
          <w:shd w:val="clear" w:fill="FFFFFF"/>
        </w:rPr>
        <w:t>　</w:t>
      </w:r>
      <w:r>
        <w:rPr>
          <w:rFonts w:hint="eastAsia" w:ascii="仿宋_GB2312" w:hAnsi="仿宋" w:eastAsia="仿宋_GB2312" w:cs="Times New Roman"/>
          <w:sz w:val="32"/>
          <w:szCs w:val="32"/>
          <w:highlight w:val="none"/>
          <w:lang w:val="en-US" w:eastAsia="zh-CN"/>
        </w:rPr>
        <w:t>《深圳市高端体育赛事和高水平职业体育俱乐部资助审计办法</w:t>
      </w:r>
      <w:r>
        <w:rPr>
          <w:rFonts w:hint="eastAsia" w:ascii="仿宋_GB2312" w:hAnsi="仿宋" w:eastAsia="仿宋_GB2312" w:cs="Times New Roman"/>
          <w:sz w:val="32"/>
          <w:szCs w:val="32"/>
          <w:highlight w:val="none"/>
          <w:lang w:val="en-US" w:eastAsia="zh-CN"/>
        </w:rPr>
        <w:t>》由市文化广电旅游体育局制定，经市司法</w:t>
      </w:r>
      <w:r>
        <w:rPr>
          <w:rFonts w:hint="eastAsia" w:ascii="仿宋_GB2312" w:hAnsi="仿宋_GB2312" w:eastAsia="仿宋_GB2312" w:cs="仿宋_GB2312"/>
          <w:sz w:val="32"/>
          <w:szCs w:val="32"/>
          <w:lang w:eastAsia="zh-CN"/>
        </w:rPr>
        <w:t>局审查</w:t>
      </w:r>
      <w:r>
        <w:rPr>
          <w:rFonts w:hint="eastAsia" w:ascii="仿宋_GB2312" w:hAnsi="仿宋" w:eastAsia="仿宋_GB2312" w:cs="Times New Roman"/>
          <w:sz w:val="32"/>
          <w:szCs w:val="32"/>
          <w:highlight w:val="none"/>
          <w:lang w:val="en-US" w:eastAsia="zh-CN"/>
        </w:rPr>
        <w:t>后，予以印发实施。现就办法的编制情况和主要内容解读如下:</w:t>
      </w:r>
    </w:p>
    <w:p>
      <w:pPr>
        <w:spacing w:line="560" w:lineRule="exact"/>
        <w:ind w:firstLine="640"/>
        <w:rPr>
          <w:rFonts w:hint="eastAsia" w:ascii="黑体" w:hAnsi="黑体" w:eastAsia="黑体" w:cs="仿宋"/>
          <w:color w:val="000000"/>
          <w:kern w:val="0"/>
          <w:sz w:val="32"/>
          <w:szCs w:val="32"/>
          <w:lang w:val="en-US" w:eastAsia="zh-CN"/>
        </w:rPr>
      </w:pPr>
      <w:r>
        <w:rPr>
          <w:rFonts w:hint="eastAsia" w:ascii="黑体" w:hAnsi="黑体" w:eastAsia="黑体" w:cs="仿宋"/>
          <w:color w:val="000000"/>
          <w:kern w:val="0"/>
          <w:sz w:val="32"/>
          <w:szCs w:val="32"/>
          <w:lang w:val="en-US" w:eastAsia="zh-CN"/>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月，市政府办公厅印发了《</w:t>
      </w:r>
      <w:r>
        <w:rPr>
          <w:rFonts w:hint="eastAsia" w:ascii="仿宋_GB2312" w:hAnsi="仿宋_GB2312" w:eastAsia="仿宋_GB2312" w:cs="仿宋_GB2312"/>
          <w:sz w:val="32"/>
          <w:szCs w:val="32"/>
          <w:lang w:val="en-US" w:eastAsia="zh-CN"/>
        </w:rPr>
        <w:t>关于加快体育产业创新发展若干措施的通知》（深府办规〔2020〕4号，以下简称《若干措施》），以实现深圳体育产业高效率和高质量发展。启动《若干措施》修订工作的同时，我局亦</w:t>
      </w:r>
      <w:r>
        <w:rPr>
          <w:rFonts w:hint="eastAsia" w:ascii="仿宋_GB2312" w:hAnsi="仿宋_GB2312" w:eastAsia="仿宋_GB2312" w:cs="仿宋_GB2312"/>
          <w:sz w:val="32"/>
          <w:szCs w:val="32"/>
          <w:lang w:eastAsia="zh-CN"/>
        </w:rPr>
        <w:t>着手</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lang w:val="en-US" w:eastAsia="zh-CN"/>
        </w:rPr>
        <w:t>相应操作规程，经规范性文件出台程序，</w:t>
      </w:r>
      <w:r>
        <w:rPr>
          <w:rFonts w:hint="eastAsia" w:ascii="仿宋_GB2312" w:hAnsi="仿宋_GB2312" w:eastAsia="仿宋_GB2312" w:cs="仿宋_GB2312"/>
          <w:sz w:val="32"/>
          <w:szCs w:val="32"/>
        </w:rPr>
        <w:t>《深圳市高端体育赛事资助操作规程》（</w:t>
      </w:r>
      <w:r>
        <w:rPr>
          <w:rFonts w:hint="eastAsia" w:ascii="仿宋_GB2312" w:hAnsi="仿宋_GB2312" w:eastAsia="仿宋_GB2312" w:cs="仿宋_GB2312"/>
          <w:sz w:val="32"/>
          <w:szCs w:val="32"/>
          <w:lang w:val="en-US" w:eastAsia="zh-CN"/>
        </w:rPr>
        <w:t>深文规〔2020〕4号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《深圳市高</w:t>
      </w:r>
      <w:r>
        <w:rPr>
          <w:rFonts w:hint="eastAsia" w:ascii="仿宋_GB2312" w:hAnsi="仿宋_GB2312" w:eastAsia="仿宋_GB2312" w:cs="仿宋_GB2312"/>
          <w:sz w:val="32"/>
          <w:szCs w:val="32"/>
          <w:lang w:val="en-US" w:eastAsia="zh-CN"/>
        </w:rPr>
        <w:t>水平职业</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val="en-US" w:eastAsia="zh-CN"/>
        </w:rPr>
        <w:t>俱乐部</w:t>
      </w:r>
      <w:r>
        <w:rPr>
          <w:rFonts w:hint="eastAsia" w:ascii="仿宋_GB2312" w:hAnsi="仿宋_GB2312" w:eastAsia="仿宋_GB2312" w:cs="仿宋_GB2312"/>
          <w:sz w:val="32"/>
          <w:szCs w:val="32"/>
        </w:rPr>
        <w:t>资助</w:t>
      </w:r>
      <w:r>
        <w:rPr>
          <w:rFonts w:hint="eastAsia" w:ascii="仿宋_GB2312" w:hAnsi="仿宋_GB2312" w:eastAsia="仿宋_GB2312" w:cs="仿宋_GB2312"/>
          <w:sz w:val="32"/>
          <w:szCs w:val="32"/>
          <w:lang w:val="en-US" w:eastAsia="zh-CN"/>
        </w:rPr>
        <w:t>奖励</w:t>
      </w:r>
      <w:r>
        <w:rPr>
          <w:rFonts w:hint="eastAsia" w:ascii="仿宋_GB2312" w:hAnsi="仿宋_GB2312" w:eastAsia="仿宋_GB2312" w:cs="仿宋_GB2312"/>
          <w:sz w:val="32"/>
          <w:szCs w:val="32"/>
        </w:rPr>
        <w:t>操作规程》（</w:t>
      </w:r>
      <w:r>
        <w:rPr>
          <w:rFonts w:hint="eastAsia" w:ascii="仿宋_GB2312" w:hAnsi="仿宋_GB2312" w:eastAsia="仿宋_GB2312" w:cs="仿宋_GB2312"/>
          <w:sz w:val="32"/>
          <w:szCs w:val="32"/>
          <w:lang w:val="en-US" w:eastAsia="zh-CN"/>
        </w:rPr>
        <w:t>深文规〔2020〕5号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于2020年5月正式印发实施。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lang w:val="en-US" w:eastAsia="zh-CN"/>
        </w:rPr>
      </w:pPr>
      <w:r>
        <w:rPr>
          <w:rFonts w:hint="eastAsia" w:ascii="仿宋_GB2312" w:hAnsi="仿宋_GB2312" w:eastAsia="仿宋_GB2312" w:cs="仿宋_GB2312"/>
          <w:sz w:val="32"/>
          <w:szCs w:val="32"/>
        </w:rPr>
        <w:t>为规范深圳市高端体育赛事和高水平职业体育俱乐部的资助审计，提高财政资金的使用效益，</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《深圳市人民政府关于印发市级财政专项资金管理办法的通知》（深府规〔2018〕12号</w:t>
      </w:r>
      <w:r>
        <w:rPr>
          <w:rFonts w:hint="eastAsia" w:ascii="仿宋_GB2312" w:hAnsi="仿宋_GB2312" w:eastAsia="仿宋_GB2312" w:cs="仿宋_GB2312"/>
          <w:sz w:val="32"/>
          <w:szCs w:val="32"/>
          <w:lang w:eastAsia="zh-CN"/>
        </w:rPr>
        <w:t>，以下简称《管理办法》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《若干措施》及</w:t>
      </w:r>
      <w:r>
        <w:rPr>
          <w:rFonts w:hint="eastAsia" w:ascii="仿宋_GB2312" w:hAnsi="仿宋_GB2312" w:eastAsia="仿宋_GB2312" w:cs="仿宋_GB2312"/>
          <w:sz w:val="32"/>
          <w:szCs w:val="32"/>
          <w:lang w:eastAsia="zh-CN"/>
        </w:rPr>
        <w:t>配套政策</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结合高端体育赛事和高水平职业体育俱乐部审计的实际情况，</w:t>
      </w:r>
      <w:r>
        <w:rPr>
          <w:rFonts w:hint="eastAsia" w:ascii="仿宋_GB2312" w:hAnsi="仿宋_GB2312" w:eastAsia="仿宋_GB2312" w:cs="仿宋_GB2312"/>
          <w:sz w:val="32"/>
          <w:szCs w:val="32"/>
          <w:lang w:val="en-US" w:eastAsia="zh-CN"/>
        </w:rPr>
        <w:t>形成了《</w:t>
      </w:r>
      <w:r>
        <w:rPr>
          <w:rFonts w:hint="eastAsia" w:ascii="仿宋_GB2312" w:hAnsi="仿宋" w:eastAsia="仿宋_GB2312" w:cs="Times New Roman"/>
          <w:sz w:val="32"/>
          <w:szCs w:val="32"/>
          <w:highlight w:val="none"/>
          <w:lang w:val="en-US" w:eastAsia="zh-CN"/>
        </w:rPr>
        <w:t>深圳市高端体育赛事和高水平职业体育俱乐部资助审计办法</w:t>
      </w:r>
      <w:r>
        <w:rPr>
          <w:rFonts w:hint="eastAsia" w:ascii="仿宋_GB2312" w:hAnsi="仿宋_GB2312" w:eastAsia="仿宋_GB2312" w:cs="仿宋_GB2312"/>
          <w:sz w:val="32"/>
          <w:szCs w:val="32"/>
          <w:lang w:val="en-US" w:eastAsia="zh-CN"/>
        </w:rPr>
        <w:t>》（以下简称《审计办法》）。</w:t>
      </w:r>
    </w:p>
    <w:p>
      <w:pPr>
        <w:spacing w:line="560" w:lineRule="exact"/>
        <w:ind w:firstLine="640"/>
        <w:rPr>
          <w:rFonts w:hint="eastAsia" w:ascii="黑体" w:hAnsi="黑体" w:eastAsia="黑体" w:cs="仿宋"/>
          <w:color w:val="000000"/>
          <w:kern w:val="0"/>
          <w:sz w:val="32"/>
          <w:szCs w:val="32"/>
          <w:lang w:val="en-US" w:eastAsia="zh-CN"/>
        </w:rPr>
      </w:pPr>
      <w:r>
        <w:rPr>
          <w:rFonts w:hint="eastAsia" w:ascii="黑体" w:hAnsi="黑体" w:eastAsia="黑体" w:cs="仿宋"/>
          <w:color w:val="000000"/>
          <w:kern w:val="0"/>
          <w:sz w:val="32"/>
          <w:szCs w:val="32"/>
          <w:lang w:val="en-US" w:eastAsia="zh-CN"/>
        </w:rPr>
        <w:t>二、审计办法的编制过程</w:t>
      </w:r>
    </w:p>
    <w:p>
      <w:pPr>
        <w:spacing w:line="579" w:lineRule="exact"/>
        <w:ind w:firstLine="627" w:firstLineChars="196"/>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本办法由市文化广电旅游体育局制定。制定过程中充分加强了对</w:t>
      </w:r>
      <w:r>
        <w:rPr>
          <w:rFonts w:hint="eastAsia" w:ascii="仿宋_GB2312" w:hAnsi="仿宋_GB2312" w:eastAsia="仿宋_GB2312" w:cs="仿宋_GB2312"/>
          <w:sz w:val="32"/>
          <w:szCs w:val="32"/>
          <w:lang w:eastAsia="zh-CN"/>
        </w:rPr>
        <w:t>《管理办法》、</w:t>
      </w:r>
      <w:r>
        <w:rPr>
          <w:rFonts w:hint="eastAsia" w:ascii="仿宋_GB2312" w:hAnsi="仿宋_GB2312" w:eastAsia="仿宋_GB2312" w:cs="仿宋_GB2312"/>
          <w:sz w:val="32"/>
          <w:szCs w:val="32"/>
          <w:lang w:val="en-US" w:eastAsia="zh-CN"/>
        </w:rPr>
        <w:t>《若干措施》</w:t>
      </w:r>
      <w:r>
        <w:rPr>
          <w:rFonts w:hint="eastAsia" w:ascii="仿宋_GB2312" w:hAnsi="仿宋" w:eastAsia="仿宋_GB2312" w:cs="Times New Roman"/>
          <w:sz w:val="32"/>
          <w:szCs w:val="32"/>
          <w:highlight w:val="none"/>
          <w:lang w:val="en-US" w:eastAsia="zh-CN"/>
        </w:rPr>
        <w:t>等制度文件的进一步学习研究，理解吃透文件精神，准确把握政策原则，明确部门职责要求，并</w:t>
      </w:r>
      <w:r>
        <w:rPr>
          <w:rFonts w:hint="eastAsia" w:ascii="仿宋_GB2312" w:hAnsi="仿宋_GB2312" w:eastAsia="仿宋_GB2312" w:cs="仿宋_GB2312"/>
          <w:sz w:val="32"/>
          <w:szCs w:val="32"/>
          <w:lang w:eastAsia="zh-CN"/>
        </w:rPr>
        <w:t>在总结近三年来</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lang w:eastAsia="zh-CN"/>
        </w:rPr>
        <w:t>资金实施经验的基础上，学习借鉴相关部门规程起草经验，开展企业调研，对加强和改进专项资金管理工作进行认真思考，从而形成了</w:t>
      </w:r>
      <w:r>
        <w:rPr>
          <w:rFonts w:hint="eastAsia" w:ascii="仿宋_GB2312" w:hAnsi="仿宋_GB2312" w:eastAsia="仿宋_GB2312" w:cs="仿宋_GB2312"/>
          <w:sz w:val="32"/>
          <w:szCs w:val="32"/>
          <w:lang w:val="en-US" w:eastAsia="zh-CN"/>
        </w:rPr>
        <w:t>《审计办法》</w:t>
      </w:r>
      <w:r>
        <w:rPr>
          <w:rFonts w:hint="eastAsia" w:ascii="仿宋_GB2312" w:hAnsi="仿宋" w:eastAsia="仿宋_GB2312" w:cs="Times New Roman"/>
          <w:sz w:val="32"/>
          <w:szCs w:val="32"/>
          <w:highlight w:val="none"/>
          <w:lang w:val="en-US" w:eastAsia="zh-CN"/>
        </w:rPr>
        <w:t>。起草过程中</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lang w:eastAsia="zh-CN"/>
        </w:rPr>
        <w:t>通过</w:t>
      </w:r>
      <w:r>
        <w:rPr>
          <w:rFonts w:hint="eastAsia" w:ascii="仿宋_GB2312" w:hAnsi="仿宋" w:eastAsia="仿宋_GB2312" w:cs="Times New Roman"/>
          <w:sz w:val="32"/>
          <w:szCs w:val="32"/>
          <w:highlight w:val="none"/>
          <w:lang w:val="en-US" w:eastAsia="zh-CN"/>
        </w:rPr>
        <w:t>市文化广电旅游体育局官网</w:t>
      </w:r>
      <w:r>
        <w:rPr>
          <w:rFonts w:hint="eastAsia" w:ascii="仿宋_GB2312" w:hAnsi="仿宋_GB2312" w:eastAsia="仿宋_GB2312" w:cs="仿宋_GB2312"/>
          <w:sz w:val="32"/>
          <w:szCs w:val="32"/>
          <w:lang w:eastAsia="zh-CN"/>
        </w:rPr>
        <w:t>和深圳政府法制信息网向社会各界广泛征求意见，</w:t>
      </w:r>
      <w:r>
        <w:rPr>
          <w:rFonts w:hint="eastAsia" w:ascii="仿宋_GB2312" w:hAnsi="仿宋_GB2312" w:eastAsia="仿宋_GB2312" w:cs="仿宋_GB2312"/>
          <w:sz w:val="32"/>
          <w:szCs w:val="32"/>
          <w:lang w:val="en-US" w:eastAsia="zh-CN"/>
        </w:rPr>
        <w:t>并征求了</w:t>
      </w:r>
      <w:r>
        <w:rPr>
          <w:rFonts w:hint="eastAsia" w:ascii="仿宋_GB2312" w:hAnsi="仿宋" w:eastAsia="仿宋_GB2312" w:cs="Times New Roman"/>
          <w:sz w:val="32"/>
          <w:szCs w:val="32"/>
          <w:highlight w:val="none"/>
          <w:lang w:val="en-US" w:eastAsia="zh-CN"/>
        </w:rPr>
        <w:t>市相关行政部门的</w:t>
      </w:r>
      <w:r>
        <w:rPr>
          <w:rFonts w:hint="eastAsia" w:ascii="仿宋_GB2312" w:hAnsi="仿宋_GB2312" w:eastAsia="仿宋_GB2312" w:cs="仿宋_GB2312"/>
          <w:sz w:val="32"/>
          <w:szCs w:val="32"/>
          <w:lang w:val="en-US" w:eastAsia="zh-CN"/>
        </w:rPr>
        <w:t>意见，已</w:t>
      </w:r>
      <w:r>
        <w:rPr>
          <w:rFonts w:hint="eastAsia" w:ascii="仿宋_GB2312" w:hAnsi="仿宋_GB2312" w:eastAsia="仿宋_GB2312" w:cs="仿宋_GB2312"/>
          <w:sz w:val="32"/>
          <w:szCs w:val="32"/>
          <w:lang w:eastAsia="zh-CN"/>
        </w:rPr>
        <w:t>充分采纳各方意见、建议，</w:t>
      </w:r>
      <w:r>
        <w:rPr>
          <w:rFonts w:hint="eastAsia"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lang w:eastAsia="zh-CN"/>
        </w:rPr>
        <w:t>一步修改完善</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lang w:eastAsia="zh-CN"/>
        </w:rPr>
        <w:t>。经市司法局审查后，</w:t>
      </w:r>
      <w:r>
        <w:rPr>
          <w:rFonts w:hint="eastAsia" w:ascii="仿宋_GB2312" w:hAnsi="仿宋" w:eastAsia="仿宋_GB2312" w:cs="Times New Roman"/>
          <w:sz w:val="32"/>
          <w:szCs w:val="32"/>
          <w:highlight w:val="none"/>
          <w:lang w:val="en-US" w:eastAsia="zh-CN"/>
        </w:rPr>
        <w:t>予以印发实施。</w:t>
      </w:r>
    </w:p>
    <w:p>
      <w:pPr>
        <w:spacing w:line="560" w:lineRule="exact"/>
        <w:ind w:firstLine="640"/>
        <w:rPr>
          <w:rFonts w:hint="eastAsia" w:ascii="黑体" w:hAnsi="黑体" w:eastAsia="黑体" w:cs="仿宋"/>
          <w:color w:val="000000"/>
          <w:kern w:val="0"/>
          <w:sz w:val="32"/>
          <w:szCs w:val="32"/>
          <w:lang w:val="en-US" w:eastAsia="zh-CN"/>
        </w:rPr>
      </w:pPr>
      <w:r>
        <w:rPr>
          <w:rFonts w:hint="eastAsia" w:ascii="黑体" w:hAnsi="黑体" w:eastAsia="黑体" w:cs="仿宋"/>
          <w:color w:val="000000"/>
          <w:kern w:val="0"/>
          <w:sz w:val="32"/>
          <w:szCs w:val="32"/>
          <w:lang w:val="en-US" w:eastAsia="zh-CN"/>
        </w:rPr>
        <w:t>三、审计办法的主要内容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本办法共四章十四条。</w:t>
      </w:r>
    </w:p>
    <w:p>
      <w:pPr>
        <w:spacing w:line="560" w:lineRule="exact"/>
        <w:ind w:firstLine="643" w:firstLineChars="200"/>
        <w:rPr>
          <w:rFonts w:ascii="FangSong_GB2312" w:hAnsi="仿宋" w:eastAsia="FangSong_GB2312"/>
          <w:sz w:val="32"/>
          <w:szCs w:val="32"/>
        </w:rPr>
      </w:pPr>
      <w:r>
        <w:rPr>
          <w:rFonts w:hint="eastAsia" w:ascii="FangSong_GB2312" w:hAnsi="楷体" w:eastAsia="FangSong_GB2312" w:cs="FangSong_GB2312"/>
          <w:b/>
          <w:bCs/>
          <w:sz w:val="32"/>
          <w:szCs w:val="32"/>
        </w:rPr>
        <w:t>（一）第一章“总则”</w:t>
      </w:r>
      <w:r>
        <w:rPr>
          <w:rFonts w:hint="eastAsia" w:ascii="FangSong_GB2312" w:hAnsi="仿宋" w:eastAsia="FangSong_GB2312" w:cs="FangSong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1、第一条：明确本办法的制定依据和目的；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2、第二条：明确本办法的适用对象。</w:t>
      </w:r>
    </w:p>
    <w:p>
      <w:pPr>
        <w:spacing w:line="560" w:lineRule="exact"/>
        <w:ind w:firstLine="643" w:firstLineChars="200"/>
        <w:rPr>
          <w:rFonts w:ascii="FangSong_GB2312" w:hAnsi="楷体" w:eastAsia="FangSong_GB2312" w:cs="FangSong_GB2312"/>
          <w:b/>
          <w:bCs/>
          <w:sz w:val="32"/>
          <w:szCs w:val="32"/>
        </w:rPr>
      </w:pPr>
      <w:r>
        <w:rPr>
          <w:rFonts w:hint="eastAsia" w:ascii="FangSong_GB2312" w:hAnsi="楷体" w:eastAsia="FangSong_GB2312" w:cs="FangSong_GB2312"/>
          <w:b/>
          <w:bCs/>
          <w:sz w:val="32"/>
          <w:szCs w:val="32"/>
        </w:rPr>
        <w:t>（二）第二章 “审计程序、内容</w:t>
      </w:r>
      <w:r>
        <w:rPr>
          <w:rFonts w:hint="eastAsia" w:ascii="FangSong_GB2312" w:hAnsi="楷体" w:eastAsia="FangSong_GB2312" w:cs="FangSong_GB2312"/>
          <w:b/>
          <w:bCs/>
          <w:sz w:val="32"/>
          <w:szCs w:val="32"/>
          <w:lang w:eastAsia="zh-CN"/>
        </w:rPr>
        <w:t>和</w:t>
      </w:r>
      <w:r>
        <w:rPr>
          <w:rFonts w:hint="eastAsia" w:ascii="FangSong_GB2312" w:hAnsi="楷体" w:eastAsia="FangSong_GB2312" w:cs="FangSong_GB2312"/>
          <w:b/>
          <w:bCs/>
          <w:sz w:val="32"/>
          <w:szCs w:val="32"/>
        </w:rPr>
        <w:t>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1、第三条：明确审计监督程序；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2、第四条：明确审计时间周期；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3、第五条：明确受托的社会中介机构对高端体育赛事和高水平职业体育俱乐部的审计内容；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4、第六条：明确纳入高端体育赛事审计范围的经费支出科目；</w:t>
      </w:r>
    </w:p>
    <w:p>
      <w:pPr>
        <w:pStyle w:val="2"/>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条：明确纳入高水平职业体育俱乐部审计范围的经费支出科目。</w:t>
      </w:r>
      <w:bookmarkStart w:id="0" w:name="_GoBack"/>
      <w:bookmarkEnd w:id="0"/>
    </w:p>
    <w:p>
      <w:pPr>
        <w:spacing w:line="560" w:lineRule="exact"/>
        <w:ind w:firstLine="640" w:firstLineChars="200"/>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条：明确不纳入高端体育赛事审计范围的经费支出科目；</w:t>
      </w:r>
    </w:p>
    <w:p>
      <w:pPr>
        <w:spacing w:line="560" w:lineRule="exact"/>
        <w:ind w:firstLine="640" w:firstLineChars="200"/>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条：明确不纳入高水平职业体育俱乐部审计范围的经费支出科目；</w:t>
      </w:r>
    </w:p>
    <w:p>
      <w:pPr>
        <w:pStyle w:val="2"/>
        <w:spacing w:after="0" w:line="560" w:lineRule="exact"/>
        <w:ind w:firstLine="320"/>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、第十条：明确审计对象存在关联交易时的处置措施。</w:t>
      </w:r>
    </w:p>
    <w:p>
      <w:pPr>
        <w:spacing w:line="560" w:lineRule="exact"/>
        <w:ind w:firstLine="643" w:firstLineChars="200"/>
        <w:rPr>
          <w:rFonts w:ascii="FangSong_GB2312" w:hAnsi="仿宋" w:eastAsia="FangSong_GB2312"/>
          <w:sz w:val="32"/>
          <w:szCs w:val="32"/>
        </w:rPr>
      </w:pPr>
      <w:r>
        <w:rPr>
          <w:rFonts w:hint="eastAsia" w:ascii="FangSong_GB2312" w:hAnsi="楷体" w:eastAsia="FangSong_GB2312" w:cs="FangSong_GB2312"/>
          <w:b/>
          <w:bCs/>
          <w:sz w:val="32"/>
          <w:szCs w:val="32"/>
        </w:rPr>
        <w:t>（三）第三章</w:t>
      </w:r>
      <w:r>
        <w:rPr>
          <w:rFonts w:ascii="FangSong_GB2312" w:hAnsi="楷体" w:eastAsia="FangSong_GB2312" w:cs="FangSong_GB2312"/>
          <w:b/>
          <w:bCs/>
          <w:sz w:val="32"/>
          <w:szCs w:val="32"/>
        </w:rPr>
        <w:t xml:space="preserve"> </w:t>
      </w:r>
      <w:r>
        <w:rPr>
          <w:rFonts w:hint="eastAsia" w:ascii="FangSong_GB2312" w:hAnsi="楷体" w:eastAsia="FangSong_GB2312" w:cs="FangSong_GB2312"/>
          <w:b/>
          <w:bCs/>
          <w:sz w:val="32"/>
          <w:szCs w:val="32"/>
        </w:rPr>
        <w:t>“审计监督管理”</w:t>
      </w:r>
      <w:r>
        <w:rPr>
          <w:rFonts w:hint="eastAsia" w:ascii="FangSong_GB2312" w:hAnsi="仿宋" w:eastAsia="FangSong_GB2312" w:cs="FangSong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条：明确市体育行政主管部门</w:t>
      </w:r>
      <w:r>
        <w:rPr>
          <w:rFonts w:hint="eastAsia" w:ascii="仿宋_GB2312" w:hAnsi="仿宋_GB2312" w:eastAsia="仿宋_GB2312" w:cs="仿宋_GB2312"/>
          <w:sz w:val="32"/>
          <w:szCs w:val="32"/>
          <w:lang w:eastAsia="zh-CN"/>
        </w:rPr>
        <w:t>的义务</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cs="仿宋_GB2312" w:eastAsiaTheme="minorEastAsia"/>
          <w:sz w:val="32"/>
          <w:szCs w:val="32"/>
        </w:rPr>
        <w:t>2、</w:t>
      </w: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条：明确审计对象和受托社会中介机构的义务；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条：明确审计对象和受托社会中介机构的违规责任追究。</w:t>
      </w:r>
    </w:p>
    <w:p>
      <w:pPr>
        <w:spacing w:line="560" w:lineRule="exact"/>
        <w:ind w:firstLine="643" w:firstLineChars="200"/>
        <w:rPr>
          <w:rFonts w:ascii="FangSong_GB2312" w:hAnsi="仿宋" w:eastAsia="FangSong_GB2312" w:cs="FangSong_GB2312"/>
          <w:sz w:val="32"/>
          <w:szCs w:val="32"/>
        </w:rPr>
      </w:pPr>
      <w:r>
        <w:rPr>
          <w:rFonts w:hint="eastAsia" w:ascii="FangSong_GB2312" w:hAnsi="楷体" w:eastAsia="FangSong_GB2312" w:cs="FangSong_GB2312"/>
          <w:b/>
          <w:bCs/>
          <w:sz w:val="32"/>
          <w:szCs w:val="32"/>
        </w:rPr>
        <w:t>（四）第四章</w:t>
      </w:r>
      <w:r>
        <w:rPr>
          <w:rFonts w:ascii="FangSong_GB2312" w:hAnsi="楷体" w:eastAsia="FangSong_GB2312" w:cs="FangSong_GB2312"/>
          <w:b/>
          <w:bCs/>
          <w:sz w:val="32"/>
          <w:szCs w:val="32"/>
        </w:rPr>
        <w:t xml:space="preserve"> </w:t>
      </w:r>
      <w:r>
        <w:rPr>
          <w:rFonts w:hint="eastAsia" w:ascii="FangSong_GB2312" w:hAnsi="楷体" w:eastAsia="FangSong_GB2312" w:cs="FangSong_GB2312"/>
          <w:b/>
          <w:bCs/>
          <w:sz w:val="32"/>
          <w:szCs w:val="32"/>
        </w:rPr>
        <w:t>“附则”</w:t>
      </w:r>
      <w:r>
        <w:rPr>
          <w:rFonts w:hint="eastAsia" w:ascii="FangSong_GB2312" w:hAnsi="仿宋" w:eastAsia="FangSong_GB2312" w:cs="FangSong_GB2312"/>
          <w:sz w:val="32"/>
          <w:szCs w:val="32"/>
        </w:rPr>
        <w:t>：</w:t>
      </w:r>
    </w:p>
    <w:p>
      <w:pPr>
        <w:spacing w:line="560" w:lineRule="exact"/>
        <w:ind w:firstLine="640" w:firstLineChars="200"/>
        <w:rPr>
          <w:rFonts w:hint="eastAsia" w:ascii="仿宋_GB2312" w:hAnsi="仿宋" w:eastAsia="仿宋_GB2312" w:cs="Times New Roman"/>
          <w:sz w:val="32"/>
          <w:szCs w:val="32"/>
          <w:highlight w:val="none"/>
          <w:lang w:val="en-US" w:eastAsia="zh-CN"/>
        </w:rPr>
      </w:pP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lang w:val="en-US" w:eastAsia="zh-CN"/>
        </w:rPr>
        <w:t>明确本办法开始实施的日期和有效期。</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83741"/>
    <w:rsid w:val="007A4C7C"/>
    <w:rsid w:val="019221AA"/>
    <w:rsid w:val="02B67E2D"/>
    <w:rsid w:val="044C50EE"/>
    <w:rsid w:val="05DA16FA"/>
    <w:rsid w:val="05F04995"/>
    <w:rsid w:val="05F54441"/>
    <w:rsid w:val="0D0A22F0"/>
    <w:rsid w:val="0E31466D"/>
    <w:rsid w:val="0F1C03E8"/>
    <w:rsid w:val="16F72C44"/>
    <w:rsid w:val="17083084"/>
    <w:rsid w:val="18F3128C"/>
    <w:rsid w:val="195023B8"/>
    <w:rsid w:val="19E43FDF"/>
    <w:rsid w:val="1B33057F"/>
    <w:rsid w:val="1B45676E"/>
    <w:rsid w:val="1F3853D8"/>
    <w:rsid w:val="1F5C23AD"/>
    <w:rsid w:val="205030E9"/>
    <w:rsid w:val="2064757C"/>
    <w:rsid w:val="21053F88"/>
    <w:rsid w:val="21324E5D"/>
    <w:rsid w:val="21440F54"/>
    <w:rsid w:val="23283E50"/>
    <w:rsid w:val="236530D2"/>
    <w:rsid w:val="270B26D1"/>
    <w:rsid w:val="287F0109"/>
    <w:rsid w:val="2964170F"/>
    <w:rsid w:val="299471F2"/>
    <w:rsid w:val="2BB94276"/>
    <w:rsid w:val="2D127427"/>
    <w:rsid w:val="2D36577B"/>
    <w:rsid w:val="2D717C76"/>
    <w:rsid w:val="3138561E"/>
    <w:rsid w:val="31E01DA5"/>
    <w:rsid w:val="337822A8"/>
    <w:rsid w:val="33AD4310"/>
    <w:rsid w:val="364457A6"/>
    <w:rsid w:val="36F83741"/>
    <w:rsid w:val="38EC0AED"/>
    <w:rsid w:val="3D1F6787"/>
    <w:rsid w:val="40AA5C5A"/>
    <w:rsid w:val="42787A0C"/>
    <w:rsid w:val="42CE6090"/>
    <w:rsid w:val="44F14D62"/>
    <w:rsid w:val="45217F99"/>
    <w:rsid w:val="45EC21FE"/>
    <w:rsid w:val="478319C5"/>
    <w:rsid w:val="49142002"/>
    <w:rsid w:val="49A70FE5"/>
    <w:rsid w:val="49D871BD"/>
    <w:rsid w:val="4B38768C"/>
    <w:rsid w:val="4D2B6FA7"/>
    <w:rsid w:val="4E850E37"/>
    <w:rsid w:val="500301D9"/>
    <w:rsid w:val="506B7572"/>
    <w:rsid w:val="50961A35"/>
    <w:rsid w:val="51B05548"/>
    <w:rsid w:val="524B63BA"/>
    <w:rsid w:val="53435A46"/>
    <w:rsid w:val="538F3215"/>
    <w:rsid w:val="551E373F"/>
    <w:rsid w:val="553D1616"/>
    <w:rsid w:val="56B05F70"/>
    <w:rsid w:val="57637F5A"/>
    <w:rsid w:val="59582F33"/>
    <w:rsid w:val="5AE96CF0"/>
    <w:rsid w:val="5BAA653C"/>
    <w:rsid w:val="5CF2787E"/>
    <w:rsid w:val="64F1494B"/>
    <w:rsid w:val="659979BB"/>
    <w:rsid w:val="65A95674"/>
    <w:rsid w:val="66113AA1"/>
    <w:rsid w:val="677946C2"/>
    <w:rsid w:val="687A25AD"/>
    <w:rsid w:val="69D35F62"/>
    <w:rsid w:val="6C713498"/>
    <w:rsid w:val="6C723D35"/>
    <w:rsid w:val="6E0F0A1B"/>
    <w:rsid w:val="6FAE00CE"/>
    <w:rsid w:val="736B6F27"/>
    <w:rsid w:val="738150C4"/>
    <w:rsid w:val="77B83A28"/>
    <w:rsid w:val="7AAD3A7E"/>
    <w:rsid w:val="7B9F551D"/>
    <w:rsid w:val="7D8E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页脚1"/>
    <w:basedOn w:val="1"/>
    <w:qFormat/>
    <w:uiPriority w:val="99"/>
    <w:pPr>
      <w:tabs>
        <w:tab w:val="center" w:pos="4153"/>
        <w:tab w:val="right" w:pos="8306"/>
      </w:tabs>
      <w:snapToGrid w:val="0"/>
      <w:jc w:val="left"/>
    </w:pPr>
    <w:rPr>
      <w:sz w:val="18"/>
      <w:szCs w:val="18"/>
    </w:rPr>
  </w:style>
  <w:style w:type="character" w:customStyle="1" w:styleId="8">
    <w:name w:val="页码1"/>
    <w:basedOn w:val="6"/>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2020-05-11T02:38:00Z</dcterms:created>
  <dc:creator>简诗慧</dc:creator>
  <cp:lastModifiedBy>简诗慧</cp:lastModifiedBy>
  <cp:lastPrinted>2020-09-01T06:35:12Z</cp:lastPrinted>
  <dcterms:modified xsi:type="dcterms:W3CDTF">2020-09-01T07:31:00Z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