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附件1</w:t>
      </w:r>
    </w:p>
    <w:p>
      <w:pPr>
        <w:pStyle w:val="2"/>
        <w:adjustRightInd w:val="0"/>
        <w:snapToGrid w:val="0"/>
        <w:spacing w:line="579"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深圳市2019年市本级算执行和其他财政收支情况大数据专项审计调查发现问题整改情况表</w:t>
      </w:r>
    </w:p>
    <w:p>
      <w:r>
        <w:rPr>
          <w:rFonts w:hint="eastAsia"/>
        </w:rPr>
        <w:t>被审计单位：深圳市文化广电旅游体育局    联系人：陈冬怡  联系方式：88102280</w:t>
      </w:r>
    </w:p>
    <w:tbl>
      <w:tblPr>
        <w:tblStyle w:val="5"/>
        <w:tblW w:w="15192" w:type="dxa"/>
        <w:tblInd w:w="-318" w:type="dxa"/>
        <w:tblLayout w:type="fixed"/>
        <w:tblCellMar>
          <w:top w:w="0" w:type="dxa"/>
          <w:left w:w="108" w:type="dxa"/>
          <w:bottom w:w="0" w:type="dxa"/>
          <w:right w:w="108" w:type="dxa"/>
        </w:tblCellMar>
      </w:tblPr>
      <w:tblGrid>
        <w:gridCol w:w="426"/>
        <w:gridCol w:w="993"/>
        <w:gridCol w:w="1417"/>
        <w:gridCol w:w="1134"/>
        <w:gridCol w:w="1134"/>
        <w:gridCol w:w="992"/>
        <w:gridCol w:w="896"/>
        <w:gridCol w:w="960"/>
        <w:gridCol w:w="820"/>
        <w:gridCol w:w="960"/>
        <w:gridCol w:w="1000"/>
        <w:gridCol w:w="1000"/>
        <w:gridCol w:w="1000"/>
        <w:gridCol w:w="1000"/>
        <w:gridCol w:w="760"/>
        <w:gridCol w:w="700"/>
      </w:tblGrid>
      <w:tr>
        <w:tblPrEx>
          <w:tblLayout w:type="fixed"/>
          <w:tblCellMar>
            <w:top w:w="0" w:type="dxa"/>
            <w:left w:w="108" w:type="dxa"/>
            <w:bottom w:w="0" w:type="dxa"/>
            <w:right w:w="108" w:type="dxa"/>
          </w:tblCellMar>
        </w:tblPrEx>
        <w:trPr>
          <w:trHeight w:val="974" w:hRule="atLeast"/>
        </w:trPr>
        <w:tc>
          <w:tcPr>
            <w:tcW w:w="42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序号</w:t>
            </w: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审计处理意见或建议</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审计发现问题整改措施</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审计发现问题整改结果（被审计单位填写）</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尚未整改到位的原因及限期整改计划、措施等</w:t>
            </w:r>
          </w:p>
        </w:tc>
        <w:tc>
          <w:tcPr>
            <w:tcW w:w="4636" w:type="dxa"/>
            <w:gridSpan w:val="5"/>
            <w:tcBorders>
              <w:top w:val="single" w:color="auto" w:sz="4" w:space="0"/>
              <w:left w:val="nil"/>
              <w:bottom w:val="nil"/>
              <w:right w:val="single" w:color="000000"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审计发现问题整改金额情况</w:t>
            </w:r>
          </w:p>
        </w:tc>
        <w:tc>
          <w:tcPr>
            <w:tcW w:w="3000"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建章立制及责任追究情况</w:t>
            </w:r>
          </w:p>
        </w:tc>
        <w:tc>
          <w:tcPr>
            <w:tcW w:w="14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审计发现问题整改结果（审计机关填写）</w:t>
            </w:r>
          </w:p>
        </w:tc>
      </w:tr>
      <w:tr>
        <w:tblPrEx>
          <w:tblLayout w:type="fixed"/>
          <w:tblCellMar>
            <w:top w:w="0" w:type="dxa"/>
            <w:left w:w="108" w:type="dxa"/>
            <w:bottom w:w="0" w:type="dxa"/>
            <w:right w:w="108" w:type="dxa"/>
          </w:tblCellMar>
        </w:tblPrEx>
        <w:trPr>
          <w:trHeight w:val="1715" w:hRule="atLeast"/>
        </w:trPr>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896"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审计发现问题涉及金额（万元）</w:t>
            </w:r>
          </w:p>
        </w:tc>
        <w:tc>
          <w:tcPr>
            <w:tcW w:w="9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已按要求上缴财政资金（万元）</w:t>
            </w:r>
          </w:p>
        </w:tc>
        <w:tc>
          <w:tcPr>
            <w:tcW w:w="82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已归还原渠道资金（万元</w:t>
            </w:r>
          </w:p>
        </w:tc>
        <w:tc>
          <w:tcPr>
            <w:tcW w:w="9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已调账处理金额（万元）</w:t>
            </w:r>
          </w:p>
        </w:tc>
        <w:tc>
          <w:tcPr>
            <w:tcW w:w="100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已整改其他问题金额（万元）</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制定或完善规章制度（条）</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处理有关责任人员（人）</w:t>
            </w:r>
          </w:p>
        </w:tc>
        <w:tc>
          <w:tcPr>
            <w:tcW w:w="1000" w:type="dxa"/>
            <w:tcBorders>
              <w:top w:val="nil"/>
              <w:left w:val="nil"/>
              <w:bottom w:val="single" w:color="auto" w:sz="4" w:space="0"/>
              <w:right w:val="single" w:color="auto" w:sz="4" w:space="0"/>
            </w:tcBorders>
            <w:vAlign w:val="center"/>
          </w:tcPr>
          <w:p>
            <w:pPr>
              <w:widowControl/>
              <w:ind w:firstLine="120" w:firstLineChars="50"/>
              <w:jc w:val="left"/>
              <w:rPr>
                <w:rFonts w:ascii="仿宋_GB2312" w:hAnsi="宋体" w:cs="宋体"/>
                <w:sz w:val="24"/>
                <w:szCs w:val="24"/>
              </w:rPr>
            </w:pPr>
            <w:r>
              <w:rPr>
                <w:rFonts w:hint="eastAsia" w:ascii="仿宋_GB2312" w:hAnsi="宋体" w:cs="宋体"/>
                <w:sz w:val="24"/>
                <w:szCs w:val="24"/>
              </w:rPr>
              <w:t>处理</w:t>
            </w:r>
          </w:p>
          <w:p>
            <w:pPr>
              <w:widowControl/>
              <w:ind w:firstLine="120" w:firstLineChars="50"/>
              <w:jc w:val="left"/>
              <w:rPr>
                <w:rFonts w:ascii="仿宋_GB2312" w:hAnsi="宋体" w:cs="宋体"/>
                <w:sz w:val="24"/>
                <w:szCs w:val="24"/>
              </w:rPr>
            </w:pPr>
            <w:r>
              <w:rPr>
                <w:rFonts w:hint="eastAsia" w:ascii="仿宋_GB2312" w:hAnsi="宋体" w:cs="宋体"/>
                <w:sz w:val="24"/>
                <w:szCs w:val="24"/>
              </w:rPr>
              <w:t>方式</w:t>
            </w:r>
          </w:p>
        </w:tc>
        <w:tc>
          <w:tcPr>
            <w:tcW w:w="760" w:type="dxa"/>
            <w:tcBorders>
              <w:top w:val="nil"/>
              <w:left w:val="nil"/>
              <w:bottom w:val="single" w:color="auto" w:sz="4" w:space="0"/>
              <w:right w:val="single" w:color="auto" w:sz="4" w:space="0"/>
            </w:tcBorders>
            <w:vAlign w:val="center"/>
          </w:tcPr>
          <w:p>
            <w:pPr>
              <w:widowControl/>
              <w:rPr>
                <w:rFonts w:ascii="仿宋_GB2312" w:hAnsi="宋体" w:cs="宋体"/>
                <w:sz w:val="24"/>
                <w:szCs w:val="24"/>
              </w:rPr>
            </w:pPr>
            <w:r>
              <w:rPr>
                <w:rFonts w:hint="eastAsia" w:ascii="仿宋_GB2312" w:hAnsi="宋体" w:cs="宋体"/>
                <w:sz w:val="24"/>
                <w:szCs w:val="24"/>
              </w:rPr>
              <w:t>初步判定</w:t>
            </w:r>
          </w:p>
        </w:tc>
        <w:tc>
          <w:tcPr>
            <w:tcW w:w="700" w:type="dxa"/>
            <w:tcBorders>
              <w:top w:val="nil"/>
              <w:left w:val="nil"/>
              <w:bottom w:val="single" w:color="auto" w:sz="4" w:space="0"/>
              <w:right w:val="single" w:color="auto" w:sz="4" w:space="0"/>
            </w:tcBorders>
            <w:vAlign w:val="center"/>
          </w:tcPr>
          <w:p>
            <w:pPr>
              <w:widowControl/>
              <w:rPr>
                <w:rFonts w:ascii="仿宋_GB2312" w:hAnsi="宋体" w:cs="宋体"/>
                <w:sz w:val="24"/>
                <w:szCs w:val="24"/>
              </w:rPr>
            </w:pPr>
            <w:r>
              <w:rPr>
                <w:rFonts w:hint="eastAsia" w:ascii="仿宋_GB2312" w:hAnsi="宋体" w:cs="宋体"/>
                <w:sz w:val="24"/>
                <w:szCs w:val="24"/>
              </w:rPr>
              <w:t>核查结果</w:t>
            </w:r>
          </w:p>
        </w:tc>
      </w:tr>
      <w:tr>
        <w:tblPrEx>
          <w:tblLayout w:type="fixed"/>
          <w:tblCellMar>
            <w:top w:w="0" w:type="dxa"/>
            <w:left w:w="108" w:type="dxa"/>
            <w:bottom w:w="0" w:type="dxa"/>
            <w:right w:w="108" w:type="dxa"/>
          </w:tblCellMar>
        </w:tblPrEx>
        <w:trPr>
          <w:trHeight w:val="90"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eastAsia="宋体"/>
                <w:szCs w:val="32"/>
              </w:rPr>
            </w:pPr>
            <w:r>
              <w:rPr>
                <w:rFonts w:hint="eastAsia" w:eastAsia="宋体"/>
                <w:szCs w:val="32"/>
              </w:rPr>
              <w:t>　</w:t>
            </w:r>
            <w:r>
              <w:rPr>
                <w:rFonts w:hint="eastAsia" w:ascii="仿宋_GB2312" w:hAnsi="宋体" w:cs="宋体"/>
                <w:sz w:val="24"/>
                <w:szCs w:val="24"/>
              </w:rPr>
              <w:t>1</w:t>
            </w:r>
          </w:p>
        </w:tc>
        <w:tc>
          <w:tcPr>
            <w:tcW w:w="993" w:type="dxa"/>
            <w:tcBorders>
              <w:top w:val="nil"/>
              <w:left w:val="nil"/>
              <w:bottom w:val="single" w:color="auto" w:sz="4" w:space="0"/>
              <w:right w:val="single" w:color="auto" w:sz="4" w:space="0"/>
            </w:tcBorders>
            <w:vAlign w:val="center"/>
          </w:tcPr>
          <w:p>
            <w:pPr>
              <w:widowControl/>
              <w:jc w:val="center"/>
              <w:rPr>
                <w:rFonts w:eastAsia="宋体"/>
                <w:sz w:val="15"/>
                <w:szCs w:val="15"/>
              </w:rPr>
            </w:pPr>
            <w:r>
              <w:rPr>
                <w:rFonts w:hint="eastAsia" w:ascii="仿宋_GB2312" w:cs="仿宋_GB2312" w:hAnsiTheme="minorHAnsi"/>
                <w:kern w:val="0"/>
                <w:sz w:val="22"/>
                <w:szCs w:val="32"/>
                <w:lang w:val="en-US" w:eastAsia="zh-CN"/>
              </w:rPr>
              <w:t>部分项目预算执行率较低问题</w:t>
            </w:r>
          </w:p>
        </w:tc>
        <w:tc>
          <w:tcPr>
            <w:tcW w:w="1417" w:type="dxa"/>
            <w:tcBorders>
              <w:top w:val="nil"/>
              <w:left w:val="nil"/>
              <w:bottom w:val="single" w:color="auto" w:sz="4" w:space="0"/>
              <w:right w:val="single" w:color="auto" w:sz="4" w:space="0"/>
            </w:tcBorders>
            <w:vAlign w:val="center"/>
          </w:tcPr>
          <w:p>
            <w:pPr>
              <w:autoSpaceDE w:val="0"/>
              <w:autoSpaceDN w:val="0"/>
              <w:adjustRightInd w:val="0"/>
              <w:jc w:val="left"/>
              <w:rPr>
                <w:rFonts w:hint="eastAsia" w:ascii="仿宋_GB2312" w:cs="仿宋_GB2312"/>
                <w:kern w:val="0"/>
                <w:sz w:val="22"/>
                <w:szCs w:val="32"/>
              </w:rPr>
            </w:pPr>
            <w:r>
              <w:rPr>
                <w:rFonts w:hint="eastAsia" w:ascii="仿宋_GB2312" w:cs="仿宋_GB2312"/>
                <w:kern w:val="0"/>
                <w:sz w:val="22"/>
                <w:szCs w:val="32"/>
              </w:rPr>
              <w:t>各相关部门各相关部门应根据预算法及相关管理办法，切实加强预算执行管理，提高财政支出预算执行率，建立健全预算执行的程序和制度，对低效无效支出、不合理、不合规支出等统筹清理盘活，提高预算执行率。</w:t>
            </w:r>
          </w:p>
          <w:p>
            <w:pPr>
              <w:widowControl/>
              <w:jc w:val="center"/>
              <w:rPr>
                <w:rFonts w:eastAsia="宋体"/>
                <w:sz w:val="22"/>
                <w:szCs w:val="32"/>
              </w:rPr>
            </w:pPr>
          </w:p>
        </w:tc>
        <w:tc>
          <w:tcPr>
            <w:tcW w:w="1134" w:type="dxa"/>
            <w:tcBorders>
              <w:top w:val="nil"/>
              <w:left w:val="nil"/>
              <w:bottom w:val="single" w:color="auto" w:sz="4" w:space="0"/>
              <w:right w:val="single" w:color="auto" w:sz="4" w:space="0"/>
            </w:tcBorders>
            <w:vAlign w:val="center"/>
          </w:tcPr>
          <w:p>
            <w:pPr>
              <w:autoSpaceDE w:val="0"/>
              <w:autoSpaceDN w:val="0"/>
              <w:adjustRightInd w:val="0"/>
              <w:jc w:val="left"/>
              <w:rPr>
                <w:rFonts w:hint="eastAsia" w:ascii="仿宋_GB2312" w:cs="仿宋_GB2312"/>
                <w:kern w:val="0"/>
                <w:sz w:val="22"/>
                <w:szCs w:val="32"/>
              </w:rPr>
            </w:pPr>
            <w:r>
              <w:rPr>
                <w:rFonts w:hint="eastAsia" w:ascii="仿宋_GB2312" w:cs="仿宋_GB2312"/>
                <w:kern w:val="0"/>
                <w:sz w:val="22"/>
                <w:szCs w:val="32"/>
                <w:lang w:val="en-US" w:eastAsia="zh-CN"/>
              </w:rPr>
              <w:t>我局于2020年9月8日修订的机关财务管理办法中，增加了政府投资预算申报内容，进一步规范政府投资预算申报，建立健全预算执行的程序和制度，切实加强预算执行管理，提高财政支出预算执行率。</w:t>
            </w:r>
            <w:bookmarkStart w:id="0" w:name="_GoBack"/>
            <w:bookmarkEnd w:id="0"/>
          </w:p>
          <w:p>
            <w:pPr>
              <w:widowControl/>
              <w:rPr>
                <w:rFonts w:hint="eastAsia" w:eastAsia="仿宋_GB2312"/>
                <w:szCs w:val="32"/>
                <w:lang w:val="en-US" w:eastAsia="zh-CN"/>
              </w:rPr>
            </w:pPr>
          </w:p>
        </w:tc>
        <w:tc>
          <w:tcPr>
            <w:tcW w:w="1134"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 w:val="21"/>
                <w:szCs w:val="32"/>
              </w:rPr>
              <w:t>已整改</w:t>
            </w:r>
          </w:p>
        </w:tc>
        <w:tc>
          <w:tcPr>
            <w:tcW w:w="992"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96"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2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p>
        </w:tc>
        <w:tc>
          <w:tcPr>
            <w:tcW w:w="7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r>
      <w:tr>
        <w:tblPrEx>
          <w:tblLayout w:type="fixed"/>
          <w:tblCellMar>
            <w:top w:w="0" w:type="dxa"/>
            <w:left w:w="108" w:type="dxa"/>
            <w:bottom w:w="0" w:type="dxa"/>
            <w:right w:w="108" w:type="dxa"/>
          </w:tblCellMar>
        </w:tblPrEx>
        <w:trPr>
          <w:trHeight w:val="643"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szCs w:val="32"/>
                <w:lang w:eastAsia="zh-CN"/>
              </w:rPr>
            </w:pPr>
            <w:r>
              <w:rPr>
                <w:rFonts w:hint="eastAsia" w:eastAsia="宋体"/>
                <w:szCs w:val="32"/>
              </w:rPr>
              <w:t>　</w:t>
            </w:r>
            <w:r>
              <w:rPr>
                <w:rFonts w:hint="eastAsia" w:ascii="仿宋_GB2312" w:hAnsi="宋体" w:eastAsia="宋体" w:cs="宋体"/>
                <w:sz w:val="24"/>
                <w:szCs w:val="24"/>
                <w:lang w:val="en-US" w:eastAsia="zh-CN"/>
              </w:rPr>
              <w:t>2</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eastAsia="宋体"/>
                <w:szCs w:val="32"/>
              </w:rPr>
            </w:pPr>
            <w:r>
              <w:rPr>
                <w:rFonts w:hint="eastAsia" w:ascii="仿宋_GB2312"/>
                <w:sz w:val="24"/>
              </w:rPr>
              <w:t>合同签订时间超过中标时间十个工作日以上</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_GB2312" w:cs="仿宋_GB2312" w:hAnsiTheme="minorHAnsi"/>
                <w:kern w:val="0"/>
                <w:sz w:val="22"/>
              </w:rPr>
            </w:pPr>
            <w:r>
              <w:rPr>
                <w:rFonts w:hint="eastAsia" w:ascii="仿宋_GB2312" w:cs="仿宋_GB2312" w:hAnsiTheme="minorHAnsi"/>
                <w:kern w:val="0"/>
                <w:sz w:val="22"/>
                <w:szCs w:val="32"/>
              </w:rPr>
              <w:t>各相关部门应严格执行政府采购时效性方面的规定，及时签订政府采购合同。</w:t>
            </w:r>
          </w:p>
          <w:p>
            <w:pPr>
              <w:widowControl/>
              <w:jc w:val="center"/>
              <w:rPr>
                <w:rFonts w:eastAsia="宋体"/>
                <w:szCs w:val="32"/>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_GB2312" w:cs="仿宋_GB2312"/>
                <w:kern w:val="0"/>
                <w:sz w:val="22"/>
                <w:szCs w:val="32"/>
              </w:rPr>
            </w:pPr>
            <w:r>
              <w:rPr>
                <w:rFonts w:hint="eastAsia" w:ascii="仿宋_GB2312" w:hAnsi="仿宋"/>
                <w:sz w:val="22"/>
                <w:szCs w:val="30"/>
              </w:rPr>
              <w:t>1.系统梳理学习</w:t>
            </w:r>
            <w:r>
              <w:rPr>
                <w:rFonts w:hint="eastAsia" w:ascii="仿宋_GB2312" w:cs="仿宋_GB2312"/>
                <w:kern w:val="0"/>
                <w:sz w:val="22"/>
                <w:szCs w:val="32"/>
              </w:rPr>
              <w:t>《深圳经济特区政府采购条例》等采购有关法规文件，确保真正弄懂和掌握政府采购各项环节、流程；</w:t>
            </w:r>
          </w:p>
          <w:p>
            <w:pPr>
              <w:widowControl/>
              <w:rPr>
                <w:rFonts w:eastAsia="宋体"/>
                <w:szCs w:val="32"/>
              </w:rPr>
            </w:pPr>
            <w:r>
              <w:rPr>
                <w:rFonts w:hint="eastAsia" w:eastAsia="宋体"/>
                <w:sz w:val="22"/>
                <w:szCs w:val="32"/>
              </w:rPr>
              <w:t>2.</w:t>
            </w:r>
            <w:r>
              <w:rPr>
                <w:rFonts w:hint="eastAsia" w:ascii="仿宋_GB2312" w:cs="仿宋_GB2312"/>
                <w:kern w:val="0"/>
                <w:sz w:val="22"/>
                <w:szCs w:val="32"/>
              </w:rPr>
              <w:t>加强合同履约管理；3.</w:t>
            </w:r>
            <w:r>
              <w:rPr>
                <w:rFonts w:hint="eastAsia" w:ascii="仿宋_GB2312" w:hAnsi="仿宋_GB2312" w:cs="仿宋_GB2312"/>
                <w:bCs/>
                <w:sz w:val="22"/>
                <w:szCs w:val="32"/>
              </w:rPr>
              <w:t>依法合规，提高效率</w:t>
            </w:r>
            <w:r>
              <w:rPr>
                <w:rFonts w:hint="eastAsia" w:ascii="仿宋_GB2312" w:hAnsi="仿宋_GB2312" w:cs="仿宋_GB2312"/>
                <w:b/>
                <w:bCs/>
                <w:sz w:val="22"/>
                <w:szCs w:val="32"/>
              </w:rPr>
              <w:t>。</w:t>
            </w:r>
          </w:p>
        </w:tc>
        <w:tc>
          <w:tcPr>
            <w:tcW w:w="1134"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 w:val="21"/>
                <w:szCs w:val="32"/>
              </w:rPr>
              <w:t>已整改</w:t>
            </w:r>
          </w:p>
        </w:tc>
        <w:tc>
          <w:tcPr>
            <w:tcW w:w="992"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96"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2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6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00" w:type="dxa"/>
            <w:tcBorders>
              <w:top w:val="single" w:color="auto" w:sz="4" w:space="0"/>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r>
      <w:tr>
        <w:tblPrEx>
          <w:tblLayout w:type="fixed"/>
          <w:tblCellMar>
            <w:top w:w="0" w:type="dxa"/>
            <w:left w:w="108" w:type="dxa"/>
            <w:bottom w:w="0" w:type="dxa"/>
            <w:right w:w="108" w:type="dxa"/>
          </w:tblCellMar>
        </w:tblPrEx>
        <w:trPr>
          <w:trHeight w:val="269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szCs w:val="32"/>
                <w:lang w:eastAsia="zh-CN"/>
              </w:rPr>
            </w:pPr>
            <w:r>
              <w:rPr>
                <w:rFonts w:hint="eastAsia" w:eastAsia="宋体"/>
                <w:szCs w:val="32"/>
              </w:rPr>
              <w:t>　</w:t>
            </w:r>
            <w:r>
              <w:rPr>
                <w:rFonts w:hint="eastAsia" w:ascii="仿宋_GB2312" w:hAnsi="宋体" w:eastAsia="宋体" w:cs="宋体"/>
                <w:sz w:val="24"/>
                <w:szCs w:val="24"/>
                <w:lang w:val="en-US" w:eastAsia="zh-CN"/>
              </w:rPr>
              <w:t>3</w:t>
            </w:r>
          </w:p>
        </w:tc>
        <w:tc>
          <w:tcPr>
            <w:tcW w:w="993" w:type="dxa"/>
            <w:tcBorders>
              <w:top w:val="single" w:color="auto" w:sz="4" w:space="0"/>
              <w:left w:val="nil"/>
              <w:bottom w:val="single" w:color="auto" w:sz="4" w:space="0"/>
              <w:right w:val="single" w:color="auto" w:sz="4" w:space="0"/>
            </w:tcBorders>
            <w:vAlign w:val="center"/>
          </w:tcPr>
          <w:p>
            <w:pPr>
              <w:widowControl/>
              <w:rPr>
                <w:rFonts w:hint="eastAsia" w:ascii="仿宋_GB2312"/>
                <w:sz w:val="24"/>
              </w:rPr>
            </w:pPr>
            <w:r>
              <w:rPr>
                <w:rFonts w:hint="eastAsia" w:ascii="仿宋_GB2312"/>
                <w:sz w:val="24"/>
              </w:rPr>
              <w:t>会议、培训费无预算及超预算支出</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_GB2312" w:cs="仿宋_GB2312" w:hAnsiTheme="minorHAnsi"/>
                <w:kern w:val="0"/>
                <w:sz w:val="22"/>
                <w:szCs w:val="32"/>
              </w:rPr>
            </w:pPr>
            <w:r>
              <w:rPr>
                <w:rFonts w:hint="eastAsia" w:ascii="仿宋_GB2312" w:cs="仿宋_GB2312" w:hAnsiTheme="minorHAnsi"/>
                <w:kern w:val="0"/>
                <w:sz w:val="22"/>
                <w:szCs w:val="32"/>
              </w:rPr>
              <w:t>各相关部门应按照预算法以及深圳市年度预算编制规定，规范相关项目的预算编制，确保预算开支的刚性约束，不得擅自改</w:t>
            </w:r>
          </w:p>
          <w:p>
            <w:pPr>
              <w:autoSpaceDE w:val="0"/>
              <w:autoSpaceDN w:val="0"/>
              <w:adjustRightInd w:val="0"/>
              <w:jc w:val="left"/>
              <w:rPr>
                <w:rFonts w:ascii="仿宋_GB2312" w:cs="仿宋_GB2312" w:hAnsiTheme="minorHAnsi"/>
                <w:kern w:val="0"/>
                <w:sz w:val="15"/>
              </w:rPr>
            </w:pPr>
            <w:r>
              <w:rPr>
                <w:rFonts w:hint="eastAsia" w:ascii="仿宋_GB2312" w:cs="仿宋_GB2312" w:hAnsiTheme="minorHAnsi"/>
                <w:kern w:val="0"/>
                <w:sz w:val="22"/>
                <w:szCs w:val="32"/>
              </w:rPr>
              <w:t>变资金用途</w:t>
            </w:r>
          </w:p>
          <w:p>
            <w:pPr>
              <w:widowControl/>
              <w:rPr>
                <w:rFonts w:hint="eastAsia" w:eastAsia="宋体"/>
                <w:szCs w:val="32"/>
              </w:rPr>
            </w:pPr>
          </w:p>
        </w:tc>
        <w:tc>
          <w:tcPr>
            <w:tcW w:w="1134" w:type="dxa"/>
            <w:tcBorders>
              <w:top w:val="single" w:color="auto" w:sz="4" w:space="0"/>
              <w:left w:val="nil"/>
              <w:bottom w:val="single" w:color="auto" w:sz="4" w:space="0"/>
              <w:right w:val="single" w:color="auto" w:sz="4" w:space="0"/>
            </w:tcBorders>
            <w:vAlign w:val="center"/>
          </w:tcPr>
          <w:p>
            <w:pPr>
              <w:widowControl/>
              <w:rPr>
                <w:rFonts w:hint="eastAsia" w:eastAsia="宋体"/>
                <w:sz w:val="24"/>
                <w:szCs w:val="32"/>
              </w:rPr>
            </w:pPr>
            <w:r>
              <w:rPr>
                <w:rFonts w:hint="eastAsia" w:ascii="仿宋_GB2312"/>
                <w:sz w:val="22"/>
                <w:szCs w:val="32"/>
              </w:rPr>
              <w:t>1.核减2021年此类项目预算。2.完善会议管理长效工作机制。3.进一步加强和完善培训费管理工作。</w:t>
            </w:r>
          </w:p>
        </w:tc>
        <w:tc>
          <w:tcPr>
            <w:tcW w:w="1134"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r>
              <w:rPr>
                <w:rFonts w:hint="eastAsia" w:eastAsia="宋体"/>
                <w:sz w:val="24"/>
                <w:szCs w:val="32"/>
              </w:rPr>
              <w:t>已整改</w:t>
            </w:r>
          </w:p>
        </w:tc>
        <w:tc>
          <w:tcPr>
            <w:tcW w:w="992"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896"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82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7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7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r>
      <w:tr>
        <w:tblPrEx>
          <w:tblLayout w:type="fixed"/>
          <w:tblCellMar>
            <w:top w:w="0" w:type="dxa"/>
            <w:left w:w="108" w:type="dxa"/>
            <w:bottom w:w="0" w:type="dxa"/>
            <w:right w:w="108" w:type="dxa"/>
          </w:tblCellMar>
        </w:tblPrEx>
        <w:trPr>
          <w:trHeight w:val="247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sz w:val="24"/>
                <w:szCs w:val="32"/>
                <w:lang w:eastAsia="zh-CN"/>
              </w:rPr>
            </w:pPr>
            <w:r>
              <w:rPr>
                <w:rFonts w:hint="eastAsia" w:eastAsia="宋体"/>
                <w:sz w:val="24"/>
                <w:szCs w:val="32"/>
                <w:lang w:val="en-US" w:eastAsia="zh-CN"/>
              </w:rPr>
              <w:t>4</w:t>
            </w:r>
          </w:p>
        </w:tc>
        <w:tc>
          <w:tcPr>
            <w:tcW w:w="993" w:type="dxa"/>
            <w:tcBorders>
              <w:top w:val="single" w:color="auto" w:sz="4" w:space="0"/>
              <w:left w:val="nil"/>
              <w:bottom w:val="single" w:color="auto" w:sz="4" w:space="0"/>
              <w:right w:val="single" w:color="auto" w:sz="4" w:space="0"/>
            </w:tcBorders>
            <w:vAlign w:val="center"/>
          </w:tcPr>
          <w:p>
            <w:pPr>
              <w:widowControl/>
              <w:rPr>
                <w:rFonts w:hint="eastAsia" w:ascii="仿宋_GB2312"/>
                <w:sz w:val="24"/>
              </w:rPr>
            </w:pPr>
            <w:r>
              <w:rPr>
                <w:rFonts w:hint="eastAsia" w:ascii="仿宋_GB2312"/>
                <w:sz w:val="24"/>
              </w:rPr>
              <w:t>往来款项未及时清理</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eastAsia="宋体"/>
                <w:szCs w:val="32"/>
              </w:rPr>
            </w:pPr>
            <w:r>
              <w:rPr>
                <w:rFonts w:hint="eastAsia" w:ascii="仿宋_GB2312" w:cs="仿宋_GB2312" w:hAnsiTheme="minorHAnsi"/>
                <w:kern w:val="0"/>
                <w:sz w:val="24"/>
                <w:szCs w:val="32"/>
              </w:rPr>
              <w:t>各部门应严格执行相关规定，及时清理往来款项，不得长期挂账，确实无法支付或退还的</w:t>
            </w:r>
            <w:r>
              <w:rPr>
                <w:rFonts w:hint="eastAsia" w:ascii="仿宋_GB2312" w:cs="仿宋_GB2312" w:hAnsiTheme="minorHAnsi"/>
                <w:kern w:val="0"/>
                <w:sz w:val="24"/>
                <w:szCs w:val="32"/>
                <w:lang w:val="en-US" w:eastAsia="zh-CN"/>
              </w:rPr>
              <w:t>应</w:t>
            </w:r>
            <w:r>
              <w:rPr>
                <w:rFonts w:hint="eastAsia" w:ascii="仿宋_GB2312" w:cs="仿宋_GB2312" w:hAnsiTheme="minorHAnsi"/>
                <w:kern w:val="0"/>
                <w:sz w:val="24"/>
                <w:szCs w:val="32"/>
              </w:rPr>
              <w:t>上缴财政</w:t>
            </w:r>
            <w:r>
              <w:rPr>
                <w:rFonts w:hint="eastAsia" w:ascii="仿宋_GB2312" w:cs="仿宋_GB2312" w:hAnsiTheme="minorHAnsi"/>
                <w:kern w:val="0"/>
                <w:szCs w:val="32"/>
              </w:rPr>
              <w:t>。</w:t>
            </w:r>
          </w:p>
        </w:tc>
        <w:tc>
          <w:tcPr>
            <w:tcW w:w="1134" w:type="dxa"/>
            <w:tcBorders>
              <w:top w:val="single" w:color="auto" w:sz="4" w:space="0"/>
              <w:left w:val="nil"/>
              <w:bottom w:val="single" w:color="auto" w:sz="4" w:space="0"/>
              <w:right w:val="single" w:color="auto" w:sz="4" w:space="0"/>
            </w:tcBorders>
            <w:vAlign w:val="center"/>
          </w:tcPr>
          <w:p>
            <w:pPr>
              <w:widowControl/>
              <w:rPr>
                <w:rFonts w:hint="eastAsia" w:ascii="仿宋_GB2312" w:cs="仿宋_GB2312" w:hAnsiTheme="minorHAnsi"/>
                <w:kern w:val="0"/>
                <w:sz w:val="24"/>
                <w:szCs w:val="32"/>
              </w:rPr>
            </w:pPr>
            <w:r>
              <w:rPr>
                <w:rFonts w:hint="eastAsia" w:ascii="仿宋_GB2312" w:cs="仿宋_GB2312" w:hAnsiTheme="minorHAnsi"/>
                <w:kern w:val="0"/>
                <w:sz w:val="24"/>
                <w:szCs w:val="32"/>
              </w:rPr>
              <w:t>1.梳理长期挂账的往来款。2.召开往来款项清理专题会议</w:t>
            </w:r>
          </w:p>
        </w:tc>
        <w:tc>
          <w:tcPr>
            <w:tcW w:w="1134" w:type="dxa"/>
            <w:tcBorders>
              <w:top w:val="single" w:color="auto" w:sz="4" w:space="0"/>
              <w:left w:val="nil"/>
              <w:bottom w:val="single" w:color="auto" w:sz="4" w:space="0"/>
              <w:right w:val="single" w:color="auto" w:sz="4" w:space="0"/>
            </w:tcBorders>
            <w:vAlign w:val="center"/>
          </w:tcPr>
          <w:p>
            <w:pPr>
              <w:widowControl/>
              <w:rPr>
                <w:rFonts w:hint="eastAsia" w:eastAsia="宋体"/>
                <w:sz w:val="24"/>
                <w:szCs w:val="32"/>
              </w:rPr>
            </w:pPr>
            <w:r>
              <w:rPr>
                <w:rFonts w:hint="eastAsia" w:eastAsia="宋体"/>
                <w:sz w:val="24"/>
                <w:szCs w:val="32"/>
              </w:rPr>
              <w:t>正在整改</w:t>
            </w:r>
          </w:p>
        </w:tc>
        <w:tc>
          <w:tcPr>
            <w:tcW w:w="992"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896"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82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10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76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c>
          <w:tcPr>
            <w:tcW w:w="700" w:type="dxa"/>
            <w:tcBorders>
              <w:top w:val="single" w:color="auto" w:sz="4" w:space="0"/>
              <w:left w:val="nil"/>
              <w:bottom w:val="single" w:color="auto" w:sz="4" w:space="0"/>
              <w:right w:val="single" w:color="auto" w:sz="4" w:space="0"/>
            </w:tcBorders>
            <w:vAlign w:val="center"/>
          </w:tcPr>
          <w:p>
            <w:pPr>
              <w:widowControl/>
              <w:rPr>
                <w:rFonts w:hint="eastAsia" w:eastAsia="宋体"/>
                <w:szCs w:val="32"/>
              </w:rPr>
            </w:pPr>
          </w:p>
        </w:tc>
      </w:tr>
    </w:tbl>
    <w:p>
      <w:pPr>
        <w:snapToGrid w:val="0"/>
        <w:spacing w:line="500" w:lineRule="exact"/>
        <w:rPr>
          <w:rFonts w:ascii="仿宋_GB2312"/>
          <w:sz w:val="22"/>
        </w:rPr>
      </w:pPr>
      <w:r>
        <w:rPr>
          <w:rFonts w:hint="eastAsia"/>
          <w:sz w:val="22"/>
        </w:rPr>
        <w:t>说明：</w:t>
      </w:r>
      <w:r>
        <w:rPr>
          <w:rFonts w:hint="eastAsia" w:ascii="仿宋_GB2312"/>
          <w:sz w:val="22"/>
        </w:rPr>
        <w:t>1.“审计发现问题”、“审计处理意见或建议”、“审计发现问题整改措施”等列的填写应当与审计报告问题部分一一对应，细化到最小项。</w:t>
      </w:r>
    </w:p>
    <w:p>
      <w:pPr>
        <w:snapToGrid w:val="0"/>
        <w:spacing w:line="500" w:lineRule="exact"/>
        <w:rPr>
          <w:rFonts w:ascii="仿宋_GB2312"/>
          <w:sz w:val="22"/>
        </w:rPr>
      </w:pPr>
      <w:r>
        <w:rPr>
          <w:rFonts w:ascii="仿宋_GB2312"/>
          <w:sz w:val="22"/>
        </w:rPr>
        <w:t>2.</w:t>
      </w:r>
      <w:r>
        <w:rPr>
          <w:rFonts w:hint="eastAsia" w:ascii="仿宋_GB2312"/>
          <w:sz w:val="22"/>
        </w:rPr>
        <w:t>审计发现问题整改结果按已整改/正在整改/未整改填写。</w:t>
      </w:r>
    </w:p>
    <w:p>
      <w:pPr>
        <w:snapToGrid w:val="0"/>
        <w:spacing w:line="500" w:lineRule="exact"/>
        <w:rPr>
          <w:rFonts w:ascii="仿宋_GB2312"/>
          <w:sz w:val="22"/>
        </w:rPr>
      </w:pPr>
      <w:r>
        <w:rPr>
          <w:rFonts w:hint="eastAsia" w:ascii="仿宋_GB2312"/>
          <w:sz w:val="22"/>
        </w:rPr>
        <w:t>3.对审计发现问题整改采取的措施（如资金上缴或调账处理、制定完善相关制度、对相关人员进行问责处理等），应提供相应的佐证资料一并报送。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3CFD"/>
    <w:rsid w:val="002E4B42"/>
    <w:rsid w:val="003D3E12"/>
    <w:rsid w:val="005A112F"/>
    <w:rsid w:val="005D58B9"/>
    <w:rsid w:val="00746158"/>
    <w:rsid w:val="008067AD"/>
    <w:rsid w:val="008714EE"/>
    <w:rsid w:val="00A020CC"/>
    <w:rsid w:val="00BD652E"/>
    <w:rsid w:val="00C161C6"/>
    <w:rsid w:val="00D30765"/>
    <w:rsid w:val="00E533BA"/>
    <w:rsid w:val="00EF3076"/>
    <w:rsid w:val="00F6619F"/>
    <w:rsid w:val="00F93CFD"/>
    <w:rsid w:val="16A24431"/>
    <w:rsid w:val="17D34DF7"/>
    <w:rsid w:val="44F64A90"/>
    <w:rsid w:val="5A36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0"/>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qFormat/>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136</Words>
  <Characters>780</Characters>
  <Lines>6</Lines>
  <Paragraphs>1</Paragraphs>
  <TotalTime>3</TotalTime>
  <ScaleCrop>false</ScaleCrop>
  <LinksUpToDate>false</LinksUpToDate>
  <CharactersWithSpaces>915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2020-09-24T11:27:00Z</dcterms:created>
  <dc:creator>关慧敏</dc:creator>
  <cp:lastModifiedBy>LZH</cp:lastModifiedBy>
  <dcterms:modified xsi:type="dcterms:W3CDTF">2020-09-27T01:36:36Z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