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2</w:t>
      </w:r>
      <w:bookmarkStart w:id="0" w:name="_GoBack"/>
      <w:bookmarkEnd w:id="0"/>
    </w:p>
    <w:p>
      <w:pPr>
        <w:pStyle w:val="2"/>
        <w:adjustRightInd w:val="0"/>
        <w:snapToGrid w:val="0"/>
        <w:spacing w:line="579"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深圳市本级2019年度部门预算执行和其他财政收支情况大数据专项审计调查项目审计发现问题整改情况</w:t>
      </w:r>
    </w:p>
    <w:p>
      <w:pPr>
        <w:pStyle w:val="2"/>
        <w:adjustRightInd w:val="0"/>
        <w:snapToGrid w:val="0"/>
        <w:spacing w:line="579" w:lineRule="exact"/>
        <w:jc w:val="center"/>
        <w:rPr>
          <w:rFonts w:ascii="方正小标宋简体" w:hAnsi="宋体" w:eastAsia="方正小标宋简体"/>
          <w:sz w:val="44"/>
          <w:szCs w:val="44"/>
        </w:rPr>
      </w:pPr>
    </w:p>
    <w:p>
      <w:r>
        <w:rPr>
          <w:rFonts w:hint="eastAsia"/>
        </w:rPr>
        <w:t>被审计单位：深圳交响乐团       联系人：祝萌      联系方式：85418081</w:t>
      </w:r>
    </w:p>
    <w:tbl>
      <w:tblPr>
        <w:tblStyle w:val="5"/>
        <w:tblW w:w="15192" w:type="dxa"/>
        <w:tblInd w:w="-318" w:type="dxa"/>
        <w:tblLayout w:type="fixed"/>
        <w:tblCellMar>
          <w:top w:w="0" w:type="dxa"/>
          <w:left w:w="108" w:type="dxa"/>
          <w:bottom w:w="0" w:type="dxa"/>
          <w:right w:w="108" w:type="dxa"/>
        </w:tblCellMar>
      </w:tblPr>
      <w:tblGrid>
        <w:gridCol w:w="426"/>
        <w:gridCol w:w="993"/>
        <w:gridCol w:w="1417"/>
        <w:gridCol w:w="1134"/>
        <w:gridCol w:w="1134"/>
        <w:gridCol w:w="992"/>
        <w:gridCol w:w="896"/>
        <w:gridCol w:w="960"/>
        <w:gridCol w:w="820"/>
        <w:gridCol w:w="960"/>
        <w:gridCol w:w="1000"/>
        <w:gridCol w:w="1000"/>
        <w:gridCol w:w="1000"/>
        <w:gridCol w:w="1000"/>
        <w:gridCol w:w="760"/>
        <w:gridCol w:w="700"/>
      </w:tblGrid>
      <w:tr>
        <w:tblPrEx>
          <w:tblCellMar>
            <w:top w:w="0" w:type="dxa"/>
            <w:left w:w="108" w:type="dxa"/>
            <w:bottom w:w="0" w:type="dxa"/>
            <w:right w:w="108" w:type="dxa"/>
          </w:tblCellMar>
        </w:tblPrEx>
        <w:trPr>
          <w:trHeight w:val="974" w:hRule="atLeast"/>
        </w:trPr>
        <w:tc>
          <w:tcPr>
            <w:tcW w:w="42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序号</w:t>
            </w:r>
          </w:p>
        </w:tc>
        <w:tc>
          <w:tcPr>
            <w:tcW w:w="9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审计处理意见或建议</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_GB2312" w:hAnsi="宋体" w:cs="宋体"/>
                <w:sz w:val="24"/>
                <w:szCs w:val="24"/>
              </w:rPr>
            </w:pPr>
            <w:r>
              <w:rPr>
                <w:rFonts w:hint="eastAsia" w:ascii="仿宋_GB2312" w:hAnsi="宋体" w:cs="宋体"/>
                <w:sz w:val="24"/>
                <w:szCs w:val="24"/>
              </w:rPr>
              <w:t>审计发现问题整改措施</w:t>
            </w:r>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审计发现问题整改结果（被审计单位填写）</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尚未整改到位的原因及限期整改计划、措施等</w:t>
            </w:r>
          </w:p>
        </w:tc>
        <w:tc>
          <w:tcPr>
            <w:tcW w:w="4636" w:type="dxa"/>
            <w:gridSpan w:val="5"/>
            <w:tcBorders>
              <w:top w:val="single" w:color="auto" w:sz="4" w:space="0"/>
              <w:left w:val="nil"/>
              <w:bottom w:val="nil"/>
              <w:right w:val="single" w:color="000000"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审计发现问题整改金额情况</w:t>
            </w:r>
          </w:p>
        </w:tc>
        <w:tc>
          <w:tcPr>
            <w:tcW w:w="3000"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建章立制及责任追究情况</w:t>
            </w:r>
          </w:p>
        </w:tc>
        <w:tc>
          <w:tcPr>
            <w:tcW w:w="146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sz w:val="24"/>
                <w:szCs w:val="24"/>
              </w:rPr>
            </w:pPr>
            <w:r>
              <w:rPr>
                <w:rFonts w:hint="eastAsia" w:ascii="仿宋_GB2312" w:hAnsi="宋体" w:cs="宋体"/>
                <w:sz w:val="24"/>
                <w:szCs w:val="24"/>
              </w:rPr>
              <w:t>审计发现问题整改结果（审计机关填写）</w:t>
            </w:r>
          </w:p>
        </w:tc>
      </w:tr>
      <w:tr>
        <w:tblPrEx>
          <w:tblCellMar>
            <w:top w:w="0" w:type="dxa"/>
            <w:left w:w="108" w:type="dxa"/>
            <w:bottom w:w="0" w:type="dxa"/>
            <w:right w:w="108" w:type="dxa"/>
          </w:tblCellMar>
        </w:tblPrEx>
        <w:trPr>
          <w:trHeight w:val="1715" w:hRule="atLeast"/>
        </w:trPr>
        <w:tc>
          <w:tcPr>
            <w:tcW w:w="42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9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cs="宋体"/>
                <w:sz w:val="24"/>
                <w:szCs w:val="24"/>
              </w:rPr>
            </w:pPr>
          </w:p>
        </w:tc>
        <w:tc>
          <w:tcPr>
            <w:tcW w:w="896"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审计发现问题涉及金额（万元）</w:t>
            </w:r>
          </w:p>
        </w:tc>
        <w:tc>
          <w:tcPr>
            <w:tcW w:w="9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已按要求上缴财政资金（万元）</w:t>
            </w:r>
          </w:p>
        </w:tc>
        <w:tc>
          <w:tcPr>
            <w:tcW w:w="82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已归还原渠道资金（万元</w:t>
            </w:r>
          </w:p>
        </w:tc>
        <w:tc>
          <w:tcPr>
            <w:tcW w:w="9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已调账处理金额（万元）</w:t>
            </w:r>
          </w:p>
        </w:tc>
        <w:tc>
          <w:tcPr>
            <w:tcW w:w="1000"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已整改其他问题金额（万元）</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制定或完善规章制度（条）</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处理有关责任人员（人）</w:t>
            </w:r>
          </w:p>
        </w:tc>
        <w:tc>
          <w:tcPr>
            <w:tcW w:w="1000" w:type="dxa"/>
            <w:tcBorders>
              <w:top w:val="nil"/>
              <w:left w:val="nil"/>
              <w:bottom w:val="single" w:color="auto" w:sz="4" w:space="0"/>
              <w:right w:val="single" w:color="auto" w:sz="4" w:space="0"/>
            </w:tcBorders>
            <w:vAlign w:val="center"/>
          </w:tcPr>
          <w:p>
            <w:pPr>
              <w:widowControl/>
              <w:ind w:firstLine="120" w:firstLineChars="50"/>
              <w:jc w:val="left"/>
              <w:rPr>
                <w:rFonts w:ascii="仿宋_GB2312" w:hAnsi="宋体" w:cs="宋体"/>
                <w:sz w:val="24"/>
                <w:szCs w:val="24"/>
              </w:rPr>
            </w:pPr>
            <w:r>
              <w:rPr>
                <w:rFonts w:hint="eastAsia" w:ascii="仿宋_GB2312" w:hAnsi="宋体" w:cs="宋体"/>
                <w:sz w:val="24"/>
                <w:szCs w:val="24"/>
              </w:rPr>
              <w:t>处理</w:t>
            </w:r>
          </w:p>
          <w:p>
            <w:pPr>
              <w:widowControl/>
              <w:ind w:firstLine="120" w:firstLineChars="50"/>
              <w:jc w:val="left"/>
              <w:rPr>
                <w:rFonts w:ascii="仿宋_GB2312" w:hAnsi="宋体" w:cs="宋体"/>
                <w:sz w:val="24"/>
                <w:szCs w:val="24"/>
              </w:rPr>
            </w:pPr>
            <w:r>
              <w:rPr>
                <w:rFonts w:hint="eastAsia" w:ascii="仿宋_GB2312" w:hAnsi="宋体" w:cs="宋体"/>
                <w:sz w:val="24"/>
                <w:szCs w:val="24"/>
              </w:rPr>
              <w:t>方式</w:t>
            </w:r>
          </w:p>
        </w:tc>
        <w:tc>
          <w:tcPr>
            <w:tcW w:w="760" w:type="dxa"/>
            <w:tcBorders>
              <w:top w:val="nil"/>
              <w:left w:val="nil"/>
              <w:bottom w:val="single" w:color="auto" w:sz="4" w:space="0"/>
              <w:right w:val="single" w:color="auto" w:sz="4" w:space="0"/>
            </w:tcBorders>
            <w:vAlign w:val="center"/>
          </w:tcPr>
          <w:p>
            <w:pPr>
              <w:widowControl/>
              <w:rPr>
                <w:rFonts w:ascii="仿宋_GB2312" w:hAnsi="宋体" w:cs="宋体"/>
                <w:sz w:val="24"/>
                <w:szCs w:val="24"/>
              </w:rPr>
            </w:pPr>
            <w:r>
              <w:rPr>
                <w:rFonts w:hint="eastAsia" w:ascii="仿宋_GB2312" w:hAnsi="宋体" w:cs="宋体"/>
                <w:sz w:val="24"/>
                <w:szCs w:val="24"/>
              </w:rPr>
              <w:t>初步判定</w:t>
            </w:r>
          </w:p>
        </w:tc>
        <w:tc>
          <w:tcPr>
            <w:tcW w:w="700" w:type="dxa"/>
            <w:tcBorders>
              <w:top w:val="nil"/>
              <w:left w:val="nil"/>
              <w:bottom w:val="single" w:color="auto" w:sz="4" w:space="0"/>
              <w:right w:val="single" w:color="auto" w:sz="4" w:space="0"/>
            </w:tcBorders>
            <w:vAlign w:val="center"/>
          </w:tcPr>
          <w:p>
            <w:pPr>
              <w:widowControl/>
              <w:rPr>
                <w:rFonts w:ascii="仿宋_GB2312" w:hAnsi="宋体" w:cs="宋体"/>
                <w:sz w:val="24"/>
                <w:szCs w:val="24"/>
              </w:rPr>
            </w:pPr>
            <w:r>
              <w:rPr>
                <w:rFonts w:hint="eastAsia" w:ascii="仿宋_GB2312" w:hAnsi="宋体" w:cs="宋体"/>
                <w:sz w:val="24"/>
                <w:szCs w:val="24"/>
              </w:rPr>
              <w:t>核查结果</w:t>
            </w:r>
          </w:p>
        </w:tc>
      </w:tr>
      <w:tr>
        <w:tblPrEx>
          <w:tblCellMar>
            <w:top w:w="0" w:type="dxa"/>
            <w:left w:w="108" w:type="dxa"/>
            <w:bottom w:w="0" w:type="dxa"/>
            <w:right w:w="108" w:type="dxa"/>
          </w:tblCellMar>
        </w:tblPrEx>
        <w:trPr>
          <w:trHeight w:val="698"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eastAsia="宋体"/>
                <w:szCs w:val="32"/>
              </w:rPr>
            </w:pPr>
            <w:r>
              <w:rPr>
                <w:rFonts w:hint="eastAsia" w:eastAsia="宋体"/>
                <w:szCs w:val="32"/>
              </w:rPr>
              <w:t>　</w:t>
            </w:r>
            <w:r>
              <w:rPr>
                <w:rFonts w:hint="eastAsia" w:ascii="仿宋_GB2312" w:hAnsi="宋体" w:cs="宋体"/>
                <w:sz w:val="24"/>
                <w:szCs w:val="24"/>
              </w:rPr>
              <w:t>1</w:t>
            </w:r>
          </w:p>
        </w:tc>
        <w:tc>
          <w:tcPr>
            <w:tcW w:w="993" w:type="dxa"/>
            <w:tcBorders>
              <w:top w:val="nil"/>
              <w:left w:val="nil"/>
              <w:bottom w:val="single" w:color="auto" w:sz="4" w:space="0"/>
              <w:right w:val="single" w:color="auto" w:sz="4" w:space="0"/>
            </w:tcBorders>
            <w:vAlign w:val="center"/>
          </w:tcPr>
          <w:p>
            <w:pPr>
              <w:widowControl/>
              <w:jc w:val="center"/>
              <w:rPr>
                <w:rFonts w:eastAsia="宋体"/>
                <w:sz w:val="15"/>
                <w:szCs w:val="15"/>
              </w:rPr>
            </w:pPr>
            <w:r>
              <w:rPr>
                <w:rFonts w:hint="eastAsia" w:eastAsia="宋体"/>
                <w:sz w:val="18"/>
                <w:szCs w:val="15"/>
              </w:rPr>
              <w:t>1笔公务接待事项存在无接待清单、重复宴请问题</w:t>
            </w:r>
          </w:p>
        </w:tc>
        <w:tc>
          <w:tcPr>
            <w:tcW w:w="1417" w:type="dxa"/>
            <w:tcBorders>
              <w:top w:val="nil"/>
              <w:left w:val="nil"/>
              <w:bottom w:val="single" w:color="auto" w:sz="4" w:space="0"/>
              <w:right w:val="single" w:color="auto" w:sz="4" w:space="0"/>
            </w:tcBorders>
            <w:vAlign w:val="center"/>
          </w:tcPr>
          <w:p>
            <w:pPr>
              <w:widowControl/>
              <w:jc w:val="center"/>
              <w:rPr>
                <w:rFonts w:eastAsia="宋体"/>
                <w:sz w:val="28"/>
                <w:szCs w:val="32"/>
              </w:rPr>
            </w:pPr>
            <w:r>
              <w:rPr>
                <w:rFonts w:hint="eastAsia" w:eastAsia="宋体"/>
                <w:sz w:val="22"/>
                <w:szCs w:val="32"/>
              </w:rPr>
              <w:t>应建立健全公务接待相关内部管理制度，加强对公务接待费的管理，严禁在公务接待费中列支其他费用，完善公务接待费用支出审批、报销手续，应进一步健全规范财务报销管理制度。</w:t>
            </w:r>
          </w:p>
        </w:tc>
        <w:tc>
          <w:tcPr>
            <w:tcW w:w="1134"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 w:val="21"/>
                <w:szCs w:val="32"/>
              </w:rPr>
              <w:t>加强对公务接待费的管理，进一步健全规范财务报销管理制度，在以后的工作中将不在安排来深演出的工作人员的接待工作餐。</w:t>
            </w:r>
          </w:p>
        </w:tc>
        <w:tc>
          <w:tcPr>
            <w:tcW w:w="1134"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 w:val="21"/>
                <w:szCs w:val="32"/>
              </w:rPr>
              <w:t>已整改</w:t>
            </w:r>
          </w:p>
        </w:tc>
        <w:tc>
          <w:tcPr>
            <w:tcW w:w="992"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96" w:type="dxa"/>
            <w:tcBorders>
              <w:top w:val="nil"/>
              <w:left w:val="nil"/>
              <w:bottom w:val="single" w:color="auto" w:sz="4" w:space="0"/>
              <w:right w:val="single" w:color="auto" w:sz="4" w:space="0"/>
            </w:tcBorders>
            <w:vAlign w:val="center"/>
          </w:tcPr>
          <w:p>
            <w:pPr>
              <w:widowControl/>
              <w:jc w:val="left"/>
              <w:rPr>
                <w:rFonts w:ascii="仿宋_GB2312" w:hAnsi="宋体" w:cs="宋体"/>
                <w:sz w:val="24"/>
                <w:szCs w:val="24"/>
              </w:rPr>
            </w:pPr>
            <w:r>
              <w:rPr>
                <w:rFonts w:hint="eastAsia" w:ascii="仿宋_GB2312" w:hAnsi="宋体" w:cs="宋体"/>
                <w:sz w:val="24"/>
                <w:szCs w:val="24"/>
              </w:rPr>
              <w:t>　</w:t>
            </w:r>
          </w:p>
        </w:tc>
        <w:tc>
          <w:tcPr>
            <w:tcW w:w="9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2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p>
        </w:tc>
        <w:tc>
          <w:tcPr>
            <w:tcW w:w="7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7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r>
      <w:tr>
        <w:tblPrEx>
          <w:tblCellMar>
            <w:top w:w="0" w:type="dxa"/>
            <w:left w:w="108" w:type="dxa"/>
            <w:bottom w:w="0" w:type="dxa"/>
            <w:right w:w="108" w:type="dxa"/>
          </w:tblCellMar>
        </w:tblPrEx>
        <w:trPr>
          <w:trHeight w:val="643"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eastAsia="宋体"/>
                <w:szCs w:val="32"/>
              </w:rPr>
            </w:pPr>
            <w:r>
              <w:rPr>
                <w:rFonts w:hint="eastAsia" w:eastAsia="宋体"/>
                <w:szCs w:val="32"/>
              </w:rPr>
              <w:t>　</w:t>
            </w:r>
            <w:r>
              <w:rPr>
                <w:rFonts w:hint="eastAsia" w:ascii="仿宋_GB2312" w:hAnsi="宋体" w:cs="宋体"/>
                <w:sz w:val="24"/>
                <w:szCs w:val="24"/>
              </w:rPr>
              <w:t>2</w:t>
            </w:r>
          </w:p>
        </w:tc>
        <w:tc>
          <w:tcPr>
            <w:tcW w:w="993"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417"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134"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134"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92"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96"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82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9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10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76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c>
          <w:tcPr>
            <w:tcW w:w="700" w:type="dxa"/>
            <w:tcBorders>
              <w:top w:val="nil"/>
              <w:left w:val="nil"/>
              <w:bottom w:val="single" w:color="auto" w:sz="4" w:space="0"/>
              <w:right w:val="single" w:color="auto" w:sz="4" w:space="0"/>
            </w:tcBorders>
            <w:vAlign w:val="center"/>
          </w:tcPr>
          <w:p>
            <w:pPr>
              <w:widowControl/>
              <w:rPr>
                <w:rFonts w:eastAsia="宋体"/>
                <w:szCs w:val="32"/>
              </w:rPr>
            </w:pPr>
            <w:r>
              <w:rPr>
                <w:rFonts w:hint="eastAsia" w:eastAsia="宋体"/>
                <w:szCs w:val="32"/>
              </w:rPr>
              <w:t>　</w:t>
            </w:r>
          </w:p>
        </w:tc>
      </w:tr>
    </w:tbl>
    <w:p>
      <w:pPr>
        <w:snapToGrid w:val="0"/>
        <w:spacing w:line="500" w:lineRule="exact"/>
        <w:rPr>
          <w:rFonts w:ascii="仿宋_GB2312"/>
          <w:sz w:val="22"/>
        </w:rPr>
      </w:pPr>
      <w:r>
        <w:rPr>
          <w:rFonts w:hint="eastAsia"/>
          <w:sz w:val="22"/>
        </w:rPr>
        <w:t>说明：</w:t>
      </w:r>
      <w:r>
        <w:rPr>
          <w:rFonts w:hint="eastAsia" w:ascii="仿宋_GB2312"/>
          <w:sz w:val="22"/>
        </w:rPr>
        <w:t>1.“审计发现问题”、“审计处理意见或建议”、“审计发现问题整改措施”等列的填写应当与审计报告问题部分一一对应，细化到最小项。</w:t>
      </w:r>
    </w:p>
    <w:p>
      <w:pPr>
        <w:snapToGrid w:val="0"/>
        <w:spacing w:line="500" w:lineRule="exact"/>
        <w:rPr>
          <w:rFonts w:ascii="仿宋_GB2312"/>
          <w:sz w:val="22"/>
        </w:rPr>
      </w:pPr>
      <w:r>
        <w:rPr>
          <w:rFonts w:ascii="仿宋_GB2312"/>
          <w:sz w:val="22"/>
        </w:rPr>
        <w:t>2.</w:t>
      </w:r>
      <w:r>
        <w:rPr>
          <w:rFonts w:hint="eastAsia" w:ascii="仿宋_GB2312"/>
          <w:sz w:val="22"/>
        </w:rPr>
        <w:t>审计发现问题整改结果按已整改/正在整改/未整改填写。</w:t>
      </w:r>
    </w:p>
    <w:p>
      <w:pPr>
        <w:snapToGrid w:val="0"/>
        <w:spacing w:line="500" w:lineRule="exact"/>
        <w:rPr>
          <w:rFonts w:ascii="仿宋_GB2312"/>
          <w:sz w:val="22"/>
        </w:rPr>
      </w:pPr>
      <w:r>
        <w:rPr>
          <w:rFonts w:hint="eastAsia" w:ascii="仿宋_GB2312"/>
          <w:sz w:val="22"/>
        </w:rPr>
        <w:t>3.对审计发现问题整改采取的措施（如资金上缴或调账处理、制定完善相关制度、对相关人员进行问责处理等），应提供相应的佐证资料一并报送。</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3CFD"/>
    <w:rsid w:val="002E4B42"/>
    <w:rsid w:val="003043AA"/>
    <w:rsid w:val="00316DDC"/>
    <w:rsid w:val="003D3E12"/>
    <w:rsid w:val="004C2A9B"/>
    <w:rsid w:val="005D58B9"/>
    <w:rsid w:val="00746158"/>
    <w:rsid w:val="008067AD"/>
    <w:rsid w:val="008714EE"/>
    <w:rsid w:val="00A020CC"/>
    <w:rsid w:val="00BD652E"/>
    <w:rsid w:val="00D161B9"/>
    <w:rsid w:val="00D30765"/>
    <w:rsid w:val="00E22E43"/>
    <w:rsid w:val="00E27480"/>
    <w:rsid w:val="00EF3076"/>
    <w:rsid w:val="00F6619F"/>
    <w:rsid w:val="00F93CFD"/>
    <w:rsid w:val="00FB5961"/>
    <w:rsid w:val="47FC5243"/>
    <w:rsid w:val="76F4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0"/>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qFormat/>
    <w:uiPriority w:val="0"/>
    <w:rPr>
      <w:rFonts w:ascii="Times New Roman"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109</Words>
  <Characters>622</Characters>
  <Lines>5</Lines>
  <Paragraphs>1</Paragraphs>
  <TotalTime>987</TotalTime>
  <ScaleCrop>false</ScaleCrop>
  <LinksUpToDate>false</LinksUpToDate>
  <CharactersWithSpaces>730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2020-07-22T09:55:00Z</dcterms:created>
  <dc:creator>关慧敏</dc:creator>
  <cp:lastModifiedBy>小容</cp:lastModifiedBy>
  <dcterms:modified xsi:type="dcterms:W3CDTF">2020-09-28T01:29:26Z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