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2020年市体育产业专项资金第二批申报项目专项审计资料清单</w:t>
      </w:r>
    </w:p>
    <w:p>
      <w:pPr>
        <w:spacing w:line="560" w:lineRule="exact"/>
        <w:jc w:val="center"/>
        <w:rPr>
          <w:rFonts w:hint="eastAsia" w:eastAsia="黑体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高水平职业体育俱乐部审计资料清单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1、企业营业执照复印件；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2、2019年审计报告（2019年12月财务报表）复印件；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3、举办或参加的赛事基本情况介绍、策划方案、赛事总结报告；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4、2019年度的绩效自评报告及经费决算报告（若有则提供）；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5、企业已获得政府资助的情况；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6、相关费用（成本）支出的明细清单（支出按费用类别分类列示，总额和申报材料一致，提供纸质档和电子档）；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7、俱乐部运动员及教练员花名册；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8、运动员、教练员的工资津贴补贴费用支出明细、发放领取的签名材料及支付回单；转会、租借运动员的合同及转会费的支出明细；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9、个人劳务费发放领取的签名材料及支付回单；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10、场馆搭建、场地租赁、赛事宣传、赛事策划设计、安保及劳务、保险、交通工具租赁等支出的合同；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11、训练基地改扩建等建设合同（如有则提供）；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12</w:t>
      </w:r>
      <w:bookmarkStart w:id="0" w:name="_GoBack"/>
      <w:bookmarkEnd w:id="0"/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、其他审计资料。</w:t>
      </w:r>
    </w:p>
    <w:p>
      <w:pPr>
        <w:snapToGrid w:val="0"/>
        <w:spacing w:line="580" w:lineRule="exact"/>
        <w:ind w:firstLine="640" w:firstLineChars="200"/>
        <w:rPr>
          <w:rFonts w:hint="default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体育企业贷款贴息审计资料清单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1、营业执照复印件；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2、与银行签订的贷款合同复印件；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3、利息支出明细表；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4、利息支出记账凭证，银行水单和发票；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5、贷款资金使用明细表；</w:t>
      </w:r>
    </w:p>
    <w:p>
      <w:pPr>
        <w:snapToGrid w:val="0"/>
        <w:spacing w:line="580" w:lineRule="exact"/>
        <w:ind w:firstLine="640" w:firstLineChars="200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6、其他审计资料。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3F70B5"/>
    <w:multiLevelType w:val="singleLevel"/>
    <w:tmpl w:val="A43F70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0561F"/>
    <w:rsid w:val="08B201A8"/>
    <w:rsid w:val="0B2E41BB"/>
    <w:rsid w:val="0F865543"/>
    <w:rsid w:val="11BB180D"/>
    <w:rsid w:val="12800D21"/>
    <w:rsid w:val="139F3678"/>
    <w:rsid w:val="1F62767B"/>
    <w:rsid w:val="205D4309"/>
    <w:rsid w:val="26DC315F"/>
    <w:rsid w:val="282F39FE"/>
    <w:rsid w:val="310D3B83"/>
    <w:rsid w:val="32200323"/>
    <w:rsid w:val="3294092E"/>
    <w:rsid w:val="411F398F"/>
    <w:rsid w:val="508C7802"/>
    <w:rsid w:val="54F966C4"/>
    <w:rsid w:val="61D0561F"/>
    <w:rsid w:val="63EF099E"/>
    <w:rsid w:val="78A82CEC"/>
    <w:rsid w:val="796F401E"/>
    <w:rsid w:val="7A623871"/>
    <w:rsid w:val="7C6E770D"/>
    <w:rsid w:val="7FA20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2020-08-10T02:16:00Z</dcterms:created>
  <dc:creator>许志祥</dc:creator>
  <cp:lastModifiedBy>简诗慧</cp:lastModifiedBy>
  <cp:lastPrinted>2020-11-19T07:53:19Z</cp:lastPrinted>
  <dcterms:modified xsi:type="dcterms:W3CDTF">2020-11-19T08:35:43Z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