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jc w:val="center"/>
        <w:rPr>
          <w:sz w:val="44"/>
          <w:szCs w:val="44"/>
        </w:rPr>
      </w:pPr>
    </w:p>
    <w:p>
      <w:pPr>
        <w:jc w:val="center"/>
        <w:rPr>
          <w:rFonts w:hint="default" w:eastAsiaTheme="minorEastAsia"/>
          <w:sz w:val="44"/>
          <w:szCs w:val="44"/>
          <w:lang w:val="en-US" w:eastAsia="zh-CN"/>
        </w:rPr>
      </w:pPr>
      <w:r>
        <w:rPr>
          <w:rFonts w:hint="eastAsia" w:asciiTheme="majorEastAsia" w:hAnsiTheme="majorEastAsia" w:eastAsiaTheme="majorEastAsia" w:cstheme="majorEastAsia"/>
          <w:b/>
          <w:bCs/>
          <w:sz w:val="52"/>
          <w:szCs w:val="52"/>
          <w:lang w:val="en-US" w:eastAsia="zh-CN"/>
        </w:rPr>
        <w:t>深圳市广播电视技术中心</w:t>
      </w:r>
    </w:p>
    <w:p>
      <w:pPr>
        <w:jc w:val="center"/>
        <w:rPr>
          <w:sz w:val="44"/>
          <w:szCs w:val="44"/>
        </w:rPr>
      </w:pPr>
    </w:p>
    <w:p>
      <w:pPr>
        <w:jc w:val="center"/>
        <w:rPr>
          <w:rFonts w:asciiTheme="minorEastAsia" w:hAnsiTheme="minorEastAsia"/>
          <w:b/>
          <w:sz w:val="52"/>
          <w:szCs w:val="52"/>
        </w:rPr>
      </w:pPr>
      <w:r>
        <w:rPr>
          <w:rFonts w:hint="eastAsia" w:asciiTheme="minorEastAsia" w:hAnsiTheme="minorEastAsia"/>
          <w:b/>
          <w:sz w:val="52"/>
          <w:szCs w:val="52"/>
        </w:rPr>
        <w:t>2022年</w:t>
      </w:r>
      <w:r>
        <w:rPr>
          <w:rFonts w:hint="eastAsia" w:asciiTheme="minorEastAsia" w:hAnsiTheme="minorEastAsia"/>
          <w:b/>
          <w:sz w:val="52"/>
          <w:szCs w:val="52"/>
          <w:lang w:val="en-US" w:eastAsia="zh-CN"/>
        </w:rPr>
        <w:t>供配电维保服务采购</w:t>
      </w:r>
      <w:r>
        <w:rPr>
          <w:rFonts w:hint="eastAsia" w:asciiTheme="minorEastAsia" w:hAnsiTheme="minorEastAsia"/>
          <w:b/>
          <w:sz w:val="52"/>
          <w:szCs w:val="52"/>
        </w:rPr>
        <w:t>项目</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52"/>
          <w:szCs w:val="52"/>
        </w:rPr>
      </w:pPr>
    </w:p>
    <w:p>
      <w:pPr>
        <w:jc w:val="center"/>
        <w:rPr>
          <w:b/>
          <w:bCs/>
          <w:sz w:val="52"/>
          <w:szCs w:val="52"/>
        </w:rPr>
      </w:pPr>
      <w:r>
        <w:rPr>
          <w:rFonts w:hint="eastAsia"/>
          <w:b/>
          <w:bCs/>
          <w:sz w:val="52"/>
          <w:szCs w:val="52"/>
        </w:rPr>
        <w:t>招标文件</w:t>
      </w:r>
    </w:p>
    <w:p/>
    <w:p/>
    <w:p/>
    <w:p/>
    <w:p/>
    <w:p/>
    <w:p/>
    <w:p/>
    <w:p/>
    <w:p/>
    <w:p/>
    <w:p/>
    <w:p/>
    <w:p/>
    <w:p/>
    <w:p/>
    <w:p>
      <w:pPr>
        <w:sectPr>
          <w:footerReference r:id="rId3" w:type="default"/>
          <w:pgSz w:w="11906" w:h="16838"/>
          <w:pgMar w:top="1440" w:right="1800" w:bottom="1440" w:left="1800" w:header="851" w:footer="992" w:gutter="0"/>
          <w:cols w:space="425" w:num="1"/>
          <w:docGrid w:type="lines" w:linePitch="312" w:charSpace="0"/>
        </w:sectPr>
      </w:pPr>
    </w:p>
    <w:p/>
    <w:sdt>
      <w:sdtPr>
        <w:rPr>
          <w:rFonts w:asciiTheme="minorHAnsi" w:hAnsiTheme="minorHAnsi" w:eastAsiaTheme="minorEastAsia" w:cstheme="minorBidi"/>
          <w:color w:val="auto"/>
          <w:kern w:val="2"/>
          <w:sz w:val="21"/>
          <w:szCs w:val="24"/>
          <w:lang w:val="zh-CN"/>
        </w:rPr>
        <w:id w:val="-603491407"/>
        <w:docPartObj>
          <w:docPartGallery w:val="Table of Contents"/>
          <w:docPartUnique/>
        </w:docPartObj>
      </w:sdtPr>
      <w:sdtEndPr>
        <w:rPr>
          <w:rFonts w:hint="eastAsia" w:ascii="宋体" w:hAnsi="宋体" w:eastAsia="宋体" w:cs="宋体"/>
          <w:b/>
          <w:bCs/>
          <w:color w:val="auto"/>
          <w:kern w:val="2"/>
          <w:sz w:val="28"/>
          <w:szCs w:val="28"/>
          <w:lang w:val="zh-CN"/>
        </w:rPr>
      </w:sdtEndPr>
      <w:sdtContent>
        <w:p>
          <w:pPr>
            <w:pStyle w:val="15"/>
          </w:pPr>
          <w:r>
            <w:rPr>
              <w:lang w:val="zh-CN"/>
            </w:rPr>
            <w:t>目录</w:t>
          </w:r>
        </w:p>
        <w:p>
          <w:pPr>
            <w:pStyle w:val="6"/>
            <w:tabs>
              <w:tab w:val="right" w:leader="dot"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"_Toc100872709"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一、项目概括：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_Toc100872709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6"/>
            <w:tabs>
              <w:tab w:val="right" w:leader="dot"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"_Toc100872710"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二、投标人资质：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_Toc100872710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6"/>
            <w:tabs>
              <w:tab w:val="right" w:leader="dot"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"_Toc100872711"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三、项目服务内容：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_Toc100872711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6"/>
            <w:tabs>
              <w:tab w:val="right" w:leader="dot"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"_Toc100872712"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lang w:bidi="ar"/>
            </w:rPr>
            <w:t>四、项目服务期限和投标要求：</w:t>
          </w:r>
          <w:r>
            <w:rPr>
              <w:rFonts w:hint="eastAsia" w:ascii="宋体" w:hAnsi="宋体" w:eastAsia="宋体" w:cs="宋体"/>
              <w:sz w:val="28"/>
              <w:szCs w:val="28"/>
            </w:rPr>
            <w:tab/>
          </w:r>
          <w:r>
            <w:rPr>
              <w:rFonts w:hint="eastAsia" w:ascii="宋体" w:hAnsi="宋体" w:eastAsia="宋体" w:cs="宋体"/>
              <w:sz w:val="28"/>
              <w:szCs w:val="28"/>
              <w:lang w:val="en-US" w:eastAsia="zh-CN"/>
            </w:rPr>
            <w:t>7</w:t>
          </w:r>
          <w:r>
            <w:rPr>
              <w:rFonts w:hint="eastAsia" w:ascii="宋体" w:hAnsi="宋体" w:eastAsia="宋体" w:cs="宋体"/>
              <w:sz w:val="28"/>
              <w:szCs w:val="28"/>
            </w:rPr>
            <w:fldChar w:fldCharType="end"/>
          </w:r>
        </w:p>
        <w:p>
          <w:pPr>
            <w:pStyle w:val="6"/>
            <w:tabs>
              <w:tab w:val="right" w:leader="dot"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"_Toc100872713"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lang w:bidi="ar"/>
            </w:rPr>
            <w:t>五、合同签订及付款方式：</w:t>
          </w:r>
          <w:r>
            <w:rPr>
              <w:rFonts w:hint="eastAsia" w:ascii="宋体" w:hAnsi="宋体" w:eastAsia="宋体" w:cs="宋体"/>
              <w:sz w:val="28"/>
              <w:szCs w:val="28"/>
            </w:rPr>
            <w:tab/>
          </w:r>
          <w:r>
            <w:rPr>
              <w:rFonts w:hint="eastAsia" w:ascii="宋体" w:hAnsi="宋体" w:eastAsia="宋体" w:cs="宋体"/>
              <w:sz w:val="28"/>
              <w:szCs w:val="28"/>
              <w:lang w:val="en-US" w:eastAsia="zh-CN"/>
            </w:rPr>
            <w:t>8</w:t>
          </w:r>
          <w:r>
            <w:rPr>
              <w:rFonts w:hint="eastAsia" w:ascii="宋体" w:hAnsi="宋体" w:eastAsia="宋体" w:cs="宋体"/>
              <w:sz w:val="28"/>
              <w:szCs w:val="28"/>
            </w:rPr>
            <w:fldChar w:fldCharType="end"/>
          </w:r>
        </w:p>
        <w:p>
          <w:pPr>
            <w:pStyle w:val="6"/>
            <w:tabs>
              <w:tab w:val="right" w:leader="dot"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"_Toc100872714"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六、评分办法：</w:t>
          </w:r>
          <w:r>
            <w:rPr>
              <w:rFonts w:hint="eastAsia" w:ascii="宋体" w:hAnsi="宋体" w:eastAsia="宋体" w:cs="宋体"/>
              <w:sz w:val="28"/>
              <w:szCs w:val="28"/>
            </w:rPr>
            <w:tab/>
          </w:r>
          <w:r>
            <w:rPr>
              <w:rFonts w:hint="eastAsia" w:ascii="宋体" w:hAnsi="宋体" w:eastAsia="宋体" w:cs="宋体"/>
              <w:sz w:val="28"/>
              <w:szCs w:val="28"/>
              <w:lang w:val="en-US" w:eastAsia="zh-CN"/>
            </w:rPr>
            <w:t>8</w:t>
          </w:r>
          <w:r>
            <w:rPr>
              <w:rFonts w:hint="eastAsia" w:ascii="宋体" w:hAnsi="宋体" w:eastAsia="宋体" w:cs="宋体"/>
              <w:sz w:val="28"/>
              <w:szCs w:val="28"/>
            </w:rPr>
            <w:fldChar w:fldCharType="end"/>
          </w:r>
        </w:p>
        <w:p>
          <w:pPr>
            <w:rPr>
              <w:rFonts w:hint="eastAsia" w:ascii="宋体" w:hAnsi="宋体" w:eastAsia="宋体" w:cs="宋体"/>
              <w:sz w:val="28"/>
              <w:szCs w:val="28"/>
            </w:rPr>
          </w:pPr>
          <w:r>
            <w:rPr>
              <w:rFonts w:hint="eastAsia" w:ascii="宋体" w:hAnsi="宋体" w:eastAsia="宋体" w:cs="宋体"/>
              <w:b/>
              <w:bCs/>
              <w:sz w:val="28"/>
              <w:szCs w:val="28"/>
              <w:lang w:val="zh-CN"/>
            </w:rPr>
            <w:fldChar w:fldCharType="end"/>
          </w:r>
        </w:p>
      </w:sdtContent>
    </w:sdt>
    <w:p/>
    <w:p/>
    <w:p/>
    <w:p/>
    <w:p/>
    <w:p/>
    <w:p/>
    <w:p/>
    <w:p/>
    <w:p/>
    <w:p/>
    <w:p/>
    <w:p/>
    <w:p/>
    <w:p/>
    <w:p/>
    <w:p/>
    <w:p/>
    <w:p/>
    <w:p/>
    <w:p/>
    <w:p/>
    <w:p/>
    <w:p/>
    <w:p/>
    <w:p/>
    <w:p>
      <w:pPr>
        <w:jc w:val="center"/>
      </w:pPr>
    </w:p>
    <w:p>
      <w:pPr>
        <w:pStyle w:val="3"/>
      </w:pPr>
      <w:bookmarkStart w:id="0" w:name="_Toc100872709"/>
      <w:r>
        <w:rPr>
          <w:rFonts w:hint="eastAsia"/>
        </w:rPr>
        <w:t>一、项目概括：</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保障本中心高低压配电系统安全稳定运行，按规范对电气设备进行有效的检测、保养，发现隐患及时处理，减少电气设备故障的发生。现委托专业且具备优秀资质的单位对高低压配电系统予以定期的维保、预试、巡检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2022年供配电维保服务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实施地点：深圳市广播电视技术中心梧桐山</w:t>
      </w:r>
      <w:r>
        <w:rPr>
          <w:rFonts w:hint="eastAsia" w:ascii="宋体" w:hAnsi="宋体" w:eastAsia="宋体" w:cs="宋体"/>
          <w:sz w:val="24"/>
          <w:szCs w:val="24"/>
          <w:lang w:val="en-US" w:eastAsia="zh-CN"/>
        </w:rPr>
        <w:t>发射</w:t>
      </w:r>
      <w:r>
        <w:rPr>
          <w:rFonts w:hint="eastAsia" w:ascii="宋体" w:hAnsi="宋体" w:eastAsia="宋体" w:cs="宋体"/>
          <w:sz w:val="24"/>
          <w:szCs w:val="24"/>
        </w:rPr>
        <w:t>基地、石岩</w:t>
      </w:r>
      <w:r>
        <w:rPr>
          <w:rFonts w:hint="eastAsia" w:ascii="宋体" w:hAnsi="宋体" w:eastAsia="宋体" w:cs="宋体"/>
          <w:sz w:val="24"/>
          <w:szCs w:val="24"/>
          <w:lang w:val="en-US" w:eastAsia="zh-CN"/>
        </w:rPr>
        <w:t>发射</w:t>
      </w:r>
      <w:r>
        <w:rPr>
          <w:rFonts w:hint="eastAsia" w:ascii="宋体" w:hAnsi="宋体" w:eastAsia="宋体" w:cs="宋体"/>
          <w:sz w:val="24"/>
          <w:szCs w:val="24"/>
        </w:rPr>
        <w:t>基地</w:t>
      </w:r>
    </w:p>
    <w:p>
      <w:pPr>
        <w:pStyle w:val="3"/>
      </w:pPr>
      <w:bookmarkStart w:id="1" w:name="_Toc100872710"/>
      <w:r>
        <w:rPr>
          <w:rFonts w:hint="eastAsia"/>
        </w:rPr>
        <w:t>二、投标人资质：</w:t>
      </w:r>
      <w:bookmarkEnd w:id="1"/>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color w:val="000000"/>
          <w:sz w:val="24"/>
        </w:rPr>
        <w:t>投标人具有独</w:t>
      </w:r>
      <w:r>
        <w:rPr>
          <w:rFonts w:hint="eastAsia" w:asciiTheme="minorEastAsia" w:hAnsiTheme="minorEastAsia" w:cstheme="minorEastAsia"/>
          <w:sz w:val="24"/>
        </w:rPr>
        <w:t>立法人资格或具有独立承担民事责任能力的其它组织。</w:t>
      </w:r>
    </w:p>
    <w:p>
      <w:pPr>
        <w:keepNext w:val="0"/>
        <w:keepLines w:val="0"/>
        <w:pageBreakBefore w:val="0"/>
        <w:widowControl w:val="0"/>
        <w:kinsoku/>
        <w:wordWrap/>
        <w:overflowPunct/>
        <w:topLinePunct w:val="0"/>
        <w:autoSpaceDE/>
        <w:autoSpaceDN/>
        <w:bidi w:val="0"/>
        <w:adjustRightInd/>
        <w:snapToGrid/>
        <w:spacing w:line="360" w:lineRule="auto"/>
        <w:ind w:left="720" w:hanging="720" w:hangingChars="300"/>
        <w:textAlignment w:val="auto"/>
        <w:rPr>
          <w:rFonts w:asciiTheme="minorEastAsia" w:hAnsiTheme="minorEastAsia" w:cstheme="minorEastAsia"/>
          <w:sz w:val="24"/>
        </w:rPr>
      </w:pPr>
      <w:r>
        <w:rPr>
          <w:rFonts w:hint="eastAsia" w:asciiTheme="minorEastAsia" w:hAnsiTheme="minorEastAsia" w:cstheme="minorEastAsia"/>
          <w:sz w:val="24"/>
        </w:rPr>
        <w:t>（2）投标人具有国家电力监管部门颁发的《承装（修、试）电力设施许可证》等级要求为五级或以上。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cstheme="minorEastAsia"/>
          <w:sz w:val="24"/>
        </w:rPr>
      </w:pPr>
      <w:r>
        <w:rPr>
          <w:rFonts w:hint="eastAsia" w:asciiTheme="minorEastAsia" w:hAnsiTheme="minorEastAsia" w:cstheme="minorEastAsia"/>
          <w:sz w:val="24"/>
        </w:rPr>
        <w:t>（3）投标人具有有效的安全生产许可证。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cstheme="minorEastAsia"/>
          <w:sz w:val="24"/>
        </w:rPr>
      </w:pPr>
      <w:r>
        <w:rPr>
          <w:rFonts w:hint="eastAsia" w:asciiTheme="minorEastAsia" w:hAnsiTheme="minorEastAsia" w:cstheme="minorEastAsia"/>
          <w:sz w:val="24"/>
        </w:rPr>
        <w:t>（4）投标人参与本项目投标前三年内，在经营活动中没有重大违法记录。</w:t>
      </w:r>
    </w:p>
    <w:p>
      <w:pPr>
        <w:pStyle w:val="3"/>
      </w:pPr>
      <w:bookmarkStart w:id="2" w:name="_Toc100872711"/>
      <w:r>
        <w:rPr>
          <w:rFonts w:hint="eastAsia"/>
        </w:rPr>
        <w:t>三、项目服务内容：</w:t>
      </w:r>
      <w:bookmarkEnd w:id="2"/>
    </w:p>
    <w:p>
      <w:pPr>
        <w:ind w:firstLine="562" w:firstLineChars="200"/>
        <w:rPr>
          <w:rFonts w:ascii="Times New Roman" w:hAnsi="Times New Roman" w:eastAsia="宋体" w:cs="宋体"/>
          <w:b/>
          <w:sz w:val="28"/>
          <w:szCs w:val="28"/>
          <w:lang w:bidi="ar"/>
        </w:rPr>
      </w:pPr>
      <w:bookmarkStart w:id="3" w:name="_Toc295576418"/>
      <w:bookmarkStart w:id="4" w:name="_Toc346803449"/>
      <w:bookmarkStart w:id="5" w:name="_Toc349489416"/>
      <w:r>
        <w:rPr>
          <w:rFonts w:hint="eastAsia" w:ascii="Times New Roman" w:hAnsi="Times New Roman" w:eastAsia="宋体" w:cs="宋体"/>
          <w:b/>
          <w:sz w:val="28"/>
          <w:szCs w:val="28"/>
          <w:lang w:bidi="ar"/>
        </w:rPr>
        <w:t>梧桐山</w:t>
      </w:r>
      <w:r>
        <w:rPr>
          <w:rFonts w:hint="eastAsia" w:ascii="Times New Roman" w:hAnsi="Times New Roman" w:eastAsia="宋体" w:cs="宋体"/>
          <w:b/>
          <w:sz w:val="28"/>
          <w:szCs w:val="28"/>
          <w:lang w:val="en-US" w:eastAsia="zh-CN" w:bidi="ar"/>
        </w:rPr>
        <w:t>发射</w:t>
      </w:r>
      <w:r>
        <w:rPr>
          <w:rFonts w:hint="eastAsia" w:ascii="Times New Roman" w:hAnsi="Times New Roman" w:eastAsia="宋体" w:cs="宋体"/>
          <w:b/>
          <w:sz w:val="28"/>
          <w:szCs w:val="28"/>
          <w:lang w:bidi="ar"/>
        </w:rPr>
        <w:t>基地电视塔主要维保设备清单</w:t>
      </w:r>
      <w:bookmarkEnd w:id="3"/>
      <w:bookmarkEnd w:id="4"/>
      <w:bookmarkEnd w:id="5"/>
      <w:r>
        <w:rPr>
          <w:rFonts w:hint="eastAsia" w:ascii="Times New Roman" w:hAnsi="Times New Roman" w:eastAsia="宋体" w:cs="宋体"/>
          <w:b/>
          <w:sz w:val="28"/>
          <w:szCs w:val="28"/>
          <w:lang w:bidi="ar"/>
        </w:rPr>
        <w:t>及报价表</w:t>
      </w:r>
    </w:p>
    <w:tbl>
      <w:tblPr>
        <w:tblStyle w:val="7"/>
        <w:tblW w:w="8505" w:type="dxa"/>
        <w:tblInd w:w="-5" w:type="dxa"/>
        <w:tblLayout w:type="autofit"/>
        <w:tblCellMar>
          <w:top w:w="0" w:type="dxa"/>
          <w:left w:w="108" w:type="dxa"/>
          <w:bottom w:w="0" w:type="dxa"/>
          <w:right w:w="108" w:type="dxa"/>
        </w:tblCellMar>
      </w:tblPr>
      <w:tblGrid>
        <w:gridCol w:w="709"/>
        <w:gridCol w:w="2691"/>
        <w:gridCol w:w="760"/>
        <w:gridCol w:w="760"/>
        <w:gridCol w:w="1060"/>
        <w:gridCol w:w="2525"/>
      </w:tblGrid>
      <w:tr>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bookmarkStart w:id="6" w:name="_Hlk100841878"/>
            <w:r>
              <w:rPr>
                <w:rFonts w:hint="eastAsia" w:ascii="宋体" w:hAnsi="宋体" w:eastAsia="宋体" w:cs="宋体"/>
                <w:kern w:val="0"/>
                <w:sz w:val="24"/>
                <w:szCs w:val="24"/>
                <w:lang w:bidi="ar"/>
              </w:rPr>
              <w:t>序号</w:t>
            </w:r>
          </w:p>
        </w:tc>
        <w:tc>
          <w:tcPr>
            <w:tcW w:w="26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内容</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sz w:val="24"/>
                <w:szCs w:val="24"/>
              </w:rPr>
            </w:pPr>
            <w:r>
              <w:rPr>
                <w:rFonts w:hint="eastAsia" w:ascii="宋体" w:hAnsi="宋体" w:eastAsia="宋体" w:cs="宋体"/>
                <w:kern w:val="0"/>
                <w:sz w:val="24"/>
                <w:szCs w:val="24"/>
                <w:lang w:bidi="ar"/>
              </w:rPr>
              <w:t>数量</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单位</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单价</w:t>
            </w:r>
          </w:p>
        </w:tc>
        <w:tc>
          <w:tcPr>
            <w:tcW w:w="25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合价</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高压柜</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5</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1060"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sz w:val="24"/>
                <w:szCs w:val="24"/>
              </w:rPr>
            </w:pPr>
          </w:p>
        </w:tc>
        <w:tc>
          <w:tcPr>
            <w:tcW w:w="25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 </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变压器</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3</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1060"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sz w:val="24"/>
                <w:szCs w:val="24"/>
              </w:rPr>
            </w:pPr>
            <w:r>
              <w:rPr>
                <w:rFonts w:hint="eastAsia" w:ascii="宋体" w:hAnsi="宋体" w:eastAsia="宋体" w:cs="宋体"/>
                <w:kern w:val="0"/>
                <w:sz w:val="24"/>
                <w:szCs w:val="24"/>
                <w:lang w:bidi="ar"/>
              </w:rPr>
              <w:t xml:space="preserve"> </w:t>
            </w:r>
          </w:p>
        </w:tc>
        <w:tc>
          <w:tcPr>
            <w:tcW w:w="252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sz w:val="24"/>
                <w:szCs w:val="24"/>
              </w:rPr>
            </w:pPr>
            <w:r>
              <w:rPr>
                <w:rFonts w:hint="eastAsia" w:ascii="宋体" w:hAnsi="宋体" w:eastAsia="宋体" w:cs="宋体"/>
                <w:kern w:val="0"/>
                <w:sz w:val="24"/>
                <w:szCs w:val="24"/>
                <w:lang w:bidi="ar"/>
              </w:rPr>
              <w:t xml:space="preserve"> </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高压电缆</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条</w:t>
            </w:r>
          </w:p>
        </w:tc>
        <w:tc>
          <w:tcPr>
            <w:tcW w:w="1060"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sz w:val="24"/>
                <w:szCs w:val="24"/>
              </w:rPr>
            </w:pPr>
          </w:p>
        </w:tc>
        <w:tc>
          <w:tcPr>
            <w:tcW w:w="252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sz w:val="24"/>
                <w:szCs w:val="24"/>
              </w:rPr>
            </w:pPr>
            <w:r>
              <w:rPr>
                <w:rFonts w:hint="eastAsia" w:ascii="宋体" w:hAnsi="宋体" w:eastAsia="宋体" w:cs="宋体"/>
                <w:kern w:val="0"/>
                <w:sz w:val="24"/>
                <w:szCs w:val="24"/>
                <w:lang w:bidi="ar"/>
              </w:rPr>
              <w:t xml:space="preserve"> </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14</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面</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 </w:t>
            </w:r>
          </w:p>
        </w:tc>
        <w:tc>
          <w:tcPr>
            <w:tcW w:w="25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 </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框架断路器</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4</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1060"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sz w:val="24"/>
                <w:szCs w:val="24"/>
              </w:rPr>
            </w:pPr>
          </w:p>
        </w:tc>
        <w:tc>
          <w:tcPr>
            <w:tcW w:w="252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sz w:val="24"/>
                <w:szCs w:val="24"/>
              </w:rPr>
            </w:pPr>
            <w:r>
              <w:rPr>
                <w:rFonts w:hint="eastAsia" w:ascii="宋体" w:hAnsi="宋体" w:eastAsia="宋体" w:cs="宋体"/>
                <w:kern w:val="0"/>
                <w:sz w:val="24"/>
                <w:szCs w:val="24"/>
                <w:lang w:bidi="ar"/>
              </w:rPr>
              <w:t xml:space="preserve"> </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低压电容柜</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2</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面</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 </w:t>
            </w:r>
          </w:p>
        </w:tc>
        <w:tc>
          <w:tcPr>
            <w:tcW w:w="25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 </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7</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母线桥</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50</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 </w:t>
            </w:r>
          </w:p>
        </w:tc>
        <w:tc>
          <w:tcPr>
            <w:tcW w:w="25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 </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2691" w:type="dxa"/>
            <w:tcBorders>
              <w:top w:val="nil"/>
              <w:left w:val="nil"/>
              <w:bottom w:val="single" w:color="auto" w:sz="4" w:space="0"/>
              <w:right w:val="single" w:color="auto" w:sz="4" w:space="0"/>
            </w:tcBorders>
            <w:shd w:val="clear" w:color="auto" w:fill="auto"/>
            <w:vAlign w:val="center"/>
          </w:tcPr>
          <w:p>
            <w:pPr>
              <w:widowControl/>
              <w:ind w:firstLine="1080" w:firstLineChars="450"/>
              <w:rPr>
                <w:rFonts w:hint="eastAsia" w:ascii="宋体" w:hAnsi="宋体" w:eastAsia="宋体" w:cs="宋体"/>
                <w:sz w:val="24"/>
                <w:szCs w:val="24"/>
              </w:rPr>
            </w:pPr>
            <w:r>
              <w:rPr>
                <w:rFonts w:hint="eastAsia" w:ascii="宋体" w:hAnsi="宋体" w:eastAsia="宋体" w:cs="宋体"/>
                <w:sz w:val="24"/>
                <w:szCs w:val="24"/>
              </w:rPr>
              <w:t>合计</w:t>
            </w:r>
          </w:p>
        </w:tc>
        <w:tc>
          <w:tcPr>
            <w:tcW w:w="760"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sz w:val="24"/>
                <w:szCs w:val="24"/>
              </w:rPr>
            </w:pP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rPr>
            </w:pPr>
          </w:p>
        </w:tc>
        <w:tc>
          <w:tcPr>
            <w:tcW w:w="1060"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sz w:val="24"/>
                <w:szCs w:val="24"/>
              </w:rPr>
            </w:pPr>
          </w:p>
        </w:tc>
        <w:tc>
          <w:tcPr>
            <w:tcW w:w="252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sz w:val="24"/>
                <w:szCs w:val="24"/>
              </w:rPr>
            </w:pPr>
            <w:r>
              <w:rPr>
                <w:rFonts w:hint="eastAsia" w:ascii="宋体" w:hAnsi="宋体" w:eastAsia="宋体" w:cs="宋体"/>
                <w:kern w:val="0"/>
                <w:sz w:val="24"/>
                <w:szCs w:val="24"/>
                <w:lang w:bidi="ar"/>
              </w:rPr>
              <w:t xml:space="preserve"> </w:t>
            </w:r>
          </w:p>
        </w:tc>
      </w:tr>
      <w:bookmarkEnd w:id="6"/>
    </w:tbl>
    <w:p/>
    <w:p>
      <w:pPr>
        <w:ind w:firstLine="1546" w:firstLineChars="550"/>
        <w:rPr>
          <w:rFonts w:ascii="Times New Roman" w:hAnsi="Times New Roman" w:eastAsia="宋体" w:cs="宋体"/>
          <w:b/>
          <w:sz w:val="28"/>
          <w:szCs w:val="28"/>
          <w:lang w:bidi="ar"/>
        </w:rPr>
      </w:pPr>
      <w:r>
        <w:rPr>
          <w:rFonts w:hint="eastAsia" w:ascii="Times New Roman" w:hAnsi="Times New Roman" w:eastAsia="宋体" w:cs="宋体"/>
          <w:b/>
          <w:sz w:val="28"/>
          <w:szCs w:val="28"/>
          <w:lang w:val="en-US" w:eastAsia="zh-CN" w:bidi="ar"/>
        </w:rPr>
        <w:t>宝安</w:t>
      </w:r>
      <w:r>
        <w:rPr>
          <w:rFonts w:hint="eastAsia" w:ascii="Times New Roman" w:hAnsi="Times New Roman" w:eastAsia="宋体" w:cs="宋体"/>
          <w:b/>
          <w:sz w:val="28"/>
          <w:szCs w:val="28"/>
          <w:lang w:bidi="ar"/>
        </w:rPr>
        <w:t>区石岩基地主要维保设备清单及报价表</w:t>
      </w:r>
    </w:p>
    <w:tbl>
      <w:tblPr>
        <w:tblStyle w:val="7"/>
        <w:tblW w:w="8505" w:type="dxa"/>
        <w:tblInd w:w="-5" w:type="dxa"/>
        <w:tblLayout w:type="autofit"/>
        <w:tblCellMar>
          <w:top w:w="0" w:type="dxa"/>
          <w:left w:w="108" w:type="dxa"/>
          <w:bottom w:w="0" w:type="dxa"/>
          <w:right w:w="108" w:type="dxa"/>
        </w:tblCellMar>
      </w:tblPr>
      <w:tblGrid>
        <w:gridCol w:w="709"/>
        <w:gridCol w:w="2691"/>
        <w:gridCol w:w="760"/>
        <w:gridCol w:w="760"/>
        <w:gridCol w:w="1060"/>
        <w:gridCol w:w="2525"/>
      </w:tblGrid>
      <w:tr>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kern w:val="0"/>
                <w:sz w:val="24"/>
                <w:szCs w:val="24"/>
                <w:lang w:bidi="ar"/>
              </w:rPr>
              <w:t>序号</w:t>
            </w:r>
          </w:p>
        </w:tc>
        <w:tc>
          <w:tcPr>
            <w:tcW w:w="26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kern w:val="0"/>
                <w:sz w:val="24"/>
                <w:szCs w:val="24"/>
                <w:lang w:bidi="ar"/>
              </w:rPr>
              <w:t>内容</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sz w:val="24"/>
                <w:szCs w:val="24"/>
              </w:rPr>
            </w:pPr>
            <w:r>
              <w:rPr>
                <w:rFonts w:hint="eastAsia" w:cs="宋体" w:asciiTheme="minorEastAsia" w:hAnsiTheme="minorEastAsia"/>
                <w:kern w:val="0"/>
                <w:sz w:val="24"/>
                <w:szCs w:val="24"/>
                <w:lang w:bidi="ar"/>
              </w:rPr>
              <w:t>数量</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kern w:val="0"/>
                <w:sz w:val="24"/>
                <w:szCs w:val="24"/>
                <w:lang w:bidi="ar"/>
              </w:rPr>
              <w:t>单位</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kern w:val="0"/>
                <w:sz w:val="24"/>
                <w:szCs w:val="24"/>
                <w:lang w:bidi="ar"/>
              </w:rPr>
              <w:t>单价</w:t>
            </w:r>
          </w:p>
        </w:tc>
        <w:tc>
          <w:tcPr>
            <w:tcW w:w="25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kern w:val="0"/>
                <w:sz w:val="24"/>
                <w:szCs w:val="24"/>
                <w:lang w:bidi="ar"/>
              </w:rPr>
              <w:t>合价</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1</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sz w:val="24"/>
                <w:szCs w:val="24"/>
              </w:rPr>
            </w:pPr>
            <w:r>
              <w:rPr>
                <w:rFonts w:hint="eastAsia" w:cs="宋体" w:asciiTheme="minorEastAsia" w:hAnsiTheme="minorEastAsia"/>
                <w:color w:val="000000"/>
                <w:kern w:val="0"/>
                <w:sz w:val="24"/>
                <w:szCs w:val="24"/>
                <w:lang w:bidi="ar"/>
              </w:rPr>
              <w:t>高压柜</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3</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kern w:val="0"/>
                <w:sz w:val="24"/>
                <w:szCs w:val="24"/>
                <w:lang w:bidi="ar"/>
              </w:rPr>
              <w:t>台</w:t>
            </w:r>
          </w:p>
        </w:tc>
        <w:tc>
          <w:tcPr>
            <w:tcW w:w="106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sz w:val="24"/>
                <w:szCs w:val="24"/>
              </w:rPr>
            </w:pPr>
          </w:p>
        </w:tc>
        <w:tc>
          <w:tcPr>
            <w:tcW w:w="25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cs="Times New Roman" w:asciiTheme="minorEastAsia" w:hAnsiTheme="minorEastAsia"/>
                <w:kern w:val="0"/>
                <w:sz w:val="24"/>
                <w:szCs w:val="24"/>
                <w:lang w:bidi="ar"/>
              </w:rPr>
              <w:t xml:space="preserve"> </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Times New Roman" w:asciiTheme="minorEastAsia" w:hAnsiTheme="minorEastAsia"/>
                <w:kern w:val="0"/>
                <w:sz w:val="24"/>
                <w:szCs w:val="24"/>
                <w:lang w:bidi="ar"/>
              </w:rPr>
              <w:t>2</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sz w:val="24"/>
                <w:szCs w:val="24"/>
              </w:rPr>
            </w:pPr>
            <w:r>
              <w:rPr>
                <w:rFonts w:hint="eastAsia" w:cs="宋体" w:asciiTheme="minorEastAsia" w:hAnsiTheme="minorEastAsia"/>
                <w:color w:val="000000"/>
                <w:kern w:val="0"/>
                <w:sz w:val="24"/>
                <w:szCs w:val="24"/>
                <w:lang w:bidi="ar"/>
              </w:rPr>
              <w:t>变压器</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cs="宋体" w:asciiTheme="minorEastAsia" w:hAnsiTheme="minorEastAsia"/>
                <w:sz w:val="24"/>
                <w:szCs w:val="24"/>
              </w:rPr>
              <w:t>3</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kern w:val="0"/>
                <w:sz w:val="24"/>
                <w:szCs w:val="24"/>
                <w:lang w:bidi="ar"/>
              </w:rPr>
              <w:t>台</w:t>
            </w:r>
          </w:p>
        </w:tc>
        <w:tc>
          <w:tcPr>
            <w:tcW w:w="106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sz w:val="24"/>
                <w:szCs w:val="24"/>
              </w:rPr>
            </w:pPr>
            <w:r>
              <w:rPr>
                <w:rFonts w:cs="Times New Roman" w:asciiTheme="minorEastAsia" w:hAnsiTheme="minorEastAsia"/>
                <w:kern w:val="0"/>
                <w:sz w:val="24"/>
                <w:szCs w:val="24"/>
                <w:lang w:bidi="ar"/>
              </w:rPr>
              <w:t xml:space="preserve"> </w:t>
            </w:r>
          </w:p>
        </w:tc>
        <w:tc>
          <w:tcPr>
            <w:tcW w:w="252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sz w:val="24"/>
                <w:szCs w:val="24"/>
              </w:rPr>
            </w:pPr>
            <w:r>
              <w:rPr>
                <w:rFonts w:cs="Times New Roman" w:asciiTheme="minorEastAsia" w:hAnsiTheme="minorEastAsia"/>
                <w:kern w:val="0"/>
                <w:sz w:val="24"/>
                <w:szCs w:val="24"/>
                <w:lang w:bidi="ar"/>
              </w:rPr>
              <w:t xml:space="preserve"> </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cs="Times New Roman" w:asciiTheme="minorEastAsia" w:hAnsiTheme="minorEastAsia"/>
                <w:kern w:val="0"/>
                <w:sz w:val="24"/>
                <w:szCs w:val="24"/>
                <w:lang w:bidi="ar"/>
              </w:rPr>
              <w:t>3</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sz w:val="24"/>
                <w:szCs w:val="24"/>
              </w:rPr>
            </w:pPr>
            <w:r>
              <w:rPr>
                <w:rFonts w:hint="eastAsia" w:cs="宋体" w:asciiTheme="minorEastAsia" w:hAnsiTheme="minorEastAsia"/>
                <w:color w:val="000000"/>
                <w:kern w:val="0"/>
                <w:sz w:val="24"/>
                <w:szCs w:val="24"/>
                <w:lang w:bidi="ar"/>
              </w:rPr>
              <w:t>高压电缆</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kern w:val="0"/>
                <w:sz w:val="24"/>
                <w:szCs w:val="24"/>
                <w:lang w:bidi="ar"/>
              </w:rPr>
              <w:t>条</w:t>
            </w:r>
          </w:p>
        </w:tc>
        <w:tc>
          <w:tcPr>
            <w:tcW w:w="106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sz w:val="24"/>
                <w:szCs w:val="24"/>
              </w:rPr>
            </w:pPr>
          </w:p>
        </w:tc>
        <w:tc>
          <w:tcPr>
            <w:tcW w:w="252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sz w:val="24"/>
                <w:szCs w:val="24"/>
              </w:rPr>
            </w:pPr>
            <w:r>
              <w:rPr>
                <w:rFonts w:cs="Times New Roman" w:asciiTheme="minorEastAsia" w:hAnsiTheme="minorEastAsia"/>
                <w:kern w:val="0"/>
                <w:sz w:val="24"/>
                <w:szCs w:val="24"/>
                <w:lang w:bidi="ar"/>
              </w:rPr>
              <w:t xml:space="preserve"> </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Times New Roman" w:asciiTheme="minorEastAsia" w:hAnsiTheme="minorEastAsia"/>
                <w:kern w:val="0"/>
                <w:sz w:val="24"/>
                <w:szCs w:val="24"/>
                <w:lang w:bidi="ar"/>
              </w:rPr>
              <w:t>4</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sz w:val="24"/>
                <w:szCs w:val="24"/>
              </w:rPr>
            </w:pPr>
            <w:r>
              <w:rPr>
                <w:rFonts w:hint="eastAsia" w:cs="宋体" w:asciiTheme="minorEastAsia" w:hAnsiTheme="minorEastAsia"/>
                <w:color w:val="000000"/>
                <w:kern w:val="0"/>
                <w:sz w:val="24"/>
                <w:szCs w:val="24"/>
                <w:lang w:bidi="ar"/>
              </w:rPr>
              <w:t>低压开关柜</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7</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kern w:val="0"/>
                <w:sz w:val="24"/>
                <w:szCs w:val="24"/>
                <w:lang w:bidi="ar"/>
              </w:rPr>
              <w:t>面</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cs="Times New Roman" w:asciiTheme="minorEastAsia" w:hAnsiTheme="minorEastAsia"/>
                <w:kern w:val="0"/>
                <w:sz w:val="24"/>
                <w:szCs w:val="24"/>
                <w:lang w:bidi="ar"/>
              </w:rPr>
              <w:t xml:space="preserve"> </w:t>
            </w:r>
          </w:p>
        </w:tc>
        <w:tc>
          <w:tcPr>
            <w:tcW w:w="25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cs="Times New Roman" w:asciiTheme="minorEastAsia" w:hAnsiTheme="minorEastAsia"/>
                <w:kern w:val="0"/>
                <w:sz w:val="24"/>
                <w:szCs w:val="24"/>
                <w:lang w:bidi="ar"/>
              </w:rPr>
              <w:t xml:space="preserve"> </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Times New Roman" w:asciiTheme="minorEastAsia" w:hAnsiTheme="minorEastAsia"/>
                <w:kern w:val="0"/>
                <w:sz w:val="24"/>
                <w:szCs w:val="24"/>
                <w:lang w:bidi="ar"/>
              </w:rPr>
              <w:t>5</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sz w:val="24"/>
                <w:szCs w:val="24"/>
              </w:rPr>
            </w:pPr>
            <w:r>
              <w:rPr>
                <w:rFonts w:hint="eastAsia" w:cs="宋体" w:asciiTheme="minorEastAsia" w:hAnsiTheme="minorEastAsia"/>
                <w:color w:val="000000"/>
                <w:kern w:val="0"/>
                <w:sz w:val="24"/>
                <w:szCs w:val="24"/>
                <w:lang w:bidi="ar"/>
              </w:rPr>
              <w:t>框架断路器</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2</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kern w:val="0"/>
                <w:sz w:val="24"/>
                <w:szCs w:val="24"/>
                <w:lang w:bidi="ar"/>
              </w:rPr>
              <w:t>台</w:t>
            </w:r>
          </w:p>
        </w:tc>
        <w:tc>
          <w:tcPr>
            <w:tcW w:w="106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sz w:val="24"/>
                <w:szCs w:val="24"/>
              </w:rPr>
            </w:pPr>
          </w:p>
        </w:tc>
        <w:tc>
          <w:tcPr>
            <w:tcW w:w="252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sz w:val="24"/>
                <w:szCs w:val="24"/>
              </w:rPr>
            </w:pPr>
            <w:r>
              <w:rPr>
                <w:rFonts w:cs="Times New Roman" w:asciiTheme="minorEastAsia" w:hAnsiTheme="minorEastAsia"/>
                <w:kern w:val="0"/>
                <w:sz w:val="24"/>
                <w:szCs w:val="24"/>
                <w:lang w:bidi="ar"/>
              </w:rPr>
              <w:t xml:space="preserve"> </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Times New Roman" w:asciiTheme="minorEastAsia" w:hAnsiTheme="minorEastAsia"/>
                <w:kern w:val="0"/>
                <w:sz w:val="24"/>
                <w:szCs w:val="24"/>
                <w:lang w:bidi="ar"/>
              </w:rPr>
              <w:t>6</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sz w:val="24"/>
                <w:szCs w:val="24"/>
              </w:rPr>
            </w:pPr>
            <w:r>
              <w:rPr>
                <w:rFonts w:hint="eastAsia" w:cs="宋体" w:asciiTheme="minorEastAsia" w:hAnsiTheme="minorEastAsia"/>
                <w:color w:val="000000"/>
                <w:kern w:val="0"/>
                <w:sz w:val="24"/>
                <w:szCs w:val="24"/>
                <w:lang w:bidi="ar"/>
              </w:rPr>
              <w:t>低压电容柜</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cs="宋体" w:asciiTheme="minorEastAsia" w:hAnsiTheme="minorEastAsia"/>
                <w:sz w:val="24"/>
                <w:szCs w:val="24"/>
              </w:rPr>
              <w:t>2</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kern w:val="0"/>
                <w:sz w:val="24"/>
                <w:szCs w:val="24"/>
                <w:lang w:bidi="ar"/>
              </w:rPr>
              <w:t>面</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cs="Times New Roman" w:asciiTheme="minorEastAsia" w:hAnsiTheme="minorEastAsia"/>
                <w:kern w:val="0"/>
                <w:sz w:val="24"/>
                <w:szCs w:val="24"/>
                <w:lang w:bidi="ar"/>
              </w:rPr>
              <w:t xml:space="preserve"> </w:t>
            </w:r>
          </w:p>
        </w:tc>
        <w:tc>
          <w:tcPr>
            <w:tcW w:w="25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cs="Times New Roman" w:asciiTheme="minorEastAsia" w:hAnsiTheme="minorEastAsia"/>
                <w:kern w:val="0"/>
                <w:sz w:val="24"/>
                <w:szCs w:val="24"/>
                <w:lang w:bidi="ar"/>
              </w:rPr>
              <w:t xml:space="preserve"> </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7</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sz w:val="24"/>
                <w:szCs w:val="24"/>
              </w:rPr>
            </w:pPr>
            <w:r>
              <w:rPr>
                <w:rFonts w:hint="eastAsia" w:cs="宋体" w:asciiTheme="minorEastAsia" w:hAnsiTheme="minorEastAsia"/>
                <w:color w:val="000000"/>
                <w:kern w:val="0"/>
                <w:sz w:val="24"/>
                <w:szCs w:val="24"/>
                <w:lang w:bidi="ar"/>
              </w:rPr>
              <w:t>母线桥</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hint="eastAsia" w:cs="宋体" w:asciiTheme="minorEastAsia" w:hAnsiTheme="minorEastAsia"/>
                <w:kern w:val="0"/>
                <w:sz w:val="24"/>
                <w:szCs w:val="24"/>
                <w:lang w:bidi="ar"/>
              </w:rPr>
              <w:t>米</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cs="Times New Roman" w:asciiTheme="minorEastAsia" w:hAnsiTheme="minorEastAsia"/>
                <w:kern w:val="0"/>
                <w:sz w:val="24"/>
                <w:szCs w:val="24"/>
                <w:lang w:bidi="ar"/>
              </w:rPr>
              <w:t xml:space="preserve"> </w:t>
            </w:r>
          </w:p>
        </w:tc>
        <w:tc>
          <w:tcPr>
            <w:tcW w:w="25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cs="Times New Roman" w:asciiTheme="minorEastAsia" w:hAnsiTheme="minorEastAsia"/>
                <w:kern w:val="0"/>
                <w:sz w:val="24"/>
                <w:szCs w:val="24"/>
                <w:lang w:bidi="ar"/>
              </w:rPr>
              <w:t xml:space="preserve"> </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r>
              <w:rPr>
                <w:rFonts w:cs="Times New Roman" w:asciiTheme="minorEastAsia" w:hAnsiTheme="minorEastAsia"/>
                <w:kern w:val="0"/>
                <w:sz w:val="24"/>
                <w:szCs w:val="24"/>
                <w:lang w:bidi="ar"/>
              </w:rPr>
              <w:t>8</w:t>
            </w:r>
          </w:p>
        </w:tc>
        <w:tc>
          <w:tcPr>
            <w:tcW w:w="2691" w:type="dxa"/>
            <w:tcBorders>
              <w:top w:val="nil"/>
              <w:left w:val="nil"/>
              <w:bottom w:val="single" w:color="auto" w:sz="4" w:space="0"/>
              <w:right w:val="single" w:color="auto" w:sz="4" w:space="0"/>
            </w:tcBorders>
            <w:shd w:val="clear" w:color="auto" w:fill="auto"/>
            <w:vAlign w:val="center"/>
          </w:tcPr>
          <w:p>
            <w:pPr>
              <w:widowControl/>
              <w:ind w:firstLine="1080" w:firstLineChars="450"/>
              <w:rPr>
                <w:rFonts w:cs="宋体" w:asciiTheme="minorEastAsia" w:hAnsiTheme="minorEastAsia"/>
                <w:sz w:val="24"/>
                <w:szCs w:val="24"/>
              </w:rPr>
            </w:pPr>
            <w:r>
              <w:rPr>
                <w:rFonts w:hint="eastAsia" w:cs="宋体" w:asciiTheme="minorEastAsia" w:hAnsiTheme="minorEastAsia"/>
                <w:sz w:val="24"/>
                <w:szCs w:val="24"/>
              </w:rPr>
              <w:t>合计</w:t>
            </w:r>
          </w:p>
        </w:tc>
        <w:tc>
          <w:tcPr>
            <w:tcW w:w="76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sz w:val="24"/>
                <w:szCs w:val="24"/>
              </w:rPr>
            </w:pP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sz w:val="24"/>
                <w:szCs w:val="24"/>
              </w:rPr>
            </w:pPr>
          </w:p>
        </w:tc>
        <w:tc>
          <w:tcPr>
            <w:tcW w:w="106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sz w:val="24"/>
                <w:szCs w:val="24"/>
              </w:rPr>
            </w:pPr>
          </w:p>
        </w:tc>
        <w:tc>
          <w:tcPr>
            <w:tcW w:w="252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sz w:val="24"/>
                <w:szCs w:val="24"/>
              </w:rPr>
            </w:pPr>
            <w:r>
              <w:rPr>
                <w:rFonts w:cs="Times New Roman" w:asciiTheme="minorEastAsia" w:hAnsiTheme="minorEastAsia"/>
                <w:kern w:val="0"/>
                <w:sz w:val="24"/>
                <w:szCs w:val="24"/>
                <w:lang w:bidi="ar"/>
              </w:rPr>
              <w:t xml:space="preserve"> </w:t>
            </w:r>
          </w:p>
        </w:tc>
      </w:tr>
    </w:tbl>
    <w:p>
      <w:pPr>
        <w:ind w:firstLine="1546" w:firstLineChars="550"/>
        <w:rPr>
          <w:rFonts w:ascii="Times New Roman" w:hAnsi="Times New Roman" w:eastAsia="宋体" w:cs="宋体"/>
          <w:b/>
          <w:sz w:val="28"/>
          <w:szCs w:val="28"/>
          <w:lang w:bidi="ar"/>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sz w:val="24"/>
          <w:szCs w:val="24"/>
        </w:rPr>
        <w:t>以上设施设备维护保养、调校、检测、故障检修，框架断路器的保护测试等工作，以及每年进行一次电气设备维护保养和预防性试验，每月进行一次月度巡检，并出具维保及巡检报告。协助甲方消除设备技术缺陷及隐患，配合甲方进行电力紧急事故处理，对甲方电气操作人员进行安全技术培训，确保甲方配电设备供电的安全可靠。</w:t>
      </w:r>
    </w:p>
    <w:p>
      <w:pPr>
        <w:spacing w:line="360" w:lineRule="auto"/>
        <w:rPr>
          <w:rFonts w:ascii="宋体" w:hAnsi="宋体" w:eastAsia="宋体" w:cs="宋体"/>
          <w:b/>
          <w:sz w:val="24"/>
          <w:szCs w:val="24"/>
        </w:rPr>
      </w:pPr>
      <w:r>
        <w:rPr>
          <w:rFonts w:hint="eastAsia" w:ascii="宋体" w:hAnsi="宋体" w:eastAsia="宋体" w:cs="宋体"/>
          <w:b/>
          <w:sz w:val="24"/>
          <w:szCs w:val="24"/>
          <w:lang w:bidi="ar"/>
        </w:rPr>
        <w:t>高压配电维保内容：</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lang w:bidi="ar"/>
        </w:rPr>
        <w:t>（1）清除各部位、各部件的积尘、污垢；</w:t>
      </w:r>
    </w:p>
    <w:p>
      <w:pPr>
        <w:spacing w:line="360" w:lineRule="auto"/>
        <w:ind w:firstLine="240" w:firstLineChars="100"/>
        <w:rPr>
          <w:rFonts w:hint="eastAsia" w:ascii="宋体" w:hAnsi="宋体" w:eastAsia="宋体" w:cs="宋体"/>
          <w:sz w:val="24"/>
          <w:szCs w:val="24"/>
          <w:lang w:bidi="ar"/>
        </w:rPr>
      </w:pPr>
      <w:r>
        <w:rPr>
          <w:rFonts w:hint="eastAsia" w:ascii="宋体" w:hAnsi="宋体" w:eastAsia="宋体" w:cs="宋体"/>
          <w:sz w:val="24"/>
          <w:szCs w:val="24"/>
          <w:lang w:bidi="ar"/>
        </w:rPr>
        <w:t>（2）检查母线表面是否光洁平整、有无裂损，检查终端箱扭矩、绝缘、耐</w:t>
      </w:r>
    </w:p>
    <w:p>
      <w:pPr>
        <w:spacing w:line="360" w:lineRule="auto"/>
        <w:rPr>
          <w:rFonts w:ascii="宋体" w:hAnsi="宋体" w:eastAsia="宋体" w:cs="宋体"/>
          <w:sz w:val="24"/>
          <w:szCs w:val="24"/>
          <w:lang w:bidi="ar"/>
        </w:rPr>
      </w:pPr>
      <w:r>
        <w:rPr>
          <w:rFonts w:hint="eastAsia" w:ascii="宋体" w:hAnsi="宋体" w:eastAsia="宋体" w:cs="宋体"/>
          <w:sz w:val="24"/>
          <w:szCs w:val="24"/>
          <w:lang w:bidi="ar"/>
        </w:rPr>
        <w:t>压检测、红外线检测；</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lang w:bidi="ar"/>
        </w:rPr>
        <w:t>（3）检查架构及各部位螺栓应紧固.混凝土架构应无严重裂纹和脱落,钢架构应无锈蚀；</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lang w:bidi="ar"/>
        </w:rPr>
        <w:t>（4）检查瓷绝缘完好程度，有无爬闪痕迹，瓷铁胶合处无松动；</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lang w:bidi="ar"/>
        </w:rPr>
        <w:t>（5）检查各导电部分连接点是否紧密；</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lang w:bidi="ar"/>
        </w:rPr>
        <w:t>（6）检查操作和传动机构的各部件完好程度、有无变形，各部位销子、螺丝等紧固件松动情况和短缺，分、合闸是否灵活可靠；</w:t>
      </w:r>
    </w:p>
    <w:p>
      <w:pPr>
        <w:spacing w:line="360" w:lineRule="auto"/>
        <w:ind w:firstLine="240" w:firstLineChars="100"/>
        <w:rPr>
          <w:rFonts w:ascii="宋体" w:hAnsi="宋体" w:eastAsia="宋体" w:cs="宋体"/>
          <w:sz w:val="24"/>
          <w:szCs w:val="24"/>
          <w:lang w:bidi="ar"/>
        </w:rPr>
      </w:pPr>
      <w:r>
        <w:rPr>
          <w:rFonts w:hint="eastAsia" w:ascii="宋体" w:hAnsi="宋体" w:eastAsia="宋体" w:cs="宋体"/>
          <w:sz w:val="24"/>
          <w:szCs w:val="24"/>
          <w:lang w:bidi="ar"/>
        </w:rPr>
        <w:t>（7）检查各处接地线是否完好，连接紧固，接触良好；</w:t>
      </w:r>
    </w:p>
    <w:p>
      <w:pPr>
        <w:spacing w:line="360" w:lineRule="auto"/>
        <w:ind w:firstLine="240" w:firstLineChars="100"/>
        <w:rPr>
          <w:rFonts w:ascii="宋体" w:hAnsi="宋体" w:eastAsia="宋体" w:cs="宋体"/>
          <w:sz w:val="24"/>
          <w:szCs w:val="24"/>
          <w:lang w:bidi="ar"/>
        </w:rPr>
      </w:pPr>
      <w:r>
        <w:rPr>
          <w:rFonts w:hint="eastAsia" w:ascii="宋体" w:hAnsi="宋体" w:eastAsia="宋体" w:cs="宋体"/>
          <w:sz w:val="24"/>
          <w:szCs w:val="24"/>
          <w:lang w:bidi="ar"/>
        </w:rPr>
        <w:t>（8）操作机构检查、绝缘、耐压试验、气密及局放检测、红外线检测。</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bidi="ar"/>
        </w:rPr>
        <w:t>电力变压器维保内容：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1.系统附件外观检查</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（1）检查相关电气接点及触头是否有过热及不正常现象；</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（2）测试相关保护报警，跳闸等保护操作。</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2.变压器本体检查及检测</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（1）变压器本体是否积尘；</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（2）穿芯螺杆是否紧固；</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（3）铁芯是否一点牢固接地；</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（4）无载分接调压联接片是否紧固；</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（5）高压侧联接组的螺拴是否紧固；</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（6）高压电缆头与变压器联接是否紧固；</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（7）低压侧联接铜排是否搭接紧固；</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（8）绕组绝缘表面是否有龟裂，爬电和碳化痕迹；</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（9）变压器运行的声音是否正常；</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（10）变压器接地系统检查，测试；</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（11）变压器内外螺丝检查，收紧；</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（12）变压器直流电阻测试；</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（13）绝缘电阻测试；</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（14）工频耐压测试。</w:t>
      </w:r>
    </w:p>
    <w:p>
      <w:pPr>
        <w:spacing w:line="360" w:lineRule="auto"/>
        <w:rPr>
          <w:rFonts w:hint="eastAsia" w:asciiTheme="minorEastAsia" w:hAnsiTheme="minorEastAsia" w:eastAsiaTheme="minorEastAsia" w:cstheme="minorEastAsia"/>
          <w:b/>
          <w:sz w:val="24"/>
          <w:szCs w:val="24"/>
          <w:lang w:bidi="ar"/>
        </w:rPr>
      </w:pPr>
      <w:r>
        <w:rPr>
          <w:rFonts w:hint="eastAsia" w:asciiTheme="minorEastAsia" w:hAnsiTheme="minorEastAsia" w:eastAsiaTheme="minorEastAsia" w:cstheme="minorEastAsia"/>
          <w:b/>
          <w:sz w:val="24"/>
          <w:szCs w:val="24"/>
          <w:lang w:bidi="ar"/>
        </w:rPr>
        <w:t>低压配电装置维保内容：</w:t>
      </w:r>
    </w:p>
    <w:p>
      <w:pPr>
        <w:spacing w:line="360" w:lineRule="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1.配电柜</w:t>
      </w:r>
      <w:r>
        <w:rPr>
          <w:rFonts w:hint="eastAsia" w:asciiTheme="minorEastAsia" w:hAnsiTheme="minorEastAsia" w:eastAsiaTheme="minorEastAsia" w:cstheme="minorEastAsia"/>
          <w:sz w:val="24"/>
          <w:szCs w:val="24"/>
        </w:rPr>
        <w:t>检查及处理</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（1）配电柜外观除尘、螺丝紧固；</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（2）配电柜外观是否变形及处理，门及面板是否正常；</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（3）手柄、指示灯及其它附件是否完好；</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（4）柜子内部清洁除尘，各抽屉抽动是否灵活；</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（5）电流表、电压表指示是否正常；</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（6）主回路检查有无异常，主母排螺栓检查紧固，二次回路螺丝检查紧固；</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（7）CT\PT 有无变色现象，接线是否紧固。</w:t>
      </w:r>
    </w:p>
    <w:p>
      <w:pPr>
        <w:spacing w:line="360" w:lineRule="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2.电容补偿柜的检查及处理</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（1）检查无功补偿系统配置是否合理；</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（2）一二次回路接线端子进行紧固；</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（3）检查各熔芯或断路器是否工作正常；</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（4）检查接触器工作是否正常；</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（5）检查功率因数控制器是否能自动投切电容；</w:t>
      </w:r>
    </w:p>
    <w:p>
      <w:pPr>
        <w:spacing w:line="360" w:lineRule="auto"/>
        <w:ind w:firstLine="240" w:firstLineChars="100"/>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sz w:val="24"/>
          <w:szCs w:val="24"/>
          <w:lang w:bidi="ar"/>
        </w:rPr>
        <w:t>（6）电容容值测</w:t>
      </w:r>
      <w:r>
        <w:rPr>
          <w:rFonts w:hint="eastAsia" w:asciiTheme="minorEastAsia" w:hAnsiTheme="minorEastAsia" w:eastAsiaTheme="minorEastAsia" w:cstheme="minorEastAsia"/>
          <w:sz w:val="24"/>
          <w:szCs w:val="24"/>
        </w:rPr>
        <w:t>量是否合格。</w:t>
      </w:r>
    </w:p>
    <w:p>
      <w:pPr>
        <w:spacing w:line="360" w:lineRule="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3.配电柜总体检查及处理</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（1）系统绝缘是否合格；</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（2）联锁有无异常。</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bidi="ar"/>
        </w:rPr>
        <w:t>框架式断路器维保内容：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1.外观检查及处理</w:t>
      </w:r>
    </w:p>
    <w:p>
      <w:pPr>
        <w:numPr>
          <w:ilvl w:val="0"/>
          <w:numId w:val="0"/>
        </w:num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cstheme="minorEastAsia"/>
          <w:sz w:val="24"/>
          <w:szCs w:val="24"/>
          <w:lang w:eastAsia="zh-CN" w:bidi="ar"/>
        </w:rPr>
        <w:t>（</w:t>
      </w:r>
      <w:r>
        <w:rPr>
          <w:rFonts w:hint="eastAsia" w:asciiTheme="minorEastAsia" w:hAnsiTheme="minorEastAsia" w:cstheme="minorEastAsia"/>
          <w:sz w:val="24"/>
          <w:szCs w:val="24"/>
          <w:lang w:val="en-US" w:eastAsia="zh-CN" w:bidi="ar"/>
        </w:rPr>
        <w:t>1</w:t>
      </w:r>
      <w:r>
        <w:rPr>
          <w:rFonts w:hint="eastAsia" w:asciiTheme="minorEastAsia" w:hAnsiTheme="minorEastAsia" w:cstheme="minorEastAsia"/>
          <w:sz w:val="24"/>
          <w:szCs w:val="24"/>
          <w:lang w:eastAsia="zh-CN" w:bidi="ar"/>
        </w:rPr>
        <w:t>）</w:t>
      </w:r>
      <w:r>
        <w:rPr>
          <w:rFonts w:hint="eastAsia" w:asciiTheme="minorEastAsia" w:hAnsiTheme="minorEastAsia" w:eastAsiaTheme="minorEastAsia" w:cstheme="minorEastAsia"/>
          <w:sz w:val="24"/>
          <w:szCs w:val="24"/>
          <w:lang w:bidi="ar"/>
        </w:rPr>
        <w:t>断路温度是否正常，金属表面氧化程度；</w:t>
      </w:r>
    </w:p>
    <w:p>
      <w:pPr>
        <w:numPr>
          <w:ilvl w:val="0"/>
          <w:numId w:val="0"/>
        </w:num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cstheme="minorEastAsia"/>
          <w:sz w:val="24"/>
          <w:szCs w:val="24"/>
          <w:lang w:eastAsia="zh-CN" w:bidi="ar"/>
        </w:rPr>
        <w:t>（</w:t>
      </w:r>
      <w:r>
        <w:rPr>
          <w:rFonts w:hint="eastAsia" w:asciiTheme="minorEastAsia" w:hAnsiTheme="minorEastAsia" w:cstheme="minorEastAsia"/>
          <w:sz w:val="24"/>
          <w:szCs w:val="24"/>
          <w:lang w:val="en-US" w:eastAsia="zh-CN" w:bidi="ar"/>
        </w:rPr>
        <w:t>2</w:t>
      </w:r>
      <w:r>
        <w:rPr>
          <w:rFonts w:hint="eastAsia" w:asciiTheme="minorEastAsia" w:hAnsiTheme="minorEastAsia" w:cstheme="minorEastAsia"/>
          <w:sz w:val="24"/>
          <w:szCs w:val="24"/>
          <w:lang w:eastAsia="zh-CN" w:bidi="ar"/>
        </w:rPr>
        <w:t>）</w:t>
      </w:r>
      <w:r>
        <w:rPr>
          <w:rFonts w:hint="eastAsia" w:asciiTheme="minorEastAsia" w:hAnsiTheme="minorEastAsia" w:eastAsiaTheme="minorEastAsia" w:cstheme="minorEastAsia"/>
          <w:sz w:val="24"/>
          <w:szCs w:val="24"/>
          <w:lang w:bidi="ar"/>
        </w:rPr>
        <w:t>二次接插端子是否有变形，二次回路接插件是否紧固；</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（3）其它开关连接部件是否有变形；</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（4）开关外露螺钉及螺母是否松动；</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bidi="ar"/>
        </w:rPr>
        <w:t>（</w:t>
      </w:r>
      <w:r>
        <w:rPr>
          <w:rFonts w:hint="eastAsia" w:asciiTheme="minorEastAsia" w:hAnsiTheme="minorEastAsia" w:eastAsiaTheme="minorEastAsia" w:cstheme="minorEastAsia"/>
          <w:sz w:val="24"/>
          <w:szCs w:val="24"/>
          <w:lang w:bidi="ar"/>
        </w:rPr>
        <w:t>5）二次回路接线状态检查，接线螺钉是否紧固；</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（6）主回路接线安全卡簧/螺钉是否紧固。</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2.内部检查及处理</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（1）灭弧罩是否破损，熏黑和积尘处理，灭弧栅是否有金属液滴及处理；</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（2）三（四）相触头（含灭弧触头）闭合一致性；</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（3）灭弧触头表面拉弧点，灭弧室检查相间及相对地绝缘检查；</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（4）开关内部灰尘清理，是否有卡簧松动；</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（5）YU表面是否有锈蚀痕迹；</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（6）储能马达转动是否灵活；</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（7）机构转动部件加油；</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（8）开关内部二次接线是否紧固；</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（9）失压底座连杆联动力；</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（10）合闸一致性检查，合闸接触电阻检测。</w:t>
      </w:r>
    </w:p>
    <w:p>
      <w:pPr>
        <w:spacing w:line="360" w:lineRule="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3.保护单元的检测</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（1）过载长延时保护的功能测试；</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（2）短路延时保护的功能测试；</w:t>
      </w:r>
    </w:p>
    <w:p>
      <w:pPr>
        <w:spacing w:line="360" w:lineRule="auto"/>
        <w:ind w:firstLine="240" w:firstLineChars="100"/>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sz w:val="24"/>
          <w:szCs w:val="24"/>
          <w:lang w:bidi="ar"/>
        </w:rPr>
        <w:t>（3）</w:t>
      </w:r>
      <w:r>
        <w:rPr>
          <w:rFonts w:hint="eastAsia" w:asciiTheme="minorEastAsia" w:hAnsiTheme="minorEastAsia" w:eastAsiaTheme="minorEastAsia" w:cstheme="minorEastAsia"/>
          <w:kern w:val="0"/>
          <w:sz w:val="24"/>
          <w:szCs w:val="24"/>
          <w:lang w:bidi="ar"/>
        </w:rPr>
        <w:t>短路瞬时保护的功能测试；</w:t>
      </w:r>
    </w:p>
    <w:p>
      <w:pPr>
        <w:spacing w:line="360" w:lineRule="auto"/>
        <w:ind w:firstLine="240" w:firstLineChars="1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（4）接地保护的功能测试。</w:t>
      </w:r>
    </w:p>
    <w:p>
      <w:pPr>
        <w:spacing w:line="360" w:lineRule="auto"/>
        <w:rPr>
          <w:rFonts w:hint="eastAsia" w:asciiTheme="minorEastAsia" w:hAnsiTheme="minorEastAsia" w:eastAsiaTheme="minorEastAsia" w:cstheme="minorEastAsia"/>
          <w:b/>
          <w:sz w:val="24"/>
          <w:szCs w:val="24"/>
          <w:lang w:bidi="ar"/>
        </w:rPr>
      </w:pPr>
      <w:r>
        <w:rPr>
          <w:rFonts w:hint="eastAsia" w:asciiTheme="minorEastAsia" w:hAnsiTheme="minorEastAsia" w:eastAsiaTheme="minorEastAsia" w:cstheme="minorEastAsia"/>
          <w:b/>
          <w:sz w:val="24"/>
          <w:szCs w:val="24"/>
          <w:lang w:bidi="ar"/>
        </w:rPr>
        <w:t>月度巡检服务内容：</w:t>
      </w:r>
    </w:p>
    <w:p>
      <w:pPr>
        <w:spacing w:line="360" w:lineRule="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 高压配电系统</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（1）配电室是否清洁、消防器材是否完备</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（2）配电室通风散热效果是否良好</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（3）配电室是否防鼠、应急通道是否顺畅</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（4）配电柜外观是否清洁、是否变形、门及面板是否正常</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（5）螺丝是否有松动、手柄、指示灯及其它附件是否完好</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（6）主开关转换合分闸是否正常、储能及位置指示是否正常</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（7）SF6 压力是否正常、按钮是否灵活</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（8）高压带电显示器显示是否正确</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（9）电流表、电压表指示是否正常</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（10）主回路有无异常发热现象</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（11）二次回路螺丝是否松动、转动部件是否缺油</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（12）CT\PT 有无发热，变色现象</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（13）设备运行是否有异响、是否有放电现象</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（14）系统绝缘是否合格、供电是否稳定</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（15）系统进线柜电流记录</w:t>
      </w:r>
      <w:r>
        <w:rPr>
          <w:rFonts w:hint="eastAsia" w:asciiTheme="minorEastAsia" w:hAnsiTheme="minorEastAsia" w:cstheme="minorEastAsia"/>
          <w:sz w:val="24"/>
          <w:szCs w:val="24"/>
          <w:lang w:eastAsia="zh-CN" w:bidi="ar"/>
        </w:rPr>
        <w:t>。</w:t>
      </w:r>
    </w:p>
    <w:p>
      <w:pPr>
        <w:spacing w:line="360" w:lineRule="auto"/>
        <w:rPr>
          <w:rFonts w:hint="eastAsia" w:asciiTheme="minorEastAsia" w:hAnsiTheme="minorEastAsia" w:eastAsiaTheme="minorEastAsia" w:cstheme="minorEastAsia"/>
          <w:b/>
          <w:sz w:val="24"/>
          <w:szCs w:val="24"/>
          <w:lang w:bidi="ar"/>
        </w:rPr>
      </w:pPr>
      <w:r>
        <w:rPr>
          <w:rFonts w:hint="eastAsia" w:asciiTheme="minorEastAsia" w:hAnsiTheme="minorEastAsia" w:eastAsiaTheme="minorEastAsia" w:cstheme="minorEastAsia"/>
          <w:b/>
          <w:sz w:val="24"/>
          <w:szCs w:val="24"/>
          <w:lang w:bidi="ar"/>
        </w:rPr>
        <w:t>电力变压器：</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（1）变压器室是否清洁无尘、消防器材是否完备</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（2）变压器室通风散热效果是否良好</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（3）变压器室是否防鼠、应急通道是否顺畅</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（4）变压器柜体外观是否变形、是否有腐蚀</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（5）变压器本体是否有异响、有无爬电和碳化现象</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（6）变压器是否有渗油现象、搭接头处是否发热</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（7）带电部分是否有放电现象</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（8）变压器本体温度是否正常</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（9）温控仪是否正常、工作冷却风机是否正常</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（10）工作接地线是否完好、导电零件是否接触良好</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（11）紧固件、支持件、连接件是否锈蚀、裂纹</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（12）系统供电是否稳定</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（13）变压器3相温度记录、低压侧3 相电流记录</w:t>
      </w:r>
      <w:r>
        <w:rPr>
          <w:rFonts w:hint="eastAsia" w:asciiTheme="minorEastAsia" w:hAnsiTheme="minorEastAsia" w:cstheme="minorEastAsia"/>
          <w:sz w:val="24"/>
          <w:szCs w:val="24"/>
          <w:lang w:eastAsia="zh-CN" w:bidi="ar"/>
        </w:rPr>
        <w:t>。</w:t>
      </w:r>
    </w:p>
    <w:p>
      <w:pPr>
        <w:spacing w:line="360" w:lineRule="auto"/>
        <w:rPr>
          <w:rFonts w:hint="eastAsia" w:asciiTheme="minorEastAsia" w:hAnsiTheme="minorEastAsia" w:eastAsiaTheme="minorEastAsia" w:cstheme="minorEastAsia"/>
          <w:b/>
          <w:sz w:val="24"/>
          <w:szCs w:val="24"/>
          <w:lang w:bidi="ar"/>
        </w:rPr>
      </w:pPr>
      <w:r>
        <w:rPr>
          <w:rFonts w:hint="eastAsia" w:asciiTheme="minorEastAsia" w:hAnsiTheme="minorEastAsia" w:eastAsiaTheme="minorEastAsia" w:cstheme="minorEastAsia"/>
          <w:b/>
          <w:sz w:val="24"/>
          <w:szCs w:val="24"/>
          <w:lang w:bidi="ar"/>
        </w:rPr>
        <w:t>低压配电系统：</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（1）配电室是否清洁、消防器材是否完备</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（2）配电室通风散热效果是否良好</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（3）配电室是否防鼠应急通道是否顺畅</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（4）配电柜外观是否清洁、门及面板是否正常</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（5）手柄、指示灯及其它附件是否完好</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（6）框架断路器合分闸是否正常、储能及分合指示是否正常</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（7）各抽屉抽动是否灵活、空开是否分断正常</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（8）接触器有无粘合现象、吸合是否正常</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（9）电流表、电压表指示是否正常</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（10）主回路有无异常发热现象</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（11）回路元件是否有震动或异响</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（12）CT\PT有无发热，变色现象</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（13）功率因数是否达标、控制器是否正常</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（14）工作电容是否正常投切、电容容值是否正常</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（15）系统绝缘是否合格、供电是否稳定</w:t>
      </w:r>
      <w:r>
        <w:rPr>
          <w:rFonts w:hint="eastAsia" w:asciiTheme="minorEastAsia" w:hAnsiTheme="minorEastAsia" w:cstheme="minorEastAsia"/>
          <w:sz w:val="24"/>
          <w:szCs w:val="24"/>
          <w:lang w:eastAsia="zh-CN" w:bidi="ar"/>
        </w:rPr>
        <w:t>；</w:t>
      </w:r>
    </w:p>
    <w:p>
      <w:pPr>
        <w:spacing w:line="360" w:lineRule="auto"/>
        <w:ind w:firstLine="240" w:firstLineChars="100"/>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（16）系统进线柜电流记录</w:t>
      </w:r>
      <w:r>
        <w:rPr>
          <w:rFonts w:hint="eastAsia" w:asciiTheme="minorEastAsia" w:hAnsiTheme="minorEastAsia" w:cstheme="minorEastAsia"/>
          <w:sz w:val="24"/>
          <w:szCs w:val="24"/>
          <w:lang w:eastAsia="zh-CN" w:bidi="ar"/>
        </w:rPr>
        <w:t>。</w:t>
      </w:r>
    </w:p>
    <w:p>
      <w:pPr>
        <w:pStyle w:val="3"/>
        <w:rPr>
          <w:lang w:bidi="ar"/>
        </w:rPr>
      </w:pPr>
      <w:bookmarkStart w:id="7" w:name="_Toc100872712"/>
      <w:r>
        <w:rPr>
          <w:rFonts w:hint="eastAsia"/>
          <w:lang w:bidi="ar"/>
        </w:rPr>
        <w:t>四、项目服务期限和投标要求：</w:t>
      </w:r>
      <w:bookmarkEnd w:id="7"/>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本项目本次招标的服务期限为</w:t>
      </w:r>
      <w:r>
        <w:rPr>
          <w:rFonts w:asciiTheme="minorEastAsia" w:hAnsiTheme="minorEastAsia" w:cstheme="minorEastAsia"/>
          <w:sz w:val="24"/>
          <w:szCs w:val="24"/>
        </w:rPr>
        <w:t>1</w:t>
      </w:r>
      <w:r>
        <w:rPr>
          <w:rFonts w:hint="eastAsia" w:asciiTheme="minorEastAsia" w:hAnsiTheme="minorEastAsia" w:cstheme="minorEastAsia"/>
          <w:sz w:val="24"/>
          <w:szCs w:val="24"/>
        </w:rPr>
        <w:t>年。</w:t>
      </w:r>
    </w:p>
    <w:p>
      <w:pPr>
        <w:spacing w:line="360" w:lineRule="auto"/>
        <w:ind w:firstLine="480" w:firstLineChars="200"/>
        <w:rPr>
          <w:rFonts w:hint="default" w:eastAsiaTheme="minorEastAsia"/>
          <w:szCs w:val="21"/>
          <w:lang w:val="en-US" w:eastAsia="zh-CN"/>
        </w:rPr>
      </w:pPr>
      <w:r>
        <w:rPr>
          <w:rFonts w:hint="eastAsia" w:asciiTheme="minorEastAsia" w:hAnsiTheme="minorEastAsia" w:cstheme="minorEastAsia"/>
          <w:sz w:val="24"/>
          <w:szCs w:val="24"/>
        </w:rPr>
        <w:t>服务期限：</w:t>
      </w:r>
      <w:r>
        <w:rPr>
          <w:rFonts w:asciiTheme="minorEastAsia" w:hAnsiTheme="minorEastAsia" w:cstheme="minorEastAsia"/>
          <w:sz w:val="24"/>
          <w:szCs w:val="24"/>
        </w:rPr>
        <w:t>2022</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月至</w:t>
      </w:r>
      <w:r>
        <w:rPr>
          <w:rFonts w:asciiTheme="minorEastAsia" w:hAnsiTheme="minorEastAsia" w:cstheme="minorEastAsia"/>
          <w:sz w:val="24"/>
          <w:szCs w:val="24"/>
        </w:rPr>
        <w:t>202</w:t>
      </w:r>
      <w:r>
        <w:rPr>
          <w:rFonts w:hint="eastAsia" w:asciiTheme="minorEastAsia" w:hAnsiTheme="minorEastAsia" w:cstheme="minorEastAsia"/>
          <w:sz w:val="24"/>
          <w:szCs w:val="24"/>
          <w:lang w:val="en-US" w:eastAsia="zh-CN"/>
        </w:rPr>
        <w:t>3</w:t>
      </w:r>
      <w:bookmarkStart w:id="10" w:name="_GoBack"/>
      <w:bookmarkEnd w:id="10"/>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6月。</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（1）财务预算限额为</w:t>
      </w:r>
      <w:r>
        <w:rPr>
          <w:rFonts w:asciiTheme="minorEastAsia" w:hAnsiTheme="minorEastAsia" w:cstheme="minorEastAsia"/>
          <w:sz w:val="24"/>
          <w:szCs w:val="24"/>
        </w:rPr>
        <w:t>12.5</w:t>
      </w:r>
      <w:r>
        <w:rPr>
          <w:rFonts w:hint="eastAsia" w:asciiTheme="minorEastAsia" w:hAnsiTheme="minorEastAsia" w:cstheme="minorEastAsia"/>
          <w:sz w:val="24"/>
          <w:szCs w:val="24"/>
        </w:rPr>
        <w:t>万元。项目费用包含税费。</w:t>
      </w:r>
    </w:p>
    <w:p>
      <w:pPr>
        <w:spacing w:line="360" w:lineRule="auto"/>
        <w:ind w:left="719" w:leftChars="114" w:hanging="480" w:hangingChars="200"/>
        <w:rPr>
          <w:rFonts w:asciiTheme="minorEastAsia" w:hAnsiTheme="minorEastAsia" w:cstheme="minorEastAsia"/>
          <w:sz w:val="24"/>
          <w:szCs w:val="24"/>
        </w:rPr>
      </w:pPr>
      <w:r>
        <w:rPr>
          <w:rFonts w:hint="eastAsia" w:asciiTheme="minorEastAsia" w:hAnsiTheme="minorEastAsia" w:cstheme="minorEastAsia"/>
          <w:sz w:val="24"/>
          <w:szCs w:val="24"/>
        </w:rPr>
        <w:t>（2）投标人应根据本文件所提供的资料自行测算投标报价；一经中标，投标报价将作为中标单位与采购单位签订的合同金额标准，合同期限内不做调整；</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（3）投标人应根据本企业的成本自行决定报价，但不得以低于其企业成本的报价投标；</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（4）投标人的投标报价不得超过预算限额；</w:t>
      </w:r>
    </w:p>
    <w:p>
      <w:pPr>
        <w:spacing w:line="360" w:lineRule="auto"/>
        <w:ind w:left="719" w:leftChars="114" w:hanging="480" w:hanging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5</w:t>
      </w:r>
      <w:r>
        <w:rPr>
          <w:rFonts w:hint="eastAsia" w:asciiTheme="minorEastAsia" w:hAnsiTheme="minorEastAsia" w:cstheme="minorEastAsia"/>
          <w:sz w:val="24"/>
          <w:szCs w:val="24"/>
        </w:rPr>
        <w:t>）投标人的投标报价，应是本项目招标范围和招标文件及合同条款上所列的各项内容中所述的全部；</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（6）投标人须</w:t>
      </w:r>
      <w:r>
        <w:rPr>
          <w:rFonts w:asciiTheme="minorEastAsia" w:hAnsiTheme="minorEastAsia" w:cstheme="minorEastAsia"/>
          <w:sz w:val="24"/>
          <w:szCs w:val="24"/>
        </w:rPr>
        <w:t>报备专用车辆用于本项目</w:t>
      </w:r>
      <w:r>
        <w:rPr>
          <w:rFonts w:hint="eastAsia" w:asciiTheme="minorEastAsia" w:hAnsiTheme="minorEastAsia" w:cstheme="minorEastAsia"/>
          <w:sz w:val="24"/>
          <w:szCs w:val="24"/>
        </w:rPr>
        <w:t>服务</w:t>
      </w:r>
      <w:r>
        <w:rPr>
          <w:rFonts w:asciiTheme="minorEastAsia" w:hAnsiTheme="minorEastAsia" w:cstheme="minorEastAsia"/>
          <w:sz w:val="24"/>
          <w:szCs w:val="24"/>
        </w:rPr>
        <w:t>需要，保证在接到</w:t>
      </w:r>
      <w:r>
        <w:rPr>
          <w:rFonts w:hint="eastAsia" w:asciiTheme="minorEastAsia" w:hAnsiTheme="minorEastAsia" w:cstheme="minorEastAsia"/>
          <w:sz w:val="24"/>
          <w:szCs w:val="24"/>
        </w:rPr>
        <w:t>报修</w:t>
      </w:r>
      <w:r>
        <w:rPr>
          <w:rFonts w:asciiTheme="minorEastAsia" w:hAnsiTheme="minorEastAsia" w:cstheme="minorEastAsia"/>
          <w:sz w:val="24"/>
          <w:szCs w:val="24"/>
        </w:rPr>
        <w:t>通知</w:t>
      </w:r>
      <w:r>
        <w:rPr>
          <w:rFonts w:hint="eastAsia" w:asciiTheme="minorEastAsia" w:hAnsiTheme="minorEastAsia" w:cstheme="minorEastAsia"/>
          <w:sz w:val="24"/>
          <w:szCs w:val="24"/>
        </w:rPr>
        <w:t>2小时</w:t>
      </w:r>
      <w:r>
        <w:rPr>
          <w:rFonts w:asciiTheme="minorEastAsia" w:hAnsiTheme="minorEastAsia" w:cstheme="minorEastAsia"/>
          <w:sz w:val="24"/>
          <w:szCs w:val="24"/>
        </w:rPr>
        <w:t>内到达</w:t>
      </w:r>
      <w:r>
        <w:rPr>
          <w:rFonts w:hint="eastAsia" w:asciiTheme="minorEastAsia" w:hAnsiTheme="minorEastAsia" w:cstheme="minorEastAsia"/>
          <w:sz w:val="24"/>
          <w:szCs w:val="24"/>
        </w:rPr>
        <w:t>现场。</w:t>
      </w:r>
    </w:p>
    <w:p>
      <w:pPr>
        <w:pStyle w:val="3"/>
        <w:rPr>
          <w:lang w:bidi="ar"/>
        </w:rPr>
      </w:pPr>
      <w:bookmarkStart w:id="8" w:name="_Toc100872713"/>
      <w:r>
        <w:rPr>
          <w:rFonts w:hint="eastAsia"/>
          <w:lang w:bidi="ar"/>
        </w:rPr>
        <w:t>五、合同签订及付款方式：</w:t>
      </w:r>
      <w:bookmarkEnd w:id="8"/>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（1）合同签订：根据招投标文件及双方协商后签订。</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（2）付款方式：合同总金额平均按四次支付，每个季度支付</w:t>
      </w:r>
      <w:r>
        <w:rPr>
          <w:rFonts w:asciiTheme="minorEastAsia" w:hAnsiTheme="minorEastAsia" w:cstheme="minorEastAsia"/>
          <w:sz w:val="24"/>
          <w:szCs w:val="24"/>
        </w:rPr>
        <w:t>一次</w:t>
      </w:r>
      <w:r>
        <w:rPr>
          <w:rFonts w:hint="eastAsia" w:asciiTheme="minorEastAsia" w:hAnsiTheme="minorEastAsia" w:cstheme="minorEastAsia"/>
          <w:sz w:val="24"/>
          <w:szCs w:val="24"/>
          <w:lang w:eastAsia="zh-CN"/>
        </w:rPr>
        <w:t>。</w:t>
      </w:r>
    </w:p>
    <w:p>
      <w:pPr>
        <w:pStyle w:val="3"/>
      </w:pPr>
      <w:bookmarkStart w:id="9" w:name="_Toc100872714"/>
      <w:r>
        <w:rPr>
          <w:rFonts w:hint="eastAsia"/>
        </w:rPr>
        <w:t>六、评分办法：</w:t>
      </w:r>
      <w:bookmarkEnd w:id="9"/>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次评标采用“综合评标法”。评审委员会对每个通过资格性检查和符合性检查且报价不超过预算控制金额的投标供应商按照招标文件中规定的各项因素进行评审、打分，然后汇总每项评分因素的评分得出各投标供应商的综合得分。</w:t>
      </w:r>
    </w:p>
    <w:p>
      <w:pPr>
        <w:spacing w:line="360" w:lineRule="auto"/>
        <w:ind w:firstLine="480" w:firstLineChars="200"/>
      </w:pPr>
      <w:r>
        <w:rPr>
          <w:rFonts w:hint="eastAsia" w:asciiTheme="minorEastAsia" w:hAnsiTheme="minorEastAsia" w:cstheme="minorEastAsia"/>
          <w:sz w:val="24"/>
          <w:szCs w:val="24"/>
        </w:rPr>
        <w:t>综合得分最高者为中标候选人。得分相同的，按技术指标和服务方案优劣顺序排列。</w:t>
      </w:r>
    </w:p>
    <w:tbl>
      <w:tblPr>
        <w:tblStyle w:val="7"/>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28"/>
        <w:gridCol w:w="1297"/>
        <w:gridCol w:w="6243"/>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2" w:hRule="atLeast"/>
          <w:jc w:val="center"/>
        </w:trPr>
        <w:tc>
          <w:tcPr>
            <w:tcW w:w="928" w:type="dxa"/>
            <w:shd w:val="clear" w:color="auto" w:fill="FFFFFF"/>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内容</w:t>
            </w:r>
          </w:p>
        </w:tc>
        <w:tc>
          <w:tcPr>
            <w:tcW w:w="1297" w:type="dxa"/>
            <w:shd w:val="clear" w:color="auto" w:fill="FFFFFF"/>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项目</w:t>
            </w:r>
          </w:p>
        </w:tc>
        <w:tc>
          <w:tcPr>
            <w:tcW w:w="6243" w:type="dxa"/>
            <w:shd w:val="clear" w:color="auto" w:fill="FFFFFF"/>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评分标准</w:t>
            </w:r>
          </w:p>
        </w:tc>
        <w:tc>
          <w:tcPr>
            <w:tcW w:w="579" w:type="dxa"/>
            <w:shd w:val="clear" w:color="auto" w:fill="FFFFFF"/>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8" w:hRule="atLeast"/>
          <w:jc w:val="center"/>
        </w:trPr>
        <w:tc>
          <w:tcPr>
            <w:tcW w:w="928" w:type="dxa"/>
            <w:shd w:val="clear" w:color="auto" w:fill="FFFFFF"/>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rPr>
              <w:t>价格得分（30分）</w:t>
            </w:r>
          </w:p>
        </w:tc>
        <w:tc>
          <w:tcPr>
            <w:tcW w:w="1297" w:type="dxa"/>
            <w:shd w:val="clear" w:color="auto" w:fill="FFFFFF"/>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szCs w:val="21"/>
              </w:rPr>
              <w:t>投标报价</w:t>
            </w:r>
          </w:p>
        </w:tc>
        <w:tc>
          <w:tcPr>
            <w:tcW w:w="6243" w:type="dxa"/>
            <w:shd w:val="clear" w:color="auto" w:fill="FFFFFF"/>
            <w:vAlign w:val="center"/>
          </w:tcPr>
          <w:p>
            <w:pPr>
              <w:widowControl/>
              <w:spacing w:line="360" w:lineRule="auto"/>
              <w:jc w:val="left"/>
              <w:textAlignment w:val="center"/>
              <w:rPr>
                <w:rFonts w:ascii="宋体" w:hAnsi="宋体" w:eastAsia="宋体" w:cs="宋体"/>
                <w:szCs w:val="21"/>
              </w:rPr>
            </w:pPr>
            <w:r>
              <w:rPr>
                <w:rFonts w:hint="eastAsia" w:ascii="宋体" w:hAnsi="宋体" w:eastAsia="宋体" w:cs="宋体"/>
                <w:szCs w:val="21"/>
              </w:rPr>
              <w:t>采用平均值法计算，即满足招标文件要求投标报价（含增值税总价）的平均值为评标基准价，其价格分为满分。其他投标人的价格分，统一按照下列公式计算：</w:t>
            </w:r>
          </w:p>
          <w:p>
            <w:pPr>
              <w:widowControl/>
              <w:spacing w:line="360" w:lineRule="auto"/>
              <w:jc w:val="left"/>
              <w:textAlignment w:val="center"/>
              <w:rPr>
                <w:rFonts w:ascii="宋体" w:hAnsi="宋体" w:eastAsia="宋体" w:cs="宋体"/>
                <w:szCs w:val="21"/>
              </w:rPr>
            </w:pPr>
            <w:r>
              <w:rPr>
                <w:rFonts w:hint="eastAsia" w:ascii="宋体" w:hAnsi="宋体" w:eastAsia="宋体" w:cs="宋体"/>
                <w:szCs w:val="21"/>
              </w:rPr>
              <w:t>投标报价得分=30-(|投标报价-评标基准价|/评标基准价)×30</w:t>
            </w:r>
          </w:p>
        </w:tc>
        <w:tc>
          <w:tcPr>
            <w:tcW w:w="579" w:type="dxa"/>
            <w:shd w:val="clear" w:color="auto" w:fill="FFFFFF"/>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8" w:hRule="atLeast"/>
          <w:jc w:val="center"/>
        </w:trPr>
        <w:tc>
          <w:tcPr>
            <w:tcW w:w="928" w:type="dxa"/>
            <w:vMerge w:val="restart"/>
            <w:shd w:val="clear" w:color="auto" w:fill="FFFFFF"/>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商务得分</w:t>
            </w:r>
          </w:p>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（30分）</w:t>
            </w:r>
          </w:p>
          <w:p>
            <w:pPr>
              <w:widowControl/>
              <w:spacing w:line="360" w:lineRule="auto"/>
              <w:jc w:val="center"/>
              <w:textAlignment w:val="center"/>
              <w:rPr>
                <w:rFonts w:ascii="宋体" w:hAnsi="宋体" w:eastAsia="宋体" w:cs="宋体"/>
                <w:color w:val="000000"/>
                <w:szCs w:val="21"/>
              </w:rPr>
            </w:pPr>
          </w:p>
        </w:tc>
        <w:tc>
          <w:tcPr>
            <w:tcW w:w="1297" w:type="dxa"/>
            <w:shd w:val="clear" w:color="auto" w:fill="FFFFFF"/>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管理水平体系认证情况</w:t>
            </w:r>
          </w:p>
        </w:tc>
        <w:tc>
          <w:tcPr>
            <w:tcW w:w="6243" w:type="dxa"/>
            <w:shd w:val="clear" w:color="auto" w:fill="FFFFFF"/>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投标人提供质量管理体系证书、职业健康安全管理体系证书、环境管理体系证书的，</w:t>
            </w:r>
            <w:r>
              <w:rPr>
                <w:rFonts w:ascii="宋体" w:hAnsi="宋体" w:eastAsia="宋体" w:cs="宋体"/>
                <w:color w:val="000000"/>
                <w:szCs w:val="21"/>
              </w:rPr>
              <w:t>得</w:t>
            </w:r>
            <w:r>
              <w:rPr>
                <w:rFonts w:hint="eastAsia" w:ascii="宋体" w:hAnsi="宋体" w:eastAsia="宋体" w:cs="宋体"/>
                <w:color w:val="000000"/>
                <w:szCs w:val="21"/>
              </w:rPr>
              <w:t>2分。(不满足</w:t>
            </w:r>
            <w:r>
              <w:rPr>
                <w:rFonts w:ascii="宋体" w:hAnsi="宋体" w:eastAsia="宋体" w:cs="宋体"/>
                <w:color w:val="000000"/>
                <w:szCs w:val="21"/>
              </w:rPr>
              <w:t>得</w:t>
            </w:r>
            <w:r>
              <w:rPr>
                <w:rFonts w:hint="eastAsia" w:ascii="宋体" w:hAnsi="宋体" w:eastAsia="宋体" w:cs="宋体"/>
                <w:color w:val="000000"/>
                <w:szCs w:val="21"/>
              </w:rPr>
              <w:t>0分)</w:t>
            </w:r>
          </w:p>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证明材料：提供以上证书复印件或扫描件并加盖投标人公章（原件备查）</w:t>
            </w:r>
          </w:p>
        </w:tc>
        <w:tc>
          <w:tcPr>
            <w:tcW w:w="579" w:type="dxa"/>
            <w:shd w:val="clear" w:color="auto" w:fill="FFFFFF"/>
            <w:vAlign w:val="center"/>
          </w:tcPr>
          <w:p>
            <w:pPr>
              <w:spacing w:line="360" w:lineRule="auto"/>
              <w:jc w:val="center"/>
              <w:rPr>
                <w:rFonts w:ascii="宋体" w:hAnsi="宋体" w:eastAsia="宋体" w:cs="宋体"/>
                <w:szCs w:val="21"/>
              </w:rPr>
            </w:pPr>
            <w:r>
              <w:rPr>
                <w:rFonts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9" w:hRule="atLeast"/>
          <w:jc w:val="center"/>
        </w:trPr>
        <w:tc>
          <w:tcPr>
            <w:tcW w:w="928" w:type="dxa"/>
            <w:vMerge w:val="continue"/>
            <w:shd w:val="clear" w:color="auto" w:fill="FFFFFF"/>
            <w:vAlign w:val="center"/>
          </w:tcPr>
          <w:p>
            <w:pPr>
              <w:widowControl/>
              <w:spacing w:line="360" w:lineRule="auto"/>
              <w:jc w:val="center"/>
              <w:textAlignment w:val="center"/>
              <w:rPr>
                <w:rFonts w:ascii="宋体" w:hAnsi="宋体" w:eastAsia="宋体" w:cs="宋体"/>
                <w:color w:val="000000"/>
                <w:szCs w:val="21"/>
              </w:rPr>
            </w:pPr>
          </w:p>
        </w:tc>
        <w:tc>
          <w:tcPr>
            <w:tcW w:w="1297" w:type="dxa"/>
            <w:shd w:val="clear" w:color="auto" w:fill="FFFFFF"/>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人员</w:t>
            </w:r>
            <w:r>
              <w:rPr>
                <w:rFonts w:ascii="宋体" w:hAnsi="宋体" w:eastAsia="宋体" w:cs="宋体"/>
                <w:color w:val="000000"/>
                <w:szCs w:val="21"/>
              </w:rPr>
              <w:t>配置</w:t>
            </w:r>
            <w:r>
              <w:rPr>
                <w:rFonts w:hint="eastAsia" w:ascii="宋体" w:hAnsi="宋体" w:eastAsia="宋体" w:cs="宋体"/>
                <w:color w:val="000000"/>
                <w:szCs w:val="21"/>
              </w:rPr>
              <w:t>情况</w:t>
            </w:r>
          </w:p>
        </w:tc>
        <w:tc>
          <w:tcPr>
            <w:tcW w:w="6243" w:type="dxa"/>
            <w:shd w:val="clear" w:color="auto" w:fill="FFFFFF"/>
            <w:vAlign w:val="center"/>
          </w:tcPr>
          <w:p>
            <w:pPr>
              <w:rPr>
                <w:rFonts w:ascii="Times New Roman" w:hAnsi="Times New Roman" w:eastAsia="宋体" w:cs="Times New Roman"/>
              </w:rPr>
            </w:pPr>
            <w:r>
              <w:rPr>
                <w:rFonts w:hint="eastAsia" w:ascii="Times New Roman" w:hAnsi="Times New Roman" w:eastAsia="宋体" w:cs="Times New Roman"/>
              </w:rPr>
              <w:t>投标</w:t>
            </w:r>
            <w:r>
              <w:rPr>
                <w:rFonts w:ascii="Times New Roman" w:hAnsi="Times New Roman" w:eastAsia="宋体" w:cs="Times New Roman"/>
              </w:rPr>
              <w:t>人提供不少于</w:t>
            </w:r>
            <w:r>
              <w:rPr>
                <w:rFonts w:hint="eastAsia" w:ascii="Times New Roman" w:hAnsi="Times New Roman" w:eastAsia="宋体" w:cs="Times New Roman"/>
              </w:rPr>
              <w:t>10人</w:t>
            </w:r>
            <w:r>
              <w:rPr>
                <w:rFonts w:ascii="Times New Roman" w:hAnsi="Times New Roman" w:eastAsia="宋体" w:cs="Times New Roman"/>
              </w:rPr>
              <w:t>的</w:t>
            </w:r>
            <w:r>
              <w:rPr>
                <w:rFonts w:hint="eastAsia" w:ascii="Times New Roman" w:hAnsi="Times New Roman" w:eastAsia="宋体" w:cs="Times New Roman"/>
              </w:rPr>
              <w:t>专业</w:t>
            </w:r>
            <w:r>
              <w:rPr>
                <w:rFonts w:ascii="Times New Roman" w:hAnsi="Times New Roman" w:eastAsia="宋体" w:cs="Times New Roman"/>
              </w:rPr>
              <w:t>人员</w:t>
            </w:r>
            <w:r>
              <w:rPr>
                <w:rFonts w:hint="eastAsia" w:ascii="Times New Roman" w:hAnsi="Times New Roman" w:eastAsia="宋体" w:cs="Times New Roman"/>
              </w:rPr>
              <w:t>证书和</w:t>
            </w:r>
            <w:r>
              <w:rPr>
                <w:rFonts w:ascii="Times New Roman" w:hAnsi="Times New Roman" w:eastAsia="宋体" w:cs="Times New Roman"/>
              </w:rPr>
              <w:t>社保信息</w:t>
            </w:r>
            <w:r>
              <w:rPr>
                <w:rFonts w:hint="eastAsia" w:ascii="Times New Roman" w:hAnsi="Times New Roman" w:eastAsia="宋体" w:cs="Times New Roman"/>
              </w:rPr>
              <w:t>的</w:t>
            </w:r>
            <w:r>
              <w:rPr>
                <w:rFonts w:ascii="Times New Roman" w:hAnsi="Times New Roman" w:eastAsia="宋体" w:cs="Times New Roman"/>
              </w:rPr>
              <w:t>，得</w:t>
            </w:r>
            <w:r>
              <w:rPr>
                <w:rFonts w:hint="eastAsia" w:ascii="Times New Roman" w:hAnsi="Times New Roman" w:eastAsia="宋体" w:cs="Times New Roman"/>
              </w:rPr>
              <w:t>5分</w:t>
            </w:r>
            <w:r>
              <w:rPr>
                <w:rFonts w:ascii="Times New Roman" w:hAnsi="Times New Roman" w:eastAsia="宋体" w:cs="Times New Roman"/>
              </w:rPr>
              <w:t>。</w:t>
            </w:r>
            <w:r>
              <w:rPr>
                <w:rFonts w:hint="eastAsia" w:ascii="宋体" w:hAnsi="宋体" w:eastAsia="宋体" w:cs="宋体"/>
                <w:color w:val="000000"/>
                <w:szCs w:val="21"/>
              </w:rPr>
              <w:t>(不满足</w:t>
            </w:r>
            <w:r>
              <w:rPr>
                <w:rFonts w:ascii="宋体" w:hAnsi="宋体" w:eastAsia="宋体" w:cs="宋体"/>
                <w:color w:val="000000"/>
                <w:szCs w:val="21"/>
              </w:rPr>
              <w:t>得</w:t>
            </w:r>
            <w:r>
              <w:rPr>
                <w:rFonts w:hint="eastAsia" w:ascii="宋体" w:hAnsi="宋体" w:eastAsia="宋体" w:cs="宋体"/>
                <w:color w:val="000000"/>
                <w:szCs w:val="21"/>
              </w:rPr>
              <w:t>0分)</w:t>
            </w:r>
          </w:p>
          <w:p>
            <w:pPr>
              <w:spacing w:after="120"/>
              <w:rPr>
                <w:rFonts w:ascii="Times New Roman" w:hAnsi="Times New Roman" w:eastAsia="宋体" w:cs="Times New Roman"/>
              </w:rPr>
            </w:pPr>
            <w:r>
              <w:rPr>
                <w:rFonts w:hint="eastAsia" w:ascii="宋体" w:hAnsi="宋体" w:eastAsia="宋体" w:cs="宋体"/>
                <w:color w:val="000000"/>
                <w:szCs w:val="21"/>
              </w:rPr>
              <w:t>证明材料：提供以上证书复印件或扫描件并加盖投标人公章（原件备查）</w:t>
            </w:r>
          </w:p>
        </w:tc>
        <w:tc>
          <w:tcPr>
            <w:tcW w:w="579" w:type="dxa"/>
            <w:shd w:val="clear" w:color="auto" w:fill="FFFFFF"/>
            <w:vAlign w:val="center"/>
          </w:tcPr>
          <w:p>
            <w:pPr>
              <w:widowControl/>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1" w:hRule="atLeast"/>
          <w:jc w:val="center"/>
        </w:trPr>
        <w:tc>
          <w:tcPr>
            <w:tcW w:w="928" w:type="dxa"/>
            <w:vMerge w:val="continue"/>
            <w:shd w:val="clear" w:color="auto" w:fill="FFFFFF"/>
            <w:vAlign w:val="center"/>
          </w:tcPr>
          <w:p>
            <w:pPr>
              <w:widowControl/>
              <w:spacing w:line="360" w:lineRule="auto"/>
              <w:jc w:val="center"/>
              <w:textAlignment w:val="center"/>
              <w:rPr>
                <w:rFonts w:ascii="宋体" w:hAnsi="宋体" w:eastAsia="宋体" w:cs="宋体"/>
                <w:color w:val="000000"/>
                <w:szCs w:val="21"/>
              </w:rPr>
            </w:pPr>
          </w:p>
        </w:tc>
        <w:tc>
          <w:tcPr>
            <w:tcW w:w="1297" w:type="dxa"/>
            <w:shd w:val="clear" w:color="auto" w:fill="FFFFFF"/>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资质能力情况</w:t>
            </w:r>
          </w:p>
        </w:tc>
        <w:tc>
          <w:tcPr>
            <w:tcW w:w="6243" w:type="dxa"/>
            <w:shd w:val="clear" w:color="auto" w:fill="FFFFFF"/>
            <w:vAlign w:val="center"/>
          </w:tcPr>
          <w:p>
            <w:pPr>
              <w:rPr>
                <w:rFonts w:ascii="Times New Roman" w:hAnsi="Times New Roman" w:eastAsia="宋体" w:cs="Times New Roman"/>
              </w:rPr>
            </w:pPr>
            <w:r>
              <w:rPr>
                <w:rFonts w:hint="eastAsia" w:asciiTheme="minorEastAsia" w:hAnsiTheme="minorEastAsia" w:cstheme="minorEastAsia"/>
                <w:sz w:val="24"/>
              </w:rPr>
              <w:t>《</w:t>
            </w:r>
            <w:r>
              <w:rPr>
                <w:rFonts w:hint="eastAsia" w:ascii="Times New Roman" w:hAnsi="Times New Roman" w:eastAsia="宋体" w:cs="Times New Roman"/>
              </w:rPr>
              <w:t>承装（修、试）电力设施许可证》五级得1分，四级及以上得3分</w:t>
            </w:r>
          </w:p>
          <w:p>
            <w:pPr>
              <w:widowControl/>
              <w:spacing w:line="360" w:lineRule="auto"/>
              <w:jc w:val="left"/>
              <w:textAlignment w:val="center"/>
              <w:rPr>
                <w:rFonts w:ascii="宋体" w:hAnsi="宋体" w:eastAsia="宋体" w:cs="宋体"/>
                <w:szCs w:val="21"/>
              </w:rPr>
            </w:pPr>
            <w:r>
              <w:rPr>
                <w:rFonts w:hint="eastAsia" w:ascii="Times New Roman" w:hAnsi="Times New Roman" w:eastAsia="宋体" w:cs="Times New Roman"/>
              </w:rPr>
              <w:t>证明材料：提供以上证书复印件或扫描件并加盖投标人公章（原件备查）</w:t>
            </w:r>
          </w:p>
        </w:tc>
        <w:tc>
          <w:tcPr>
            <w:tcW w:w="579" w:type="dxa"/>
            <w:shd w:val="clear" w:color="auto" w:fill="FFFFFF"/>
            <w:vAlign w:val="center"/>
          </w:tcPr>
          <w:p>
            <w:pPr>
              <w:widowControl/>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9" w:hRule="atLeast"/>
          <w:jc w:val="center"/>
        </w:trPr>
        <w:tc>
          <w:tcPr>
            <w:tcW w:w="928" w:type="dxa"/>
            <w:vMerge w:val="continue"/>
            <w:tcBorders>
              <w:bottom w:val="single" w:color="auto" w:sz="4" w:space="0"/>
            </w:tcBorders>
            <w:shd w:val="clear" w:color="auto" w:fill="FFFFFF"/>
            <w:vAlign w:val="center"/>
          </w:tcPr>
          <w:p>
            <w:pPr>
              <w:spacing w:line="360" w:lineRule="auto"/>
              <w:jc w:val="center"/>
              <w:rPr>
                <w:rFonts w:ascii="宋体" w:hAnsi="宋体" w:eastAsia="宋体" w:cs="宋体"/>
                <w:color w:val="000000"/>
                <w:szCs w:val="21"/>
              </w:rPr>
            </w:pPr>
          </w:p>
        </w:tc>
        <w:tc>
          <w:tcPr>
            <w:tcW w:w="1297" w:type="dxa"/>
            <w:tcBorders>
              <w:bottom w:val="single" w:color="auto" w:sz="4" w:space="0"/>
            </w:tcBorders>
            <w:shd w:val="clear" w:color="auto" w:fill="FFFFFF"/>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szCs w:val="21"/>
              </w:rPr>
              <w:t>近年同类</w:t>
            </w:r>
          </w:p>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szCs w:val="21"/>
              </w:rPr>
              <w:t>业绩</w:t>
            </w:r>
          </w:p>
        </w:tc>
        <w:tc>
          <w:tcPr>
            <w:tcW w:w="6243" w:type="dxa"/>
            <w:tcBorders>
              <w:bottom w:val="single" w:color="auto" w:sz="4" w:space="0"/>
            </w:tcBorders>
            <w:shd w:val="clear" w:color="auto" w:fill="FFFFFF"/>
            <w:vAlign w:val="center"/>
          </w:tcPr>
          <w:p>
            <w:pPr>
              <w:widowControl/>
              <w:spacing w:line="360" w:lineRule="auto"/>
              <w:jc w:val="left"/>
              <w:textAlignment w:val="center"/>
              <w:rPr>
                <w:rFonts w:ascii="Times New Roman" w:hAnsi="Times New Roman" w:eastAsia="宋体" w:cs="Times New Roman"/>
              </w:rPr>
            </w:pPr>
            <w:r>
              <w:rPr>
                <w:rFonts w:hint="eastAsia" w:ascii="Times New Roman" w:hAnsi="Times New Roman" w:eastAsia="宋体" w:cs="Times New Roman"/>
              </w:rPr>
              <w:t>投标人提供与本次招标同类维保项目业绩进行评分，（维保项目金额50万元以下不得分，50万元以上每个得2分）最高得20分。</w:t>
            </w:r>
          </w:p>
          <w:p>
            <w:pPr>
              <w:spacing w:line="360" w:lineRule="auto"/>
              <w:textAlignment w:val="center"/>
              <w:rPr>
                <w:rFonts w:ascii="宋体" w:hAnsi="宋体" w:eastAsia="宋体" w:cs="宋体"/>
                <w:color w:val="000000"/>
                <w:szCs w:val="21"/>
              </w:rPr>
            </w:pPr>
            <w:r>
              <w:rPr>
                <w:rFonts w:hint="eastAsia" w:ascii="Times New Roman" w:hAnsi="Times New Roman" w:eastAsia="宋体" w:cs="Times New Roman"/>
              </w:rPr>
              <w:t>证明材料：</w:t>
            </w:r>
            <w:r>
              <w:rPr>
                <w:rFonts w:hint="eastAsia" w:ascii="宋体" w:hAnsi="宋体" w:eastAsia="宋体" w:cs="宋体"/>
                <w:bCs/>
                <w:szCs w:val="21"/>
              </w:rPr>
              <w:t>提供合同、发票</w:t>
            </w:r>
            <w:r>
              <w:rPr>
                <w:rFonts w:hint="eastAsia" w:ascii="宋体" w:hAnsi="宋体" w:eastAsia="宋体" w:cs="宋体"/>
                <w:color w:val="000000"/>
                <w:szCs w:val="21"/>
              </w:rPr>
              <w:t>扫描件并加盖投标人公章（原件备查）</w:t>
            </w:r>
          </w:p>
        </w:tc>
        <w:tc>
          <w:tcPr>
            <w:tcW w:w="579" w:type="dxa"/>
            <w:tcBorders>
              <w:bottom w:val="single" w:color="auto" w:sz="4" w:space="0"/>
            </w:tcBorders>
            <w:shd w:val="clear" w:color="auto" w:fill="FFFFFF"/>
            <w:vAlign w:val="center"/>
          </w:tcPr>
          <w:p>
            <w:pPr>
              <w:spacing w:line="360" w:lineRule="auto"/>
              <w:ind w:firstLine="105" w:firstLineChars="50"/>
              <w:rPr>
                <w:rFonts w:ascii="宋体" w:hAnsi="宋体" w:eastAsia="宋体" w:cs="宋体"/>
                <w:color w:val="000000"/>
                <w:szCs w:val="21"/>
              </w:rPr>
            </w:pPr>
            <w:r>
              <w:rPr>
                <w:rFonts w:hint="eastAsia" w:ascii="宋体" w:hAnsi="宋体" w:eastAsia="宋体" w:cs="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4" w:hRule="atLeast"/>
          <w:jc w:val="center"/>
        </w:trPr>
        <w:tc>
          <w:tcPr>
            <w:tcW w:w="928" w:type="dxa"/>
            <w:vMerge w:val="restart"/>
            <w:shd w:val="clear" w:color="auto" w:fill="FFFFFF"/>
            <w:vAlign w:val="center"/>
          </w:tcPr>
          <w:p>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技术得分</w:t>
            </w:r>
          </w:p>
          <w:p>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（40分）</w:t>
            </w:r>
          </w:p>
          <w:p>
            <w:pPr>
              <w:spacing w:line="360" w:lineRule="auto"/>
              <w:jc w:val="center"/>
              <w:rPr>
                <w:rFonts w:ascii="宋体" w:hAnsi="宋体" w:eastAsia="宋体" w:cs="宋体"/>
                <w:szCs w:val="21"/>
              </w:rPr>
            </w:pPr>
          </w:p>
        </w:tc>
        <w:tc>
          <w:tcPr>
            <w:tcW w:w="1297" w:type="dxa"/>
            <w:shd w:val="clear" w:color="auto" w:fill="FFFFFF"/>
            <w:vAlign w:val="center"/>
          </w:tcPr>
          <w:p>
            <w:pPr>
              <w:widowControl/>
              <w:spacing w:line="360" w:lineRule="auto"/>
              <w:jc w:val="center"/>
              <w:textAlignment w:val="center"/>
              <w:rPr>
                <w:rFonts w:ascii="宋体" w:hAnsi="宋体" w:eastAsia="宋体" w:cs="宋体"/>
              </w:rPr>
            </w:pPr>
            <w:r>
              <w:rPr>
                <w:rFonts w:hint="eastAsia" w:ascii="宋体" w:hAnsi="宋体" w:eastAsia="宋体" w:cs="宋体"/>
              </w:rPr>
              <w:t>专项施工能力</w:t>
            </w:r>
          </w:p>
        </w:tc>
        <w:tc>
          <w:tcPr>
            <w:tcW w:w="6243" w:type="dxa"/>
            <w:shd w:val="clear" w:color="auto" w:fill="FFFFFF"/>
            <w:vAlign w:val="center"/>
          </w:tcPr>
          <w:p>
            <w:pPr>
              <w:widowControl/>
              <w:spacing w:line="360" w:lineRule="auto"/>
              <w:jc w:val="left"/>
              <w:textAlignment w:val="center"/>
              <w:rPr>
                <w:rFonts w:ascii="Times New Roman" w:hAnsi="Times New Roman" w:eastAsia="宋体" w:cs="Times New Roman"/>
              </w:rPr>
            </w:pPr>
            <w:r>
              <w:rPr>
                <w:rFonts w:hint="eastAsia" w:ascii="Times New Roman" w:hAnsi="Times New Roman" w:eastAsia="宋体" w:cs="Times New Roman"/>
              </w:rPr>
              <w:t>投标人提供</w:t>
            </w:r>
            <w:r>
              <w:rPr>
                <w:rFonts w:ascii="Times New Roman" w:hAnsi="Times New Roman" w:eastAsia="宋体" w:cs="Times New Roman"/>
              </w:rPr>
              <w:t>检测</w:t>
            </w:r>
            <w:r>
              <w:rPr>
                <w:rFonts w:hint="eastAsia" w:ascii="Times New Roman" w:hAnsi="Times New Roman" w:eastAsia="宋体" w:cs="Times New Roman"/>
              </w:rPr>
              <w:t>设备仪器</w:t>
            </w:r>
            <w:r>
              <w:rPr>
                <w:rFonts w:ascii="Times New Roman" w:hAnsi="Times New Roman" w:eastAsia="宋体" w:cs="Times New Roman"/>
              </w:rPr>
              <w:t>的</w:t>
            </w:r>
            <w:r>
              <w:rPr>
                <w:rFonts w:hint="eastAsia" w:ascii="Times New Roman" w:hAnsi="Times New Roman" w:eastAsia="宋体" w:cs="Times New Roman"/>
              </w:rPr>
              <w:t>采购发票及仪器年度检验报告的得</w:t>
            </w:r>
            <w:r>
              <w:rPr>
                <w:rFonts w:ascii="Times New Roman" w:hAnsi="Times New Roman" w:eastAsia="宋体" w:cs="Times New Roman"/>
              </w:rPr>
              <w:t>3</w:t>
            </w:r>
            <w:r>
              <w:rPr>
                <w:rFonts w:hint="eastAsia" w:ascii="Times New Roman" w:hAnsi="Times New Roman" w:eastAsia="宋体" w:cs="Times New Roman"/>
              </w:rPr>
              <w:t>分；</w:t>
            </w:r>
          </w:p>
          <w:p>
            <w:pPr>
              <w:widowControl/>
              <w:spacing w:line="360" w:lineRule="auto"/>
              <w:jc w:val="left"/>
              <w:textAlignment w:val="center"/>
              <w:rPr>
                <w:rFonts w:ascii="Times New Roman" w:hAnsi="Times New Roman" w:eastAsia="宋体" w:cs="Times New Roman"/>
              </w:rPr>
            </w:pPr>
            <w:r>
              <w:rPr>
                <w:rFonts w:hint="eastAsia" w:ascii="Times New Roman" w:hAnsi="Times New Roman" w:eastAsia="宋体" w:cs="Times New Roman"/>
              </w:rPr>
              <w:t>投标人</w:t>
            </w:r>
            <w:r>
              <w:rPr>
                <w:rFonts w:ascii="Times New Roman" w:hAnsi="Times New Roman" w:eastAsia="宋体" w:cs="Times New Roman"/>
              </w:rPr>
              <w:t>提供</w:t>
            </w:r>
            <w:r>
              <w:rPr>
                <w:rFonts w:hint="eastAsia" w:ascii="Times New Roman" w:hAnsi="Times New Roman" w:eastAsia="宋体" w:cs="Times New Roman"/>
              </w:rPr>
              <w:t>有2019-2021年3年内ABB《服务型经销商》证书的，得3分；</w:t>
            </w:r>
          </w:p>
          <w:p>
            <w:pPr>
              <w:widowControl/>
              <w:spacing w:line="360" w:lineRule="auto"/>
              <w:jc w:val="left"/>
              <w:textAlignment w:val="center"/>
              <w:rPr>
                <w:rFonts w:ascii="Times New Roman" w:hAnsi="Times New Roman" w:eastAsia="宋体" w:cs="Times New Roman"/>
              </w:rPr>
            </w:pPr>
            <w:r>
              <w:rPr>
                <w:rFonts w:hint="eastAsia" w:ascii="Times New Roman" w:hAnsi="Times New Roman" w:eastAsia="宋体" w:cs="Times New Roman"/>
              </w:rPr>
              <w:t>投标人提供低压柜厂家ABB Level</w:t>
            </w:r>
            <w:r>
              <w:rPr>
                <w:rFonts w:ascii="Times New Roman" w:hAnsi="Times New Roman" w:eastAsia="宋体" w:cs="Times New Roman"/>
              </w:rPr>
              <w:t xml:space="preserve"> </w:t>
            </w:r>
            <w:r>
              <w:rPr>
                <w:rFonts w:hint="eastAsia" w:ascii="Times New Roman" w:hAnsi="Times New Roman" w:eastAsia="宋体" w:cs="Times New Roman"/>
              </w:rPr>
              <w:t>2等级认证（2020年-2021年）的</w:t>
            </w:r>
            <w:r>
              <w:rPr>
                <w:rFonts w:ascii="Times New Roman" w:hAnsi="Times New Roman" w:eastAsia="宋体" w:cs="Times New Roman"/>
              </w:rPr>
              <w:t>每</w:t>
            </w:r>
            <w:r>
              <w:rPr>
                <w:rFonts w:hint="eastAsia" w:ascii="Times New Roman" w:hAnsi="Times New Roman" w:eastAsia="宋体" w:cs="Times New Roman"/>
              </w:rPr>
              <w:t>1</w:t>
            </w:r>
            <w:r>
              <w:rPr>
                <w:rFonts w:ascii="Times New Roman" w:hAnsi="Times New Roman" w:eastAsia="宋体" w:cs="Times New Roman"/>
              </w:rPr>
              <w:t>人</w:t>
            </w:r>
            <w:r>
              <w:rPr>
                <w:rFonts w:hint="eastAsia" w:ascii="Times New Roman" w:hAnsi="Times New Roman" w:eastAsia="宋体" w:cs="Times New Roman"/>
              </w:rPr>
              <w:t>得1分，最高得</w:t>
            </w:r>
            <w:r>
              <w:rPr>
                <w:rFonts w:ascii="Times New Roman" w:hAnsi="Times New Roman" w:eastAsia="宋体" w:cs="Times New Roman"/>
              </w:rPr>
              <w:t>4</w:t>
            </w:r>
            <w:r>
              <w:rPr>
                <w:rFonts w:hint="eastAsia" w:ascii="Times New Roman" w:hAnsi="Times New Roman" w:eastAsia="宋体" w:cs="Times New Roman"/>
              </w:rPr>
              <w:t>分。</w:t>
            </w:r>
          </w:p>
          <w:p>
            <w:pPr>
              <w:widowControl/>
              <w:spacing w:line="360" w:lineRule="auto"/>
              <w:jc w:val="left"/>
              <w:textAlignment w:val="center"/>
              <w:rPr>
                <w:rFonts w:ascii="Times New Roman" w:hAnsi="Times New Roman" w:eastAsia="宋体" w:cs="Times New Roman"/>
              </w:rPr>
            </w:pPr>
            <w:r>
              <w:rPr>
                <w:rFonts w:hint="eastAsia" w:ascii="宋体" w:hAnsi="宋体" w:eastAsia="宋体" w:cs="宋体"/>
                <w:color w:val="000000"/>
                <w:szCs w:val="21"/>
              </w:rPr>
              <w:t>证明材料：提供以上证书复印件或扫描件并加盖投标人公章（原件备查）</w:t>
            </w:r>
          </w:p>
        </w:tc>
        <w:tc>
          <w:tcPr>
            <w:tcW w:w="579" w:type="dxa"/>
            <w:shd w:val="clear" w:color="auto" w:fill="FFFFFF"/>
            <w:vAlign w:val="center"/>
          </w:tcPr>
          <w:p>
            <w:pPr>
              <w:widowControl/>
              <w:spacing w:line="360" w:lineRule="auto"/>
              <w:ind w:firstLine="105" w:firstLineChars="50"/>
              <w:jc w:val="left"/>
              <w:textAlignment w:val="center"/>
              <w:rPr>
                <w:rFonts w:ascii="Times New Roman" w:hAnsi="Times New Roman" w:eastAsia="宋体" w:cs="Times New Roman"/>
              </w:rPr>
            </w:pPr>
            <w:r>
              <w:rPr>
                <w:rFonts w:ascii="Times New Roman" w:hAnsi="Times New Roman"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6" w:hRule="atLeast"/>
          <w:jc w:val="center"/>
        </w:trPr>
        <w:tc>
          <w:tcPr>
            <w:tcW w:w="928" w:type="dxa"/>
            <w:vMerge w:val="continue"/>
            <w:shd w:val="clear" w:color="auto" w:fill="FFFFFF"/>
            <w:vAlign w:val="center"/>
          </w:tcPr>
          <w:p>
            <w:pPr>
              <w:spacing w:line="360" w:lineRule="auto"/>
              <w:jc w:val="center"/>
              <w:rPr>
                <w:rFonts w:ascii="宋体" w:hAnsi="宋体" w:eastAsia="宋体" w:cs="宋体"/>
                <w:szCs w:val="21"/>
              </w:rPr>
            </w:pPr>
          </w:p>
        </w:tc>
        <w:tc>
          <w:tcPr>
            <w:tcW w:w="1297" w:type="dxa"/>
            <w:shd w:val="clear" w:color="auto" w:fill="FFFFFF"/>
            <w:vAlign w:val="center"/>
          </w:tcPr>
          <w:p>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施工方案</w:t>
            </w:r>
          </w:p>
        </w:tc>
        <w:tc>
          <w:tcPr>
            <w:tcW w:w="6243" w:type="dxa"/>
            <w:shd w:val="clear" w:color="auto" w:fill="FFFFFF"/>
            <w:vAlign w:val="center"/>
          </w:tcPr>
          <w:p>
            <w:pPr>
              <w:autoSpaceDE w:val="0"/>
              <w:autoSpaceDN w:val="0"/>
              <w:adjustRightInd w:val="0"/>
              <w:spacing w:line="360" w:lineRule="auto"/>
              <w:jc w:val="left"/>
              <w:rPr>
                <w:rFonts w:ascii="宋体" w:hAnsi="宋体" w:eastAsia="宋体" w:cs="宋体"/>
              </w:rPr>
            </w:pPr>
            <w:r>
              <w:rPr>
                <w:rFonts w:hint="eastAsia" w:ascii="宋体" w:hAnsi="宋体" w:eastAsia="宋体" w:cs="宋体"/>
              </w:rPr>
              <w:t>评估投标人具体施工组织方案是否详实、可行，对其项目管理机构人员配置、项目的施工方案合理性、全面性、进行横向对比打分。满分</w:t>
            </w:r>
            <w:r>
              <w:rPr>
                <w:rFonts w:ascii="宋体" w:hAnsi="宋体" w:eastAsia="宋体" w:cs="宋体"/>
              </w:rPr>
              <w:t>2</w:t>
            </w:r>
            <w:r>
              <w:rPr>
                <w:rFonts w:hint="eastAsia" w:ascii="宋体" w:hAnsi="宋体" w:eastAsia="宋体" w:cs="宋体"/>
              </w:rPr>
              <w:t>0分。</w:t>
            </w:r>
          </w:p>
          <w:p>
            <w:pPr>
              <w:rPr>
                <w:rFonts w:ascii="宋体" w:hAnsi="宋体" w:eastAsia="宋体" w:cs="宋体"/>
                <w:kern w:val="0"/>
                <w:sz w:val="20"/>
              </w:rPr>
            </w:pPr>
            <w:r>
              <w:rPr>
                <w:rFonts w:hint="eastAsia" w:ascii="宋体" w:hAnsi="宋体" w:eastAsia="宋体" w:cs="宋体"/>
                <w:kern w:val="0"/>
                <w:szCs w:val="21"/>
              </w:rPr>
              <w:t>（优秀得</w:t>
            </w:r>
            <w:r>
              <w:rPr>
                <w:rFonts w:ascii="宋体" w:hAnsi="宋体" w:eastAsia="宋体" w:cs="宋体"/>
                <w:kern w:val="0"/>
                <w:szCs w:val="21"/>
              </w:rPr>
              <w:t>20</w:t>
            </w:r>
            <w:r>
              <w:rPr>
                <w:rFonts w:hint="eastAsia" w:ascii="宋体" w:hAnsi="宋体" w:eastAsia="宋体" w:cs="宋体"/>
                <w:kern w:val="0"/>
                <w:szCs w:val="21"/>
              </w:rPr>
              <w:t>分、良好得</w:t>
            </w:r>
            <w:r>
              <w:rPr>
                <w:rFonts w:ascii="宋体" w:hAnsi="宋体" w:eastAsia="宋体" w:cs="宋体"/>
                <w:kern w:val="0"/>
                <w:szCs w:val="21"/>
              </w:rPr>
              <w:t>10-19</w:t>
            </w:r>
            <w:r>
              <w:rPr>
                <w:rFonts w:hint="eastAsia" w:ascii="宋体" w:hAnsi="宋体" w:eastAsia="宋体" w:cs="宋体"/>
                <w:kern w:val="0"/>
                <w:szCs w:val="21"/>
              </w:rPr>
              <w:t>分、一般得1-</w:t>
            </w:r>
            <w:r>
              <w:rPr>
                <w:rFonts w:ascii="宋体" w:hAnsi="宋体" w:eastAsia="宋体" w:cs="宋体"/>
                <w:kern w:val="0"/>
                <w:szCs w:val="21"/>
              </w:rPr>
              <w:t>9</w:t>
            </w:r>
            <w:r>
              <w:rPr>
                <w:rFonts w:hint="eastAsia" w:ascii="宋体" w:hAnsi="宋体" w:eastAsia="宋体" w:cs="宋体"/>
                <w:kern w:val="0"/>
                <w:szCs w:val="21"/>
              </w:rPr>
              <w:t>分、差不得分）</w:t>
            </w:r>
          </w:p>
        </w:tc>
        <w:tc>
          <w:tcPr>
            <w:tcW w:w="579" w:type="dxa"/>
            <w:shd w:val="clear" w:color="auto" w:fill="FFFFFF"/>
            <w:vAlign w:val="center"/>
          </w:tcPr>
          <w:p>
            <w:pPr>
              <w:spacing w:line="360" w:lineRule="auto"/>
              <w:jc w:val="center"/>
              <w:rPr>
                <w:rFonts w:ascii="宋体" w:hAnsi="宋体" w:eastAsia="宋体" w:cs="宋体"/>
                <w:color w:val="000000"/>
                <w:szCs w:val="21"/>
              </w:rPr>
            </w:pPr>
            <w:r>
              <w:rPr>
                <w:rFonts w:ascii="宋体" w:hAnsi="宋体" w:eastAsia="宋体" w:cs="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0" w:hRule="atLeast"/>
          <w:jc w:val="center"/>
        </w:trPr>
        <w:tc>
          <w:tcPr>
            <w:tcW w:w="928" w:type="dxa"/>
            <w:vMerge w:val="continue"/>
            <w:shd w:val="clear" w:color="auto" w:fill="FFFFFF"/>
            <w:vAlign w:val="center"/>
          </w:tcPr>
          <w:p>
            <w:pPr>
              <w:spacing w:line="360" w:lineRule="auto"/>
              <w:jc w:val="center"/>
              <w:rPr>
                <w:rFonts w:ascii="宋体" w:hAnsi="宋体" w:eastAsia="宋体" w:cs="宋体"/>
                <w:szCs w:val="21"/>
              </w:rPr>
            </w:pPr>
          </w:p>
        </w:tc>
        <w:tc>
          <w:tcPr>
            <w:tcW w:w="1297" w:type="dxa"/>
            <w:shd w:val="clear" w:color="auto" w:fill="FFFFFF"/>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bCs/>
                <w:szCs w:val="21"/>
              </w:rPr>
              <w:t>售后服务</w:t>
            </w:r>
          </w:p>
        </w:tc>
        <w:tc>
          <w:tcPr>
            <w:tcW w:w="6243" w:type="dxa"/>
            <w:shd w:val="clear" w:color="auto" w:fill="FFFFFF"/>
            <w:vAlign w:val="center"/>
          </w:tcPr>
          <w:p>
            <w:pPr>
              <w:widowControl/>
              <w:spacing w:line="360" w:lineRule="auto"/>
              <w:jc w:val="left"/>
              <w:textAlignment w:val="center"/>
              <w:rPr>
                <w:rFonts w:ascii="宋体" w:hAnsi="宋体" w:eastAsia="宋体" w:cs="宋体"/>
              </w:rPr>
            </w:pPr>
            <w:r>
              <w:rPr>
                <w:rFonts w:hint="eastAsia" w:ascii="宋体" w:hAnsi="宋体" w:eastAsia="宋体" w:cs="宋体"/>
              </w:rPr>
              <w:t>根据投标人的提供的技术服务方案、售后服务承诺、免费保修期内和保修期外的售后服务措施、售后服务团队构成、服务方式和内容、服务响应时间进行横向对比打分。满分</w:t>
            </w:r>
            <w:r>
              <w:rPr>
                <w:rFonts w:ascii="宋体" w:hAnsi="宋体" w:eastAsia="宋体" w:cs="宋体"/>
              </w:rPr>
              <w:t>10</w:t>
            </w:r>
            <w:r>
              <w:rPr>
                <w:rFonts w:hint="eastAsia" w:ascii="宋体" w:hAnsi="宋体" w:eastAsia="宋体" w:cs="宋体"/>
              </w:rPr>
              <w:t>分。</w:t>
            </w:r>
          </w:p>
          <w:p>
            <w:pPr>
              <w:rPr>
                <w:rFonts w:ascii="宋体" w:hAnsi="宋体" w:eastAsia="宋体" w:cs="宋体"/>
                <w:kern w:val="0"/>
                <w:sz w:val="20"/>
              </w:rPr>
            </w:pPr>
            <w:r>
              <w:rPr>
                <w:rFonts w:hint="eastAsia" w:ascii="宋体" w:hAnsi="宋体" w:eastAsia="宋体" w:cs="宋体"/>
                <w:kern w:val="0"/>
                <w:szCs w:val="21"/>
              </w:rPr>
              <w:t>（优秀得10分、良好得</w:t>
            </w:r>
            <w:r>
              <w:rPr>
                <w:rFonts w:ascii="宋体" w:hAnsi="宋体" w:eastAsia="宋体" w:cs="宋体"/>
                <w:kern w:val="0"/>
                <w:szCs w:val="21"/>
              </w:rPr>
              <w:t>6-9</w:t>
            </w:r>
            <w:r>
              <w:rPr>
                <w:rFonts w:hint="eastAsia" w:ascii="宋体" w:hAnsi="宋体" w:eastAsia="宋体" w:cs="宋体"/>
                <w:kern w:val="0"/>
                <w:szCs w:val="21"/>
              </w:rPr>
              <w:t>分、一般得</w:t>
            </w:r>
            <w:r>
              <w:rPr>
                <w:rFonts w:ascii="宋体" w:hAnsi="宋体" w:eastAsia="宋体" w:cs="宋体"/>
                <w:kern w:val="0"/>
                <w:szCs w:val="21"/>
              </w:rPr>
              <w:t>1-5</w:t>
            </w:r>
            <w:r>
              <w:rPr>
                <w:rFonts w:hint="eastAsia" w:ascii="宋体" w:hAnsi="宋体" w:eastAsia="宋体" w:cs="宋体"/>
                <w:kern w:val="0"/>
                <w:szCs w:val="21"/>
              </w:rPr>
              <w:t>分、差不得分）</w:t>
            </w:r>
          </w:p>
        </w:tc>
        <w:tc>
          <w:tcPr>
            <w:tcW w:w="579" w:type="dxa"/>
            <w:shd w:val="clear" w:color="auto" w:fill="FFFFFF"/>
            <w:vAlign w:val="center"/>
          </w:tcPr>
          <w:p>
            <w:pPr>
              <w:spacing w:line="360" w:lineRule="auto"/>
              <w:jc w:val="center"/>
              <w:rPr>
                <w:rFonts w:ascii="宋体" w:hAnsi="宋体" w:eastAsia="宋体" w:cs="宋体"/>
                <w:color w:val="000000"/>
                <w:szCs w:val="21"/>
              </w:rPr>
            </w:pPr>
            <w:r>
              <w:rPr>
                <w:rFonts w:ascii="宋体" w:hAnsi="宋体" w:eastAsia="宋体" w:cs="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8" w:hRule="atLeast"/>
          <w:jc w:val="center"/>
        </w:trPr>
        <w:tc>
          <w:tcPr>
            <w:tcW w:w="928" w:type="dxa"/>
            <w:shd w:val="clear" w:color="auto" w:fill="FFFFFF"/>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合  计</w:t>
            </w:r>
          </w:p>
        </w:tc>
        <w:tc>
          <w:tcPr>
            <w:tcW w:w="8119" w:type="dxa"/>
            <w:gridSpan w:val="3"/>
            <w:shd w:val="clear" w:color="auto" w:fill="FFFFFF"/>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100</w:t>
            </w:r>
          </w:p>
        </w:tc>
      </w:tr>
    </w:tbl>
    <w:p>
      <w:pPr>
        <w:spacing w:line="360" w:lineRule="auto"/>
      </w:pP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注：</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1.本表评审依据要求的各项证明文件须编入投标文件，复印件加盖公章。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2.表中要求提供相关计分证明文件的内容，投标文件中须明确加以说明并提供，未按要求提供相关文件或说明不清楚的按不符合要求处理。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3.每一项的得分均不能超过该项最高分值。</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lMjExMzYyN2FlMDkxZDZiMjE5YTY1N2Q0MDZjNmEifQ=="/>
  </w:docVars>
  <w:rsids>
    <w:rsidRoot w:val="00220C55"/>
    <w:rsid w:val="00220C55"/>
    <w:rsid w:val="00261883"/>
    <w:rsid w:val="003B5153"/>
    <w:rsid w:val="003D3FE9"/>
    <w:rsid w:val="00403EC7"/>
    <w:rsid w:val="004508F1"/>
    <w:rsid w:val="005C516A"/>
    <w:rsid w:val="005D72CC"/>
    <w:rsid w:val="00606D34"/>
    <w:rsid w:val="006E00A5"/>
    <w:rsid w:val="00834BA0"/>
    <w:rsid w:val="008432C5"/>
    <w:rsid w:val="00895ACF"/>
    <w:rsid w:val="009220B6"/>
    <w:rsid w:val="00A02B21"/>
    <w:rsid w:val="00AC2738"/>
    <w:rsid w:val="00BE6D5C"/>
    <w:rsid w:val="00BF49ED"/>
    <w:rsid w:val="00E1403F"/>
    <w:rsid w:val="00E35962"/>
    <w:rsid w:val="00E91519"/>
    <w:rsid w:val="00EB1A49"/>
    <w:rsid w:val="00EC6D12"/>
    <w:rsid w:val="00EE26F2"/>
    <w:rsid w:val="00EF5AB6"/>
    <w:rsid w:val="35DA0EE8"/>
    <w:rsid w:val="7BA60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p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2 字符"/>
    <w:basedOn w:val="8"/>
    <w:link w:val="3"/>
    <w:qFormat/>
    <w:uiPriority w:val="9"/>
    <w:rPr>
      <w:rFonts w:asciiTheme="majorHAnsi" w:hAnsiTheme="majorHAnsi" w:eastAsiaTheme="majorEastAsia" w:cstheme="majorBidi"/>
      <w:b/>
      <w:bCs/>
      <w:sz w:val="32"/>
      <w:szCs w:val="32"/>
    </w:rPr>
  </w:style>
  <w:style w:type="paragraph" w:styleId="13">
    <w:name w:val="List Paragraph"/>
    <w:basedOn w:val="1"/>
    <w:qFormat/>
    <w:uiPriority w:val="34"/>
    <w:pPr>
      <w:ind w:firstLine="420" w:firstLineChars="200"/>
    </w:pPr>
  </w:style>
  <w:style w:type="character" w:customStyle="1" w:styleId="14">
    <w:name w:val="标题 1 字符"/>
    <w:basedOn w:val="8"/>
    <w:link w:val="2"/>
    <w:qFormat/>
    <w:uiPriority w:val="9"/>
    <w:rPr>
      <w:b/>
      <w:bCs/>
      <w:kern w:val="44"/>
      <w:sz w:val="44"/>
      <w:szCs w:val="44"/>
    </w:rPr>
  </w:style>
  <w:style w:type="paragraph" w:customStyle="1" w:styleId="1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C2DFDB-97F0-474E-ADD8-5DBE4386F321}">
  <ds:schemaRefs/>
</ds:datastoreItem>
</file>

<file path=docProps/app.xml><?xml version="1.0" encoding="utf-8"?>
<Properties xmlns="http://schemas.openxmlformats.org/officeDocument/2006/extended-properties" xmlns:vt="http://schemas.openxmlformats.org/officeDocument/2006/docPropsVTypes">
  <Template>Normal</Template>
  <Pages>11</Pages>
  <Words>4298</Words>
  <Characters>4422</Characters>
  <Lines>37</Lines>
  <Paragraphs>10</Paragraphs>
  <TotalTime>6</TotalTime>
  <ScaleCrop>false</ScaleCrop>
  <LinksUpToDate>false</LinksUpToDate>
  <CharactersWithSpaces>4473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2022-05-19T08:06:00Z</dcterms:created>
  <dc:creator>cai</dc:creator>
  <cp:lastModifiedBy>~玉</cp:lastModifiedBy>
  <dcterms:modified xsi:type="dcterms:W3CDTF">2022-05-25T02:02:40Z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E07A15B5732A42EEBB11E228B72020AE</vt:lpwstr>
  </property>
</Properties>
</file>