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2022年深圳市3A级以上景区视频监控系统升级项目招标文件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sz w:val="28"/>
          <w:szCs w:val="28"/>
        </w:rPr>
        <w:t>项目简介</w:t>
      </w:r>
    </w:p>
    <w:p>
      <w:pPr>
        <w:pStyle w:val="13"/>
        <w:tabs>
          <w:tab w:val="left" w:pos="7740"/>
        </w:tabs>
        <w:spacing w:line="20" w:lineRule="atLeast"/>
        <w:ind w:firstLine="560"/>
        <w:rPr>
          <w:rFonts w:ascii="仿宋" w:hAnsi="仿宋" w:eastAsia="仿宋" w:cs="仿宋"/>
          <w:sz w:val="28"/>
          <w:szCs w:val="28"/>
        </w:rPr>
      </w:pPr>
      <w:r>
        <w:rPr>
          <w:rFonts w:hint="eastAsia" w:ascii="仿宋" w:hAnsi="仿宋" w:eastAsia="仿宋" w:cs="仿宋"/>
          <w:sz w:val="28"/>
          <w:szCs w:val="28"/>
        </w:rPr>
        <w:t>“深圳市3A级以上景区视频监控系统”实现我市重点旅游景区视频数据与市政府管理服务指挥中心互联共享，改变以往现场检查、现场指挥调度的低效管理模式，在过去两年的国庆、春节黄金周及日常安全生产监管中发挥了积极作用，有效提升旅游突发事件预警和应急处置效率，确保了我市旅游景区安全平稳有序开放。</w:t>
      </w:r>
    </w:p>
    <w:p>
      <w:pPr>
        <w:pStyle w:val="13"/>
        <w:tabs>
          <w:tab w:val="left" w:pos="7740"/>
        </w:tabs>
        <w:spacing w:line="20" w:lineRule="atLeast"/>
        <w:ind w:firstLine="560"/>
        <w:rPr>
          <w:rFonts w:ascii="仿宋" w:hAnsi="仿宋" w:eastAsia="仿宋" w:cs="仿宋"/>
          <w:sz w:val="28"/>
          <w:szCs w:val="28"/>
        </w:rPr>
      </w:pPr>
      <w:r>
        <w:rPr>
          <w:rFonts w:hint="eastAsia" w:ascii="仿宋" w:hAnsi="仿宋" w:eastAsia="仿宋" w:cs="仿宋"/>
          <w:sz w:val="28"/>
          <w:szCs w:val="28"/>
        </w:rPr>
        <w:t>本项目采用国产数据库升级替换系统目前使用的数据库，使系统满足使用国产数据库的审计要求。</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2022年深圳市3A级以上景区视频监控系统升级</w:t>
      </w:r>
    </w:p>
    <w:p>
      <w:pPr>
        <w:pStyle w:val="2"/>
        <w:rPr>
          <w:rFonts w:ascii="仿宋" w:hAnsi="仿宋" w:eastAsia="仿宋" w:cs="仿宋"/>
          <w:sz w:val="28"/>
          <w:szCs w:val="28"/>
        </w:rPr>
      </w:pPr>
      <w:r>
        <w:rPr>
          <w:rFonts w:hint="eastAsia" w:ascii="仿宋" w:hAnsi="仿宋" w:eastAsia="仿宋" w:cs="仿宋"/>
          <w:sz w:val="28"/>
          <w:szCs w:val="28"/>
        </w:rPr>
        <w:t xml:space="preserve">    项目预算：本项目最高限价为人民币</w:t>
      </w:r>
      <w:r>
        <w:rPr>
          <w:rFonts w:hint="eastAsia" w:ascii="仿宋" w:hAnsi="仿宋" w:eastAsia="仿宋" w:cs="仿宋"/>
          <w:sz w:val="28"/>
          <w:szCs w:val="28"/>
          <w:u w:val="single"/>
        </w:rPr>
        <w:t xml:space="preserve"> 10</w:t>
      </w:r>
      <w:r>
        <w:rPr>
          <w:rFonts w:hint="eastAsia" w:ascii="仿宋" w:hAnsi="仿宋" w:eastAsia="仿宋" w:cs="仿宋"/>
          <w:sz w:val="28"/>
          <w:szCs w:val="28"/>
        </w:rPr>
        <w:t>万元，报价人所报总价不能高于最高限价，若高于最高限价将导致报价无效。</w:t>
      </w:r>
    </w:p>
    <w:p>
      <w:pPr>
        <w:pStyle w:val="2"/>
        <w:rPr>
          <w:rFonts w:ascii="仿宋" w:hAnsi="仿宋" w:eastAsia="仿宋" w:cs="仿宋"/>
          <w:sz w:val="28"/>
          <w:szCs w:val="28"/>
        </w:rPr>
      </w:pPr>
      <w:r>
        <w:rPr>
          <w:rFonts w:hint="eastAsia" w:ascii="仿宋" w:hAnsi="仿宋" w:eastAsia="仿宋" w:cs="仿宋"/>
          <w:sz w:val="28"/>
          <w:szCs w:val="28"/>
        </w:rPr>
        <w:t xml:space="preserve">    二、投标人资质：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1.4 </w:t>
      </w:r>
      <w:r>
        <w:rPr>
          <w:rFonts w:hint="eastAsia" w:ascii="仿宋" w:hAnsi="仿宋" w:eastAsia="仿宋" w:cs="仿宋"/>
          <w:sz w:val="28"/>
          <w:szCs w:val="28"/>
          <w:lang w:val="hr-HR"/>
        </w:rPr>
        <w:t>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1.5 </w:t>
      </w:r>
      <w:r>
        <w:rPr>
          <w:rFonts w:hint="eastAsia" w:ascii="仿宋" w:hAnsi="仿宋" w:eastAsia="仿宋" w:cs="仿宋"/>
          <w:sz w:val="28"/>
          <w:szCs w:val="28"/>
          <w:lang w:val="hr-HR"/>
        </w:rPr>
        <w:t>参加政府采购活动前三年内，在经营活动中没有重大违法记录;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1.6 </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sz w:val="28"/>
          <w:szCs w:val="28"/>
        </w:rPr>
        <w:t>评标方法：综合评分法</w:t>
      </w:r>
    </w:p>
    <w:p>
      <w:pPr>
        <w:pStyle w:val="2"/>
      </w:pPr>
    </w:p>
    <w:p/>
    <w:p>
      <w:pPr>
        <w:jc w:val="center"/>
        <w:rPr>
          <w:rFonts w:ascii="仿宋" w:hAnsi="仿宋" w:eastAsia="仿宋" w:cs="仿宋"/>
          <w:b/>
          <w:sz w:val="28"/>
          <w:szCs w:val="28"/>
        </w:rPr>
      </w:pPr>
      <w:r>
        <w:rPr>
          <w:rFonts w:hint="eastAsia" w:ascii="仿宋" w:hAnsi="仿宋" w:eastAsia="仿宋" w:cs="仿宋"/>
          <w:b/>
          <w:bCs/>
          <w:sz w:val="28"/>
          <w:szCs w:val="28"/>
        </w:rPr>
        <w:t>第二部分</w:t>
      </w:r>
      <w:r>
        <w:rPr>
          <w:rFonts w:hint="eastAsia" w:ascii="仿宋" w:hAnsi="仿宋" w:eastAsia="仿宋" w:cs="仿宋"/>
          <w:b/>
          <w:sz w:val="28"/>
          <w:szCs w:val="28"/>
        </w:rPr>
        <w:t xml:space="preserve">  技术需求</w:t>
      </w:r>
    </w:p>
    <w:p>
      <w:pPr>
        <w:pStyle w:val="2"/>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为满足市审计局使用国产数据库的审计要求，现有系统数据库将被替换升级为国产数据库，具体要求如下：</w:t>
      </w:r>
    </w:p>
    <w:p>
      <w:pPr>
        <w:pStyle w:val="2"/>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一、数据库升级：采用符合我市审计和信创要求的国产数据库替代现有数据库。</w:t>
      </w:r>
    </w:p>
    <w:p>
      <w:pPr>
        <w:pStyle w:val="2"/>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二、系统优化升级改造：由于国产数据库和现使用数据库之间技术体系不一致，需要对系统优化升级改造来适配国产数据库。</w:t>
      </w:r>
    </w:p>
    <w:p>
      <w:pPr>
        <w:pStyle w:val="2"/>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三、数据迁移：将现有数据库中存储的3A级以上景区数据和摄像头数据迁移至国产数据库。</w:t>
      </w:r>
    </w:p>
    <w:p>
      <w:pPr>
        <w:rPr>
          <w:rFonts w:ascii="仿宋" w:hAnsi="仿宋" w:eastAsia="仿宋" w:cs="仿宋"/>
          <w:b/>
          <w:bCs/>
        </w:rPr>
      </w:pPr>
    </w:p>
    <w:p>
      <w:pPr>
        <w:pStyle w:val="13"/>
        <w:tabs>
          <w:tab w:val="left" w:pos="7740"/>
        </w:tabs>
        <w:adjustRightInd w:val="0"/>
        <w:snapToGrid w:val="0"/>
        <w:spacing w:line="360" w:lineRule="auto"/>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商务要求</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一、交货期限：签订合同起90个日历日。</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二、质保期（含质保期服务要求）：6个月。</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三、付款方式：按合同约定支付。</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四、售后服务：</w:t>
      </w:r>
      <w:r>
        <w:rPr>
          <w:rFonts w:hint="eastAsia" w:ascii="华文仿宋" w:hAnsi="华文仿宋" w:eastAsia="华文仿宋" w:cs="仿宋"/>
          <w:bCs/>
          <w:sz w:val="28"/>
          <w:szCs w:val="28"/>
        </w:rPr>
        <w:t>免费提供7*24小时的技术支持和技术咨询；故障接报后15分钟内响应，2小时内处理并解决问题</w:t>
      </w:r>
      <w:r>
        <w:rPr>
          <w:rFonts w:hint="eastAsia" w:ascii="仿宋" w:hAnsi="仿宋" w:eastAsia="仿宋" w:cs="仿宋"/>
          <w:sz w:val="28"/>
          <w:szCs w:val="28"/>
        </w:rPr>
        <w:t>；免费提供不少于3个小时技术培训。</w:t>
      </w:r>
    </w:p>
    <w:p>
      <w:pPr>
        <w:jc w:val="center"/>
        <w:rPr>
          <w:rFonts w:ascii="仿宋" w:hAnsi="仿宋" w:eastAsia="仿宋" w:cs="仿宋"/>
          <w:b/>
          <w:bCs/>
          <w:sz w:val="28"/>
          <w:szCs w:val="28"/>
        </w:rPr>
      </w:pPr>
      <w:r>
        <w:rPr>
          <w:rFonts w:hint="eastAsia" w:ascii="仿宋" w:hAnsi="仿宋" w:eastAsia="仿宋" w:cs="仿宋"/>
          <w:b/>
          <w:bCs/>
          <w:sz w:val="28"/>
          <w:szCs w:val="28"/>
        </w:rPr>
        <w:t>第四部分  投标人须知</w:t>
      </w:r>
    </w:p>
    <w:p>
      <w:pPr>
        <w:pStyle w:val="13"/>
        <w:tabs>
          <w:tab w:val="left" w:pos="7740"/>
        </w:tabs>
        <w:adjustRightInd w:val="0"/>
        <w:snapToGrid w:val="0"/>
        <w:spacing w:line="300" w:lineRule="auto"/>
        <w:jc w:val="center"/>
        <w:rPr>
          <w:rFonts w:ascii="仿宋" w:hAnsi="仿宋" w:eastAsia="仿宋" w:cs="仿宋"/>
          <w:b/>
          <w:sz w:val="28"/>
          <w:szCs w:val="28"/>
          <w:lang w:val="zh-CN"/>
        </w:rPr>
      </w:pP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一、投标文件的递交</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投标文件应进行包装、加贴封条。外包装上应当注明采购项目名称、注明“在规定的开标日期和时点之前不得启封”的字样，封口处应加盖投标人印章。</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13"/>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二、开标与评标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采购执行人在规定的日期、时间和地点组织公开开标。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4"/>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w:t>
      </w:r>
    </w:p>
    <w:p>
      <w:pPr>
        <w:pStyle w:val="4"/>
        <w:tabs>
          <w:tab w:val="left" w:pos="7740"/>
        </w:tabs>
        <w:spacing w:line="300" w:lineRule="auto"/>
        <w:rPr>
          <w:rFonts w:ascii="仿宋" w:hAnsi="仿宋" w:eastAsia="仿宋" w:cs="仿宋"/>
          <w:sz w:val="28"/>
          <w:szCs w:val="28"/>
        </w:rPr>
      </w:pPr>
      <w:r>
        <w:rPr>
          <w:rFonts w:hint="eastAsia" w:ascii="仿宋" w:hAnsi="仿宋" w:eastAsia="仿宋" w:cs="仿宋"/>
          <w:sz w:val="28"/>
          <w:szCs w:val="28"/>
        </w:rPr>
        <w:t>本项目的评标方法见以下规定：</w:t>
      </w:r>
    </w:p>
    <w:p>
      <w:pPr>
        <w:pStyle w:val="4"/>
        <w:tabs>
          <w:tab w:val="left" w:pos="7740"/>
        </w:tabs>
        <w:spacing w:line="300" w:lineRule="auto"/>
        <w:rPr>
          <w:rFonts w:ascii="仿宋" w:hAnsi="仿宋" w:eastAsia="仿宋" w:cs="仿宋"/>
          <w:sz w:val="28"/>
          <w:szCs w:val="28"/>
        </w:rPr>
      </w:pPr>
      <w:r>
        <w:rPr>
          <w:rFonts w:hint="eastAsia" w:ascii="仿宋" w:hAnsi="仿宋" w:eastAsia="仿宋" w:cs="仿宋"/>
          <w:sz w:val="28"/>
          <w:szCs w:val="28"/>
        </w:rPr>
        <w:t>一、综合评标法</w:t>
      </w:r>
    </w:p>
    <w:p>
      <w:pPr>
        <w:pStyle w:val="4"/>
        <w:tabs>
          <w:tab w:val="left" w:pos="7740"/>
        </w:tabs>
        <w:spacing w:line="300" w:lineRule="auto"/>
        <w:rPr>
          <w:rFonts w:ascii="仿宋" w:hAnsi="仿宋" w:eastAsia="仿宋" w:cs="仿宋"/>
          <w:sz w:val="28"/>
          <w:szCs w:val="28"/>
        </w:rPr>
      </w:pPr>
      <w:r>
        <w:rPr>
          <w:rFonts w:hint="eastAsia" w:ascii="仿宋" w:hAnsi="仿宋" w:eastAsia="仿宋" w:cs="仿宋"/>
          <w:sz w:val="28"/>
          <w:szCs w:val="28"/>
        </w:rPr>
        <w:t>评委会将遵照公开、公平、公正的评标原则，严格按照招标文件的要求和条件进行评标，平等地对待所有投标人，本次招标采用一次报价一次评标定标的方式，择优定标，选出中标商。评委会将对投标书中的每个响应进行评价，检查其对招标书要求的符合程度并给出评分。综合各投标人商务、技术和价格进行综合评估，产生综合评估分。综合得分最高者为中标商。</w:t>
      </w:r>
    </w:p>
    <w:p>
      <w:pPr>
        <w:pStyle w:val="4"/>
        <w:tabs>
          <w:tab w:val="left" w:pos="7740"/>
        </w:tabs>
        <w:spacing w:line="300" w:lineRule="auto"/>
        <w:rPr>
          <w:rFonts w:ascii="仿宋" w:hAnsi="仿宋" w:eastAsia="仿宋" w:cs="仿宋"/>
          <w:sz w:val="28"/>
          <w:szCs w:val="28"/>
        </w:rPr>
      </w:pPr>
      <w:r>
        <w:rPr>
          <w:rFonts w:hint="eastAsia" w:ascii="仿宋" w:hAnsi="仿宋" w:eastAsia="仿宋" w:cs="仿宋"/>
          <w:sz w:val="28"/>
          <w:szCs w:val="28"/>
        </w:rPr>
        <w:t>二、综合评估分=技术及商务综合实力评分（60）+价格评分（40）</w:t>
      </w:r>
    </w:p>
    <w:p>
      <w:pPr>
        <w:pStyle w:val="4"/>
        <w:tabs>
          <w:tab w:val="left" w:pos="7740"/>
        </w:tabs>
        <w:spacing w:line="300" w:lineRule="auto"/>
        <w:ind w:firstLine="0"/>
        <w:rPr>
          <w:rFonts w:ascii="仿宋" w:hAnsi="仿宋" w:eastAsia="仿宋" w:cs="仿宋"/>
          <w:sz w:val="28"/>
          <w:szCs w:val="28"/>
        </w:rPr>
      </w:pPr>
      <w:r>
        <w:rPr>
          <w:rFonts w:hint="eastAsia" w:ascii="仿宋" w:hAnsi="仿宋" w:eastAsia="仿宋" w:cs="仿宋"/>
          <w:sz w:val="28"/>
          <w:szCs w:val="28"/>
        </w:rPr>
        <w:t>评委会在评标时，应按照以下量化的评审因素，对各投标文件进行分析和比较：</w:t>
      </w:r>
    </w:p>
    <w:tbl>
      <w:tblPr>
        <w:tblStyle w:val="18"/>
        <w:tblW w:w="864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80"/>
        <w:gridCol w:w="964"/>
        <w:gridCol w:w="1556"/>
        <w:gridCol w:w="5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blHeader/>
          <w:jc w:val="center"/>
        </w:trPr>
        <w:tc>
          <w:tcPr>
            <w:tcW w:w="108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类   别</w:t>
            </w:r>
          </w:p>
        </w:tc>
        <w:tc>
          <w:tcPr>
            <w:tcW w:w="964"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评分项目</w:t>
            </w:r>
          </w:p>
        </w:tc>
        <w:tc>
          <w:tcPr>
            <w:tcW w:w="6596" w:type="dxa"/>
            <w:gridSpan w:val="2"/>
            <w:tcBorders>
              <w:bottom w:val="double" w:color="auto" w:sz="4" w:space="0"/>
            </w:tcBorders>
            <w:vAlign w:val="center"/>
          </w:tcPr>
          <w:p>
            <w:pPr>
              <w:spacing w:line="360" w:lineRule="auto"/>
              <w:ind w:firstLine="48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评分细则</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95" w:hRule="atLeast"/>
          <w:jc w:val="center"/>
        </w:trPr>
        <w:tc>
          <w:tcPr>
            <w:tcW w:w="1080" w:type="dxa"/>
            <w:vMerge w:val="restart"/>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技术及商务评分（J）</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合计60分</w:t>
            </w:r>
          </w:p>
        </w:tc>
        <w:tc>
          <w:tcPr>
            <w:tcW w:w="964" w:type="dxa"/>
            <w:vMerge w:val="restart"/>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技术评议部分</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40分</w:t>
            </w:r>
          </w:p>
        </w:tc>
        <w:tc>
          <w:tcPr>
            <w:tcW w:w="1556"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整体技术方案(25分)</w:t>
            </w:r>
          </w:p>
        </w:tc>
        <w:tc>
          <w:tcPr>
            <w:tcW w:w="504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依据投标人提供的整体技术方案的完整性、合理性进行横向比较。优（30-21分）；良（20-13分）；中（12-5分）；差（5-0分），满分30分。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95" w:hRule="atLeast"/>
          <w:jc w:val="center"/>
        </w:trPr>
        <w:tc>
          <w:tcPr>
            <w:tcW w:w="1080" w:type="dxa"/>
            <w:vMerge w:val="continue"/>
            <w:vAlign w:val="center"/>
          </w:tcPr>
          <w:p>
            <w:pPr>
              <w:spacing w:line="360" w:lineRule="auto"/>
              <w:jc w:val="left"/>
              <w:rPr>
                <w:rFonts w:ascii="仿宋_GB2312" w:hAnsi="仿宋_GB2312" w:eastAsia="仿宋_GB2312" w:cs="仿宋_GB2312"/>
                <w:color w:val="000000"/>
                <w:sz w:val="24"/>
              </w:rPr>
            </w:pPr>
          </w:p>
        </w:tc>
        <w:tc>
          <w:tcPr>
            <w:tcW w:w="964" w:type="dxa"/>
            <w:vMerge w:val="continue"/>
            <w:vAlign w:val="center"/>
          </w:tcPr>
          <w:p>
            <w:pPr>
              <w:spacing w:line="360" w:lineRule="auto"/>
              <w:jc w:val="left"/>
              <w:rPr>
                <w:rFonts w:ascii="仿宋_GB2312" w:hAnsi="仿宋_GB2312" w:eastAsia="仿宋_GB2312" w:cs="仿宋_GB2312"/>
                <w:color w:val="000000"/>
                <w:sz w:val="24"/>
              </w:rPr>
            </w:pPr>
          </w:p>
        </w:tc>
        <w:tc>
          <w:tcPr>
            <w:tcW w:w="1556"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数据库选型方案(5分)</w:t>
            </w:r>
          </w:p>
        </w:tc>
        <w:tc>
          <w:tcPr>
            <w:tcW w:w="504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依据投标人提供的国产数据库型号合理性进行横向比较。优（5-4分）；良（4-3分）；中（3-2分）；差（2-0分），满分5分。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95" w:hRule="atLeast"/>
          <w:jc w:val="center"/>
        </w:trPr>
        <w:tc>
          <w:tcPr>
            <w:tcW w:w="1080" w:type="dxa"/>
            <w:vMerge w:val="continue"/>
            <w:vAlign w:val="center"/>
          </w:tcPr>
          <w:p>
            <w:pPr>
              <w:spacing w:line="360" w:lineRule="auto"/>
              <w:jc w:val="left"/>
              <w:rPr>
                <w:rFonts w:ascii="仿宋_GB2312" w:hAnsi="仿宋_GB2312" w:eastAsia="仿宋_GB2312" w:cs="仿宋_GB2312"/>
                <w:color w:val="000000"/>
                <w:sz w:val="24"/>
              </w:rPr>
            </w:pPr>
          </w:p>
        </w:tc>
        <w:tc>
          <w:tcPr>
            <w:tcW w:w="964" w:type="dxa"/>
            <w:vMerge w:val="continue"/>
            <w:vAlign w:val="center"/>
          </w:tcPr>
          <w:p>
            <w:pPr>
              <w:spacing w:line="360" w:lineRule="auto"/>
              <w:ind w:firstLine="480"/>
              <w:jc w:val="left"/>
              <w:rPr>
                <w:rFonts w:ascii="仿宋_GB2312" w:hAnsi="仿宋_GB2312" w:eastAsia="仿宋_GB2312" w:cs="仿宋_GB2312"/>
                <w:color w:val="000000"/>
                <w:sz w:val="24"/>
              </w:rPr>
            </w:pPr>
          </w:p>
        </w:tc>
        <w:tc>
          <w:tcPr>
            <w:tcW w:w="1556"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项目重点难点分析及解决方案(5分)</w:t>
            </w:r>
          </w:p>
        </w:tc>
        <w:tc>
          <w:tcPr>
            <w:tcW w:w="504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考察对项目重点难点问题的识别情况及拟采用的解决方案的情况，进行横向比较。优（5-4分）；良（4-3分）；中（3-2分）；差（2-0分），满分5分。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95" w:hRule="atLeast"/>
          <w:jc w:val="center"/>
        </w:trPr>
        <w:tc>
          <w:tcPr>
            <w:tcW w:w="1080" w:type="dxa"/>
            <w:vMerge w:val="continue"/>
            <w:vAlign w:val="center"/>
          </w:tcPr>
          <w:p>
            <w:pPr>
              <w:spacing w:line="360" w:lineRule="auto"/>
              <w:jc w:val="left"/>
              <w:rPr>
                <w:rFonts w:ascii="仿宋_GB2312" w:hAnsi="仿宋_GB2312" w:eastAsia="仿宋_GB2312" w:cs="仿宋_GB2312"/>
                <w:color w:val="000000"/>
                <w:sz w:val="24"/>
              </w:rPr>
            </w:pPr>
          </w:p>
        </w:tc>
        <w:tc>
          <w:tcPr>
            <w:tcW w:w="964" w:type="dxa"/>
            <w:vMerge w:val="continue"/>
            <w:vAlign w:val="center"/>
          </w:tcPr>
          <w:p>
            <w:pPr>
              <w:spacing w:line="360" w:lineRule="auto"/>
              <w:ind w:firstLine="480"/>
              <w:jc w:val="left"/>
              <w:rPr>
                <w:rFonts w:ascii="仿宋_GB2312" w:hAnsi="仿宋_GB2312" w:eastAsia="仿宋_GB2312" w:cs="仿宋_GB2312"/>
                <w:color w:val="000000"/>
                <w:sz w:val="24"/>
              </w:rPr>
            </w:pPr>
          </w:p>
        </w:tc>
        <w:tc>
          <w:tcPr>
            <w:tcW w:w="1556" w:type="dxa"/>
            <w:vAlign w:val="center"/>
          </w:tcPr>
          <w:p>
            <w:pPr>
              <w:spacing w:line="360" w:lineRule="auto"/>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售后服务</w:t>
            </w:r>
          </w:p>
          <w:p>
            <w:pPr>
              <w:spacing w:line="360" w:lineRule="auto"/>
              <w:jc w:val="left"/>
              <w:rPr>
                <w:rFonts w:ascii="仿宋_GB2312" w:hAnsi="仿宋_GB2312" w:eastAsia="仿宋_GB2312" w:cs="仿宋_GB2312"/>
                <w:b/>
                <w:bCs/>
                <w:color w:val="000000"/>
                <w:sz w:val="24"/>
              </w:rPr>
            </w:pPr>
            <w:r>
              <w:rPr>
                <w:rFonts w:hint="eastAsia" w:ascii="仿宋_GB2312" w:hAnsi="仿宋_GB2312" w:eastAsia="仿宋_GB2312" w:cs="仿宋_GB2312"/>
                <w:bCs/>
                <w:color w:val="000000"/>
                <w:sz w:val="24"/>
              </w:rPr>
              <w:t>（5分）</w:t>
            </w:r>
          </w:p>
        </w:tc>
        <w:tc>
          <w:tcPr>
            <w:tcW w:w="5040" w:type="dxa"/>
            <w:vAlign w:val="center"/>
          </w:tcPr>
          <w:p>
            <w:pPr>
              <w:spacing w:line="360" w:lineRule="auto"/>
              <w:jc w:val="left"/>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考察项目的售后服务情况，依据售后服务响应时间、售后服务方案，进行横向比较。优（5-4分）；良（4-3分）；中（3-2分）；差（2-0分），满分5分。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95" w:hRule="atLeast"/>
          <w:jc w:val="center"/>
        </w:trPr>
        <w:tc>
          <w:tcPr>
            <w:tcW w:w="1080" w:type="dxa"/>
            <w:vMerge w:val="continue"/>
            <w:vAlign w:val="center"/>
          </w:tcPr>
          <w:p>
            <w:pPr>
              <w:spacing w:line="360" w:lineRule="auto"/>
              <w:jc w:val="left"/>
              <w:rPr>
                <w:rFonts w:ascii="仿宋_GB2312" w:hAnsi="仿宋_GB2312" w:eastAsia="仿宋_GB2312" w:cs="仿宋_GB2312"/>
                <w:color w:val="000000"/>
                <w:sz w:val="24"/>
              </w:rPr>
            </w:pPr>
          </w:p>
        </w:tc>
        <w:tc>
          <w:tcPr>
            <w:tcW w:w="964"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商务评议部分</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20分</w:t>
            </w:r>
          </w:p>
        </w:tc>
        <w:tc>
          <w:tcPr>
            <w:tcW w:w="1556"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同类项目业绩（20分）</w:t>
            </w:r>
          </w:p>
        </w:tc>
        <w:tc>
          <w:tcPr>
            <w:tcW w:w="504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投标人自2020年1月1日起至招标公告发出之日，承担过政府旅游信息化相关项目并且金额20万元及以上的成功案例：提供2个及以上的得20分；提供1个的得10分；未提供的不得分。 </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注：提供合同复印件，原件备查，未提供或不清晰的不得分。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10" w:hRule="atLeast"/>
          <w:jc w:val="center"/>
        </w:trPr>
        <w:tc>
          <w:tcPr>
            <w:tcW w:w="108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价格评分（S）</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（合计40分）</w:t>
            </w:r>
          </w:p>
        </w:tc>
        <w:tc>
          <w:tcPr>
            <w:tcW w:w="964"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投标总价</w:t>
            </w:r>
          </w:p>
        </w:tc>
        <w:tc>
          <w:tcPr>
            <w:tcW w:w="6596" w:type="dxa"/>
            <w:gridSpan w:val="2"/>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以所有通过符合性检查和不可偏离项检查的投标报价计算。得分按下列公式计算：S=[评标基准价/投标报价]×价格权重×100</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注：1.评标基准价为投标价格最低的投标报价，本项目价格分为40，即价格权值为40％；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1080" w:type="dxa"/>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评标总得分（N）</w:t>
            </w:r>
          </w:p>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总分100分</w:t>
            </w:r>
          </w:p>
        </w:tc>
        <w:tc>
          <w:tcPr>
            <w:tcW w:w="964" w:type="dxa"/>
            <w:vAlign w:val="center"/>
          </w:tcPr>
          <w:p>
            <w:pPr>
              <w:spacing w:line="360" w:lineRule="auto"/>
              <w:ind w:firstLine="480"/>
              <w:jc w:val="left"/>
              <w:rPr>
                <w:rFonts w:ascii="仿宋_GB2312" w:hAnsi="仿宋_GB2312" w:eastAsia="仿宋_GB2312" w:cs="仿宋_GB2312"/>
                <w:color w:val="000000"/>
                <w:sz w:val="24"/>
              </w:rPr>
            </w:pPr>
          </w:p>
        </w:tc>
        <w:tc>
          <w:tcPr>
            <w:tcW w:w="6596" w:type="dxa"/>
            <w:gridSpan w:val="2"/>
            <w:vAlign w:val="center"/>
          </w:tcPr>
          <w:p>
            <w:pPr>
              <w:spacing w:line="360" w:lineRule="auto"/>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N=J＋S</w:t>
            </w:r>
          </w:p>
        </w:tc>
      </w:tr>
    </w:tbl>
    <w:p>
      <w:pPr>
        <w:pStyle w:val="4"/>
        <w:tabs>
          <w:tab w:val="left" w:pos="7740"/>
        </w:tabs>
        <w:spacing w:line="300" w:lineRule="auto"/>
        <w:ind w:firstLine="0"/>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pPr>
        <w:jc w:val="center"/>
        <w:rPr>
          <w:rFonts w:ascii="仿宋" w:hAnsi="仿宋" w:eastAsia="仿宋" w:cs="仿宋"/>
          <w:b/>
          <w:sz w:val="28"/>
          <w:szCs w:val="28"/>
        </w:rPr>
      </w:pPr>
    </w:p>
    <w:p>
      <w:pPr>
        <w:spacing w:before="312" w:beforeLines="100"/>
        <w:jc w:val="center"/>
        <w:rPr>
          <w:rFonts w:ascii="仿宋_GB2312" w:eastAsia="仿宋_GB2312"/>
          <w:b/>
          <w:sz w:val="44"/>
          <w:szCs w:val="44"/>
        </w:rPr>
      </w:pPr>
      <w:r>
        <w:rPr>
          <w:rFonts w:hint="eastAsia" w:ascii="仿宋_GB2312" w:eastAsia="仿宋_GB2312"/>
          <w:b/>
          <w:sz w:val="44"/>
          <w:szCs w:val="44"/>
        </w:rPr>
        <w:t>深圳市3A级以上景区视频监控系统升级项目</w:t>
      </w:r>
    </w:p>
    <w:p>
      <w:pPr>
        <w:spacing w:before="312" w:beforeLines="100"/>
        <w:jc w:val="center"/>
        <w:rPr>
          <w:rFonts w:ascii="仿宋_GB2312" w:eastAsia="仿宋_GB2312"/>
          <w:b/>
          <w:sz w:val="44"/>
          <w:szCs w:val="44"/>
        </w:rPr>
      </w:pPr>
      <w:r>
        <w:rPr>
          <w:rFonts w:hint="eastAsia" w:ascii="仿宋_GB2312" w:eastAsia="仿宋_GB2312"/>
          <w:b/>
          <w:sz w:val="44"/>
          <w:szCs w:val="44"/>
        </w:rPr>
        <w:t>合同书</w:t>
      </w:r>
    </w:p>
    <w:p>
      <w:pPr>
        <w:spacing w:before="312" w:beforeLines="100"/>
        <w:jc w:val="center"/>
        <w:rPr>
          <w:rFonts w:ascii="仿宋_GB2312" w:eastAsia="仿宋_GB2312"/>
          <w:b/>
          <w:sz w:val="48"/>
          <w:szCs w:val="48"/>
        </w:rPr>
      </w:pPr>
    </w:p>
    <w:p>
      <w:pPr>
        <w:spacing w:before="312" w:beforeLines="100"/>
        <w:jc w:val="center"/>
        <w:rPr>
          <w:rFonts w:ascii="仿宋_GB2312" w:eastAsia="仿宋_GB2312"/>
          <w:b/>
          <w:sz w:val="48"/>
          <w:szCs w:val="48"/>
        </w:rPr>
      </w:pPr>
    </w:p>
    <w:p>
      <w:pPr>
        <w:spacing w:before="312" w:beforeLines="100"/>
        <w:rPr>
          <w:rFonts w:ascii="楷体_GB2312" w:eastAsia="楷体_GB2312"/>
          <w:b/>
          <w:sz w:val="32"/>
          <w:szCs w:val="32"/>
        </w:rPr>
      </w:pPr>
      <w:r>
        <w:rPr>
          <w:rFonts w:hint="eastAsia" w:ascii="楷体_GB2312" w:eastAsia="楷体_GB2312"/>
          <w:b/>
          <w:sz w:val="32"/>
          <w:szCs w:val="32"/>
        </w:rPr>
        <w:t>项目名称：</w:t>
      </w:r>
      <w:r>
        <w:rPr>
          <w:rFonts w:hint="eastAsia" w:ascii="楷体_GB2312" w:eastAsia="楷体_GB2312"/>
          <w:b/>
          <w:sz w:val="32"/>
          <w:szCs w:val="32"/>
          <w:u w:val="single"/>
        </w:rPr>
        <w:t>深圳市3A级以上景区视频监控系统升级</w:t>
      </w:r>
    </w:p>
    <w:p>
      <w:pPr>
        <w:spacing w:before="312" w:beforeLines="100"/>
        <w:rPr>
          <w:rFonts w:ascii="楷体_GB2312" w:eastAsia="楷体_GB2312"/>
          <w:b/>
          <w:sz w:val="32"/>
          <w:szCs w:val="32"/>
          <w:u w:val="single"/>
        </w:rPr>
      </w:pPr>
      <w:r>
        <w:rPr>
          <w:rFonts w:hint="eastAsia" w:ascii="楷体_GB2312" w:eastAsia="楷体_GB2312"/>
          <w:b/>
          <w:sz w:val="32"/>
          <w:szCs w:val="32"/>
        </w:rPr>
        <w:t>甲　　方：</w:t>
      </w:r>
      <w:r>
        <w:rPr>
          <w:rFonts w:hint="eastAsia" w:ascii="楷体_GB2312" w:eastAsia="楷体_GB2312"/>
          <w:b/>
          <w:sz w:val="32"/>
          <w:szCs w:val="32"/>
          <w:u w:val="single"/>
        </w:rPr>
        <w:t xml:space="preserve"> 深圳市广播电视技术中心　    </w:t>
      </w:r>
    </w:p>
    <w:p>
      <w:pPr>
        <w:spacing w:before="312" w:beforeLines="100"/>
        <w:rPr>
          <w:rFonts w:ascii="楷体_GB2312" w:eastAsia="楷体_GB2312"/>
          <w:b/>
          <w:sz w:val="32"/>
          <w:szCs w:val="32"/>
          <w:u w:val="single"/>
        </w:rPr>
      </w:pPr>
      <w:r>
        <w:rPr>
          <w:rFonts w:hint="eastAsia" w:ascii="楷体_GB2312" w:eastAsia="楷体_GB2312"/>
          <w:b/>
          <w:sz w:val="32"/>
          <w:szCs w:val="32"/>
        </w:rPr>
        <w:t>乙　　方：</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楷体_GB2312" w:hAnsi="华文中宋" w:eastAsia="楷体_GB2312"/>
          <w:sz w:val="32"/>
        </w:rPr>
        <w:sectPr>
          <w:footerReference r:id="rId3" w:type="even"/>
          <w:pgSz w:w="11906" w:h="16838"/>
          <w:pgMar w:top="1701" w:right="1474" w:bottom="1701" w:left="1588" w:header="851" w:footer="851" w:gutter="0"/>
          <w:pgNumType w:start="1"/>
          <w:cols w:space="720" w:num="1"/>
          <w:docGrid w:type="lines" w:linePitch="312" w:charSpace="0"/>
        </w:sectPr>
      </w:pPr>
      <w:r>
        <w:rPr>
          <w:rFonts w:hint="eastAsia" w:ascii="楷体_GB2312" w:hAnsi="华文中宋" w:eastAsia="楷体_GB2312"/>
          <w:sz w:val="32"/>
        </w:rPr>
        <w:t>2022年  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民法典》、《深圳经济特区政府采购条例》、《深圳市文化广电旅游体育局自行采购管理办法》及其它相关法律、法规和规章的规定，在平等、自愿、公平、诚信的基础上,甲乙双方经协商，就乙方承担</w:t>
      </w:r>
      <w:r>
        <w:rPr>
          <w:rFonts w:hint="eastAsia" w:ascii="仿宋_GB2312" w:eastAsia="仿宋_GB2312"/>
          <w:sz w:val="32"/>
          <w:szCs w:val="32"/>
          <w:u w:val="single"/>
        </w:rPr>
        <w:t>深圳市3A级以上景区视频监控系统升级项目</w:t>
      </w:r>
      <w:r>
        <w:rPr>
          <w:rFonts w:hint="eastAsia" w:ascii="仿宋_GB2312" w:hAnsi="宋体" w:eastAsia="仿宋_GB2312"/>
          <w:sz w:val="32"/>
          <w:szCs w:val="32"/>
        </w:rPr>
        <w:t>，达成以下合同条款：</w:t>
      </w:r>
    </w:p>
    <w:p>
      <w:pPr>
        <w:widowControl/>
        <w:spacing w:before="90" w:after="90" w:line="560" w:lineRule="exact"/>
        <w:ind w:firstLine="627" w:firstLineChars="196"/>
        <w:jc w:val="left"/>
        <w:rPr>
          <w:rFonts w:ascii="黑体" w:eastAsia="黑体"/>
          <w:sz w:val="32"/>
          <w:szCs w:val="32"/>
        </w:rPr>
      </w:pPr>
      <w:bookmarkStart w:id="0" w:name="_Toc216520181"/>
      <w:bookmarkStart w:id="1" w:name="_Toc222110398"/>
      <w:r>
        <w:rPr>
          <w:rFonts w:hint="eastAsia" w:ascii="黑体" w:eastAsia="黑体"/>
          <w:sz w:val="32"/>
          <w:szCs w:val="32"/>
        </w:rPr>
        <w:t>第一条 建设内容</w:t>
      </w:r>
      <w:bookmarkEnd w:id="0"/>
      <w:bookmarkEnd w:id="1"/>
    </w:p>
    <w:p>
      <w:pPr>
        <w:widowControl/>
        <w:spacing w:before="90" w:after="90" w:line="560" w:lineRule="exact"/>
        <w:ind w:firstLine="627" w:firstLineChars="196"/>
        <w:jc w:val="left"/>
        <w:rPr>
          <w:rFonts w:ascii="黑体" w:eastAsia="黑体"/>
          <w:sz w:val="32"/>
          <w:szCs w:val="32"/>
        </w:rPr>
      </w:pPr>
      <w:bookmarkStart w:id="2" w:name="_Toc216520182"/>
      <w:r>
        <w:rPr>
          <w:rFonts w:hint="eastAsia" w:ascii="黑体" w:eastAsia="黑体"/>
          <w:sz w:val="32"/>
          <w:szCs w:val="32"/>
        </w:rPr>
        <w:t>（一）建设内容</w:t>
      </w:r>
      <w:bookmarkEnd w:id="2"/>
      <w:r>
        <w:rPr>
          <w:rFonts w:hint="eastAsia" w:ascii="黑体" w:eastAsia="黑体"/>
          <w:sz w:val="32"/>
          <w:szCs w:val="32"/>
        </w:rPr>
        <w:t>。</w:t>
      </w:r>
    </w:p>
    <w:p>
      <w:pPr>
        <w:spacing w:line="520" w:lineRule="exact"/>
        <w:ind w:firstLine="640" w:firstLineChars="200"/>
        <w:rPr>
          <w:rFonts w:ascii="仿宋_GB2312" w:eastAsia="仿宋_GB2312"/>
          <w:sz w:val="32"/>
          <w:szCs w:val="32"/>
          <w:u w:val="single"/>
        </w:rPr>
      </w:pPr>
      <w:r>
        <w:rPr>
          <w:rFonts w:hint="eastAsia" w:ascii="仿宋_GB2312" w:hAnsi="宋体" w:eastAsia="仿宋_GB2312"/>
          <w:sz w:val="32"/>
          <w:szCs w:val="32"/>
        </w:rPr>
        <w:t>本合同的建设内容由项目招标文件规定、应标文件承诺以及双方约定的内容组成，具体建设维护内容包括：</w:t>
      </w:r>
      <w:bookmarkStart w:id="3" w:name="_Toc216520187"/>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1、数据库升级：采用符合我市审计和信创要求的国产数据库替代现有数据库。</w:t>
      </w:r>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2、系统优化升级改造：由于国产数据库和现使用数据库之间技术体系不一致，需要对系统优化升级改造来适配国产数据库。</w:t>
      </w:r>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3、数据迁移：将现有数据库中存储的3A级以上景区数据和摄像头数据迁移至国产数据库。</w:t>
      </w:r>
    </w:p>
    <w:p>
      <w:pPr>
        <w:spacing w:line="520" w:lineRule="exact"/>
        <w:ind w:firstLine="640" w:firstLineChars="200"/>
        <w:rPr>
          <w:rFonts w:ascii="黑体" w:eastAsia="黑体"/>
          <w:sz w:val="32"/>
          <w:szCs w:val="32"/>
        </w:rPr>
      </w:pPr>
      <w:r>
        <w:rPr>
          <w:rFonts w:hint="eastAsia" w:ascii="黑体" w:eastAsia="黑体"/>
          <w:sz w:val="32"/>
          <w:szCs w:val="32"/>
        </w:rPr>
        <w:t>（二）实施地点</w:t>
      </w:r>
      <w:bookmarkEnd w:id="3"/>
      <w:r>
        <w:rPr>
          <w:rFonts w:hint="eastAsia" w:ascii="黑体" w:eastAsia="黑体"/>
          <w:sz w:val="32"/>
          <w:szCs w:val="32"/>
        </w:rPr>
        <w:t>。</w:t>
      </w:r>
    </w:p>
    <w:p>
      <w:pPr>
        <w:tabs>
          <w:tab w:val="left" w:pos="846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本项目实施地点为：</w:t>
      </w:r>
      <w:r>
        <w:rPr>
          <w:rFonts w:hint="eastAsia" w:ascii="仿宋_GB2312" w:hAnsi="宋体" w:eastAsia="仿宋_GB2312"/>
          <w:sz w:val="32"/>
          <w:szCs w:val="32"/>
          <w:u w:val="single"/>
        </w:rPr>
        <w:t>深圳市</w:t>
      </w:r>
      <w:r>
        <w:rPr>
          <w:rFonts w:hint="eastAsia" w:ascii="仿宋_GB2312" w:hAnsi="宋体" w:eastAsia="仿宋_GB2312"/>
          <w:sz w:val="32"/>
          <w:szCs w:val="32"/>
        </w:rPr>
        <w:t>。</w:t>
      </w:r>
    </w:p>
    <w:p>
      <w:pPr>
        <w:widowControl/>
        <w:spacing w:before="90" w:after="90" w:line="560" w:lineRule="exact"/>
        <w:ind w:firstLine="627" w:firstLineChars="196"/>
        <w:jc w:val="left"/>
        <w:rPr>
          <w:rFonts w:ascii="黑体" w:eastAsia="黑体"/>
          <w:sz w:val="32"/>
          <w:szCs w:val="32"/>
        </w:rPr>
      </w:pPr>
      <w:r>
        <w:rPr>
          <w:rFonts w:hint="eastAsia" w:ascii="黑体" w:eastAsia="黑体"/>
          <w:sz w:val="32"/>
          <w:szCs w:val="32"/>
        </w:rPr>
        <w:t>第二条 甲方的权利与义务</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（一）甲方有权在签订本合同前对乙方进行相关的资格审查，乙方隐瞒或伪造相关资质的构成违约；</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（二）甲方负责对乙方承担的项目建设全程进行监督和审查；组织对乙方升级维护的应用软件系统进行现场检测验收、接管项目全部应用软件系统资产。</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（三）甲方为乙方进驻现场提供必要的工作条件。</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（四）甲方按本合同的约定支付款项。乙方完全履行完本合同的义务，并按甲方要求完成所有结算手续后，甲方按本合同的约定支付剩余款项。</w:t>
      </w:r>
    </w:p>
    <w:p>
      <w:pPr>
        <w:widowControl/>
        <w:spacing w:before="90" w:after="90" w:line="560" w:lineRule="exact"/>
        <w:ind w:firstLine="627" w:firstLineChars="196"/>
        <w:jc w:val="left"/>
        <w:rPr>
          <w:rFonts w:ascii="黑体" w:eastAsia="黑体"/>
          <w:sz w:val="32"/>
          <w:szCs w:val="32"/>
        </w:rPr>
      </w:pPr>
      <w:r>
        <w:rPr>
          <w:rFonts w:hint="eastAsia" w:ascii="黑体" w:eastAsia="黑体"/>
          <w:sz w:val="32"/>
          <w:szCs w:val="32"/>
        </w:rPr>
        <w:t xml:space="preserve">第三条 </w:t>
      </w:r>
      <w:bookmarkStart w:id="40" w:name="_GoBack"/>
      <w:bookmarkEnd w:id="40"/>
      <w:r>
        <w:rPr>
          <w:rFonts w:hint="eastAsia" w:ascii="黑体" w:eastAsia="黑体"/>
          <w:sz w:val="32"/>
          <w:szCs w:val="32"/>
        </w:rPr>
        <w:t>乙方的权利和义务</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（一）乙方必须严格按约定执行甲方委托的各项内容，包括</w:t>
      </w:r>
      <w:r>
        <w:rPr>
          <w:rFonts w:hint="eastAsia" w:ascii="仿宋_GB2312" w:hAnsi="宋体" w:eastAsia="仿宋_GB2312"/>
          <w:sz w:val="32"/>
          <w:szCs w:val="32"/>
        </w:rPr>
        <w:t>在</w:t>
      </w:r>
      <w:r>
        <w:rPr>
          <w:rFonts w:hint="eastAsia" w:ascii="仿宋_GB2312" w:eastAsia="仿宋_GB2312"/>
          <w:sz w:val="32"/>
          <w:szCs w:val="32"/>
          <w:u w:val="single"/>
        </w:rPr>
        <w:t>合同签订后3个月内</w:t>
      </w:r>
      <w:r>
        <w:rPr>
          <w:rFonts w:hint="eastAsia" w:ascii="仿宋_GB2312" w:eastAsia="仿宋_GB2312"/>
          <w:sz w:val="32"/>
          <w:szCs w:val="32"/>
        </w:rPr>
        <w:t>完</w:t>
      </w:r>
      <w:r>
        <w:rPr>
          <w:rFonts w:hint="eastAsia" w:ascii="仿宋_GB2312" w:hAnsi="宋体" w:eastAsia="仿宋_GB2312"/>
          <w:sz w:val="32"/>
          <w:szCs w:val="32"/>
        </w:rPr>
        <w:t>成2022年深圳市3A级以上景区视频监控系统升级</w:t>
      </w:r>
      <w:r>
        <w:rPr>
          <w:rFonts w:hint="eastAsia" w:ascii="仿宋_GB2312" w:eastAsia="仿宋_GB2312"/>
          <w:sz w:val="32"/>
          <w:szCs w:val="32"/>
        </w:rPr>
        <w:t>维护技术支持服务。</w:t>
      </w:r>
    </w:p>
    <w:p>
      <w:pPr>
        <w:widowControl/>
        <w:spacing w:before="90" w:after="90" w:line="560" w:lineRule="exact"/>
        <w:ind w:firstLine="627" w:firstLineChars="196"/>
        <w:jc w:val="left"/>
        <w:rPr>
          <w:rFonts w:ascii="仿宋_GB2312" w:eastAsia="仿宋_GB2312"/>
          <w:sz w:val="32"/>
          <w:szCs w:val="32"/>
        </w:rPr>
      </w:pPr>
      <w:r>
        <w:rPr>
          <w:rFonts w:hint="eastAsia" w:ascii="仿宋_GB2312" w:eastAsia="仿宋_GB2312"/>
          <w:sz w:val="32"/>
          <w:szCs w:val="32"/>
        </w:rPr>
        <w:t>（二）乙方应及时将项目的进行情况以及在项目进行中遇到的问题如实向甲方报告；</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（三）乙方所派工作人员应服从甲方领导与管理、日常工作调度；</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（四）乙方自行负责支付乙方所派工作人员所有的薪酬：包括工资、奖金、福利和保险等；</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五）乙方负责所派工作人员安全管理，并承担所派工作人员因安全管理不到位引起的所有工作责任、经济责任、法律责任，包括：因乙方所派工作人员工作失误造成甲方设备损失的，应承担设备修复和赔偿责任；因乙方所派工作人员工作失误造成甲方网络安全、生产消防安全事故的，应承担全部安全责任；甲方因按照合同的约定使用乙方提供的设备或软件而被第三方提出侵权指控，乙方须承担由此而引起的全部知识产权侵权责任，并赔偿甲方由此引起的一切损失；</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（六）乙方所派工作人员必须遵守甲方各项制度及工作纪律，爱护甲方设备，严格遵守有关国家网络信息安全和保密规定，不得将甲方信息透露给第三方，乙方更换所派工作人员须征求甲方意见；</w:t>
      </w:r>
    </w:p>
    <w:p>
      <w:pPr>
        <w:ind w:firstLine="640" w:firstLineChars="200"/>
        <w:rPr>
          <w:rFonts w:ascii="仿宋_GB2312" w:eastAsia="仿宋_GB2312"/>
          <w:sz w:val="32"/>
          <w:szCs w:val="32"/>
        </w:rPr>
      </w:pPr>
      <w:r>
        <w:rPr>
          <w:rFonts w:hint="eastAsia" w:ascii="仿宋_GB2312" w:eastAsia="仿宋_GB2312"/>
          <w:sz w:val="32"/>
          <w:szCs w:val="32"/>
        </w:rPr>
        <w:t>（七）乙方所派工作人员应按信息安全要求做好计算机病毒的防范措施；</w:t>
      </w:r>
    </w:p>
    <w:p>
      <w:pPr>
        <w:ind w:firstLine="640" w:firstLineChars="200"/>
        <w:rPr>
          <w:rFonts w:ascii="仿宋_GB2312" w:eastAsia="仿宋_GB2312"/>
          <w:sz w:val="32"/>
          <w:szCs w:val="32"/>
        </w:rPr>
      </w:pPr>
      <w:r>
        <w:rPr>
          <w:rFonts w:hint="eastAsia" w:ascii="仿宋_GB2312" w:eastAsia="仿宋_GB2312"/>
          <w:sz w:val="32"/>
          <w:szCs w:val="32"/>
        </w:rPr>
        <w:t>（八）乙方须对本经费使用情况独立核算，以便于甲方审计；</w:t>
      </w:r>
    </w:p>
    <w:p>
      <w:pPr>
        <w:ind w:firstLine="640" w:firstLineChars="200"/>
        <w:rPr>
          <w:rFonts w:ascii="仿宋_GB2312" w:hAnsi="宋体" w:eastAsia="仿宋_GB2312"/>
          <w:sz w:val="32"/>
          <w:szCs w:val="32"/>
        </w:rPr>
      </w:pPr>
      <w:r>
        <w:rPr>
          <w:rFonts w:hint="eastAsia" w:ascii="仿宋_GB2312" w:eastAsia="仿宋_GB2312"/>
          <w:bCs/>
          <w:sz w:val="32"/>
          <w:szCs w:val="32"/>
        </w:rPr>
        <w:t>（九）</w:t>
      </w:r>
      <w:r>
        <w:rPr>
          <w:rFonts w:hint="eastAsia" w:ascii="仿宋_GB2312" w:eastAsia="仿宋_GB2312"/>
          <w:sz w:val="32"/>
          <w:szCs w:val="32"/>
        </w:rPr>
        <w:t>乙方须</w:t>
      </w:r>
      <w:r>
        <w:rPr>
          <w:rFonts w:hint="eastAsia" w:ascii="仿宋_GB2312" w:eastAsia="仿宋_GB2312"/>
          <w:bCs/>
          <w:sz w:val="32"/>
          <w:szCs w:val="32"/>
        </w:rPr>
        <w:t>及时交付本项目</w:t>
      </w:r>
      <w:r>
        <w:rPr>
          <w:rFonts w:hint="eastAsia" w:ascii="仿宋_GB2312" w:hAnsi="宋体" w:eastAsia="仿宋_GB2312"/>
          <w:sz w:val="32"/>
          <w:szCs w:val="32"/>
        </w:rPr>
        <w:t>应用软件系统给</w:t>
      </w:r>
      <w:r>
        <w:rPr>
          <w:rFonts w:hint="eastAsia" w:ascii="仿宋_GB2312" w:eastAsia="仿宋_GB2312"/>
          <w:bCs/>
          <w:sz w:val="32"/>
          <w:szCs w:val="32"/>
        </w:rPr>
        <w:t>甲方</w:t>
      </w:r>
      <w:r>
        <w:rPr>
          <w:rFonts w:hint="eastAsia" w:ascii="仿宋_GB2312" w:hAnsi="宋体" w:eastAsia="仿宋_GB2312"/>
          <w:sz w:val="32"/>
          <w:szCs w:val="32"/>
        </w:rPr>
        <w:t>，认真配合</w:t>
      </w:r>
      <w:r>
        <w:rPr>
          <w:rFonts w:hint="eastAsia" w:ascii="仿宋_GB2312" w:eastAsia="仿宋_GB2312"/>
          <w:bCs/>
          <w:sz w:val="32"/>
          <w:szCs w:val="32"/>
        </w:rPr>
        <w:t>甲方对</w:t>
      </w:r>
      <w:r>
        <w:rPr>
          <w:rFonts w:hint="eastAsia" w:ascii="仿宋_GB2312" w:hAnsi="宋体" w:eastAsia="仿宋_GB2312"/>
          <w:sz w:val="32"/>
          <w:szCs w:val="32"/>
        </w:rPr>
        <w:t>软件系统进行现场检测验收，并移交项目全部软件资产。</w:t>
      </w:r>
    </w:p>
    <w:p>
      <w:pPr>
        <w:ind w:firstLine="640" w:firstLineChars="200"/>
        <w:rPr>
          <w:rFonts w:ascii="仿宋_GB2312" w:eastAsia="仿宋_GB2312"/>
          <w:sz w:val="32"/>
          <w:szCs w:val="32"/>
        </w:rPr>
      </w:pPr>
      <w:r>
        <w:rPr>
          <w:rFonts w:hint="eastAsia" w:ascii="仿宋_GB2312" w:hAnsi="宋体" w:eastAsia="仿宋_GB2312"/>
          <w:sz w:val="32"/>
          <w:szCs w:val="32"/>
        </w:rPr>
        <w:t>（十）未经甲方书面同意，乙方不得将本合同服务转包或分包给任何第三方。</w:t>
      </w:r>
    </w:p>
    <w:p>
      <w:pPr>
        <w:ind w:firstLine="640" w:firstLineChars="200"/>
        <w:rPr>
          <w:rFonts w:ascii="黑体" w:eastAsia="黑体"/>
          <w:sz w:val="32"/>
          <w:szCs w:val="32"/>
        </w:rPr>
      </w:pPr>
      <w:bookmarkStart w:id="4" w:name="_Toc216520188"/>
      <w:r>
        <w:rPr>
          <w:rFonts w:hint="eastAsia" w:ascii="黑体" w:eastAsia="黑体"/>
          <w:sz w:val="32"/>
          <w:szCs w:val="32"/>
        </w:rPr>
        <w:t>第四条 合同总金额</w:t>
      </w:r>
      <w:bookmarkEnd w:id="4"/>
    </w:p>
    <w:p>
      <w:pPr>
        <w:ind w:firstLine="640" w:firstLineChars="200"/>
        <w:rPr>
          <w:rFonts w:ascii="仿宋_GB2312" w:eastAsia="仿宋_GB2312"/>
          <w:sz w:val="32"/>
          <w:szCs w:val="32"/>
        </w:rPr>
      </w:pPr>
      <w:r>
        <w:rPr>
          <w:rFonts w:hint="eastAsia" w:ascii="仿宋_GB2312" w:eastAsia="仿宋_GB2312"/>
          <w:bCs/>
          <w:sz w:val="32"/>
          <w:szCs w:val="32"/>
        </w:rPr>
        <w:t>合同总金额为</w:t>
      </w:r>
      <w:r>
        <w:rPr>
          <w:rFonts w:hint="eastAsia" w:ascii="仿宋_GB2312" w:eastAsia="仿宋_GB2312"/>
          <w:bCs/>
          <w:sz w:val="32"/>
          <w:szCs w:val="32"/>
          <w:u w:val="single"/>
        </w:rPr>
        <w:t>人民币XXX整（￥XXX元），</w:t>
      </w:r>
      <w:r>
        <w:rPr>
          <w:rFonts w:hint="eastAsia" w:ascii="仿宋_GB2312" w:eastAsia="仿宋_GB2312"/>
          <w:bCs/>
          <w:sz w:val="32"/>
          <w:szCs w:val="32"/>
        </w:rPr>
        <w:t>此金额包括所有所需缴付的国家及地方一切税项。</w:t>
      </w:r>
    </w:p>
    <w:p>
      <w:pPr>
        <w:ind w:firstLine="640" w:firstLineChars="200"/>
        <w:rPr>
          <w:rFonts w:ascii="黑体" w:eastAsia="黑体"/>
          <w:sz w:val="32"/>
          <w:szCs w:val="32"/>
        </w:rPr>
      </w:pPr>
      <w:r>
        <w:rPr>
          <w:rFonts w:hint="eastAsia" w:ascii="黑体" w:eastAsia="黑体"/>
          <w:sz w:val="32"/>
          <w:szCs w:val="32"/>
        </w:rPr>
        <w:t>第五条 支付方式</w:t>
      </w:r>
    </w:p>
    <w:p>
      <w:pPr>
        <w:ind w:firstLine="640" w:firstLineChars="200"/>
        <w:rPr>
          <w:rFonts w:ascii="仿宋_GB2312" w:eastAsia="仿宋_GB2312"/>
          <w:bCs/>
          <w:sz w:val="32"/>
          <w:szCs w:val="32"/>
        </w:rPr>
      </w:pPr>
      <w:bookmarkStart w:id="5" w:name="_Toc216520197"/>
      <w:r>
        <w:rPr>
          <w:rFonts w:hint="eastAsia" w:ascii="仿宋_GB2312" w:eastAsia="仿宋_GB2312"/>
          <w:bCs/>
          <w:sz w:val="32"/>
          <w:szCs w:val="32"/>
        </w:rPr>
        <w:t>（一）本合同签订之日起10个工作日内甲方支付乙方合同总金额30%的款项（即人民币￥</w:t>
      </w:r>
      <w:r>
        <w:rPr>
          <w:rFonts w:hint="eastAsia" w:ascii="仿宋_GB2312" w:eastAsia="仿宋_GB2312"/>
          <w:bCs/>
          <w:sz w:val="32"/>
          <w:szCs w:val="32"/>
          <w:u w:val="single"/>
        </w:rPr>
        <w:t>XXX元</w:t>
      </w:r>
      <w:r>
        <w:rPr>
          <w:rFonts w:hint="eastAsia" w:ascii="仿宋_GB2312" w:eastAsia="仿宋_GB2312"/>
          <w:bCs/>
          <w:sz w:val="32"/>
          <w:szCs w:val="32"/>
        </w:rPr>
        <w:t>）。</w:t>
      </w:r>
    </w:p>
    <w:p>
      <w:pPr>
        <w:ind w:firstLine="640" w:firstLineChars="200"/>
        <w:rPr>
          <w:rFonts w:ascii="仿宋_GB2312" w:eastAsia="仿宋_GB2312"/>
          <w:bCs/>
          <w:sz w:val="32"/>
          <w:szCs w:val="32"/>
        </w:rPr>
      </w:pPr>
      <w:r>
        <w:rPr>
          <w:rFonts w:hint="eastAsia" w:ascii="仿宋_GB2312" w:eastAsia="仿宋_GB2312"/>
          <w:bCs/>
          <w:sz w:val="32"/>
          <w:szCs w:val="32"/>
        </w:rPr>
        <w:t>（二）完成2022年深圳市3A级以上景区视频监控系统升级维护</w:t>
      </w:r>
      <w:r>
        <w:rPr>
          <w:rFonts w:hint="eastAsia" w:ascii="仿宋_GB2312" w:hAnsi="宋体" w:eastAsia="仿宋_GB2312"/>
          <w:sz w:val="32"/>
          <w:szCs w:val="32"/>
        </w:rPr>
        <w:t>工作</w:t>
      </w:r>
      <w:r>
        <w:rPr>
          <w:rFonts w:hint="eastAsia" w:ascii="仿宋_GB2312" w:eastAsia="仿宋_GB2312"/>
          <w:bCs/>
          <w:sz w:val="32"/>
          <w:szCs w:val="32"/>
        </w:rPr>
        <w:t>并经甲方验收合格后10个工作日内甲方向乙方支付合同总金额70%的款项（即人民币￥</w:t>
      </w:r>
      <w:r>
        <w:rPr>
          <w:rFonts w:hint="eastAsia" w:ascii="仿宋_GB2312" w:eastAsia="仿宋_GB2312"/>
          <w:bCs/>
          <w:sz w:val="32"/>
          <w:szCs w:val="32"/>
          <w:u w:val="single"/>
        </w:rPr>
        <w:t>XXX元</w:t>
      </w:r>
      <w:r>
        <w:rPr>
          <w:rFonts w:hint="eastAsia" w:ascii="仿宋_GB2312" w:eastAsia="仿宋_GB2312"/>
          <w:bCs/>
          <w:sz w:val="32"/>
          <w:szCs w:val="32"/>
        </w:rPr>
        <w:t>）。</w:t>
      </w:r>
    </w:p>
    <w:p>
      <w:pPr>
        <w:ind w:firstLine="640" w:firstLineChars="200"/>
        <w:rPr>
          <w:rFonts w:ascii="仿宋_GB2312" w:eastAsia="仿宋_GB2312"/>
          <w:bCs/>
          <w:sz w:val="32"/>
          <w:szCs w:val="32"/>
        </w:rPr>
      </w:pPr>
      <w:r>
        <w:rPr>
          <w:rFonts w:hint="eastAsia" w:ascii="仿宋_GB2312" w:eastAsia="仿宋_GB2312"/>
          <w:bCs/>
          <w:sz w:val="32"/>
          <w:szCs w:val="32"/>
        </w:rPr>
        <w:t>甲方支付前乙方应出具等额有效发票，否则甲方有权延期付款。</w:t>
      </w:r>
    </w:p>
    <w:p>
      <w:pPr>
        <w:ind w:firstLine="640" w:firstLineChars="200"/>
        <w:rPr>
          <w:rFonts w:ascii="黑体" w:eastAsia="黑体"/>
          <w:sz w:val="32"/>
          <w:szCs w:val="32"/>
        </w:rPr>
      </w:pPr>
      <w:r>
        <w:rPr>
          <w:rFonts w:hint="eastAsia" w:ascii="黑体" w:eastAsia="黑体"/>
          <w:sz w:val="32"/>
          <w:szCs w:val="32"/>
        </w:rPr>
        <w:t>第六条 验收标准</w:t>
      </w:r>
    </w:p>
    <w:p>
      <w:pPr>
        <w:ind w:firstLine="640" w:firstLineChars="200"/>
        <w:rPr>
          <w:rFonts w:ascii="仿宋_GB2312" w:eastAsia="仿宋_GB2312"/>
          <w:sz w:val="32"/>
          <w:szCs w:val="32"/>
        </w:rPr>
      </w:pPr>
      <w:r>
        <w:rPr>
          <w:rFonts w:hint="eastAsia" w:ascii="仿宋_GB2312" w:eastAsia="仿宋_GB2312"/>
          <w:sz w:val="32"/>
          <w:szCs w:val="32"/>
        </w:rPr>
        <w:t>（一）在完成合同规定的升级维护工作后，由乙方提出验收申请；</w:t>
      </w:r>
    </w:p>
    <w:p>
      <w:pPr>
        <w:ind w:firstLine="640" w:firstLineChars="200"/>
        <w:rPr>
          <w:rFonts w:ascii="仿宋_GB2312" w:eastAsia="仿宋_GB2312"/>
          <w:sz w:val="32"/>
          <w:szCs w:val="32"/>
        </w:rPr>
      </w:pPr>
      <w:r>
        <w:rPr>
          <w:rFonts w:hint="eastAsia" w:ascii="仿宋_GB2312" w:eastAsia="仿宋_GB2312"/>
          <w:sz w:val="32"/>
          <w:szCs w:val="32"/>
        </w:rPr>
        <w:t>（二）项目通过验收后，甲乙双方在验收报告上签字确认。</w:t>
      </w:r>
    </w:p>
    <w:bookmarkEnd w:id="5"/>
    <w:p>
      <w:pPr>
        <w:ind w:firstLine="640" w:firstLineChars="200"/>
        <w:rPr>
          <w:rFonts w:ascii="黑体" w:eastAsia="黑体"/>
          <w:sz w:val="32"/>
          <w:szCs w:val="32"/>
        </w:rPr>
      </w:pPr>
      <w:bookmarkStart w:id="6" w:name="_Toc216520215"/>
      <w:bookmarkStart w:id="7" w:name="_Toc222110404"/>
      <w:r>
        <w:rPr>
          <w:rFonts w:hint="eastAsia" w:ascii="黑体" w:eastAsia="黑体"/>
          <w:sz w:val="32"/>
          <w:szCs w:val="32"/>
        </w:rPr>
        <w:t>第七条 所有权、知识产权和使用权</w:t>
      </w:r>
      <w:bookmarkEnd w:id="6"/>
      <w:bookmarkEnd w:id="7"/>
    </w:p>
    <w:p>
      <w:pPr>
        <w:ind w:firstLine="640" w:firstLineChars="200"/>
        <w:rPr>
          <w:rFonts w:ascii="仿宋_GB2312" w:eastAsia="仿宋_GB2312"/>
          <w:sz w:val="32"/>
          <w:szCs w:val="32"/>
        </w:rPr>
      </w:pPr>
      <w:bookmarkStart w:id="8" w:name="_Toc216520216"/>
      <w:r>
        <w:rPr>
          <w:rFonts w:hint="eastAsia" w:ascii="仿宋_GB2312" w:eastAsia="仿宋_GB2312"/>
          <w:sz w:val="32"/>
          <w:szCs w:val="32"/>
        </w:rPr>
        <w:t>（一）如果乙方依据本合同的规定，需对第三方的软件进行修改或升级，则乙方须保证其已经取得了第三方的合法授权</w:t>
      </w:r>
      <w:bookmarkEnd w:id="8"/>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（二）乙方保证其按照合同提供的设备和软件不会侵犯第三方的合法权益；</w:t>
      </w:r>
    </w:p>
    <w:p>
      <w:pPr>
        <w:ind w:firstLine="640" w:firstLineChars="200"/>
        <w:rPr>
          <w:rFonts w:ascii="仿宋_GB2312" w:eastAsia="仿宋_GB2312"/>
          <w:sz w:val="32"/>
          <w:szCs w:val="32"/>
        </w:rPr>
      </w:pPr>
      <w:bookmarkStart w:id="9" w:name="_Toc216520217"/>
      <w:bookmarkStart w:id="10" w:name="_Toc216520220"/>
      <w:r>
        <w:rPr>
          <w:rFonts w:hint="eastAsia" w:ascii="仿宋_GB2312" w:eastAsia="仿宋_GB2312"/>
          <w:sz w:val="32"/>
          <w:szCs w:val="32"/>
        </w:rPr>
        <w:t>（三）</w:t>
      </w:r>
      <w:bookmarkEnd w:id="9"/>
      <w:r>
        <w:rPr>
          <w:rFonts w:hint="eastAsia" w:ascii="仿宋_GB2312" w:eastAsia="仿宋_GB2312"/>
          <w:sz w:val="32"/>
          <w:szCs w:val="32"/>
        </w:rPr>
        <w:t>对于乙方提供的如果属于第三方的软件，乙方应将其与第三方对该软件使用约定的书面文件复印件提交给甲方，甲方应当依照该复印件中的约定依法使用。</w:t>
      </w:r>
      <w:bookmarkEnd w:id="10"/>
      <w:bookmarkStart w:id="11" w:name="_Toc216520212"/>
      <w:bookmarkStart w:id="12" w:name="_Toc222110403"/>
    </w:p>
    <w:bookmarkEnd w:id="11"/>
    <w:bookmarkEnd w:id="12"/>
    <w:p>
      <w:pPr>
        <w:ind w:firstLine="640" w:firstLineChars="200"/>
        <w:rPr>
          <w:rFonts w:ascii="黑体" w:eastAsia="黑体"/>
          <w:sz w:val="32"/>
          <w:szCs w:val="32"/>
        </w:rPr>
      </w:pPr>
      <w:bookmarkStart w:id="13" w:name="_Toc216520222"/>
      <w:bookmarkStart w:id="14" w:name="_Toc222110405"/>
      <w:r>
        <w:rPr>
          <w:rFonts w:hint="eastAsia" w:ascii="黑体" w:eastAsia="黑体"/>
          <w:sz w:val="32"/>
          <w:szCs w:val="32"/>
        </w:rPr>
        <w:t>第八条 保密</w:t>
      </w:r>
      <w:bookmarkEnd w:id="13"/>
      <w:bookmarkEnd w:id="14"/>
      <w:r>
        <w:rPr>
          <w:rFonts w:hint="eastAsia" w:ascii="黑体" w:eastAsia="黑体"/>
          <w:sz w:val="32"/>
          <w:szCs w:val="32"/>
        </w:rPr>
        <w:t>条款</w:t>
      </w:r>
    </w:p>
    <w:p>
      <w:pPr>
        <w:pStyle w:val="5"/>
        <w:keepNext w:val="0"/>
        <w:keepLines w:val="0"/>
        <w:spacing w:before="0" w:after="0" w:line="240" w:lineRule="auto"/>
        <w:ind w:firstLine="640" w:firstLineChars="200"/>
        <w:rPr>
          <w:rFonts w:ascii="仿宋_GB2312" w:hAnsi="Times New Roman" w:eastAsia="仿宋_GB2312"/>
          <w:b w:val="0"/>
          <w:bCs w:val="0"/>
        </w:rPr>
      </w:pPr>
      <w:bookmarkStart w:id="15" w:name="_Toc216520223"/>
      <w:r>
        <w:rPr>
          <w:rFonts w:hint="eastAsia" w:ascii="仿宋_GB2312" w:hAnsi="Times New Roman" w:eastAsia="仿宋_GB2312"/>
          <w:b w:val="0"/>
          <w:bCs w:val="0"/>
        </w:rPr>
        <w:t>（一）甲乙双方应保守的秘密是指不为公众所知悉、能为权利人带来经济利益、具有实用性并经权利人采取保密措施的技术信息和经营信息，或由甲乙双方在履行本合同过程中明确指明为秘密的、法律所认可的任何信息</w:t>
      </w:r>
      <w:bookmarkEnd w:id="15"/>
      <w:r>
        <w:rPr>
          <w:rFonts w:hint="eastAsia" w:ascii="仿宋_GB2312" w:hAnsi="Times New Roman" w:eastAsia="仿宋_GB2312"/>
          <w:b w:val="0"/>
          <w:bCs w:val="0"/>
        </w:rPr>
        <w:t>；</w:t>
      </w:r>
    </w:p>
    <w:p>
      <w:pPr>
        <w:pStyle w:val="5"/>
        <w:keepNext w:val="0"/>
        <w:keepLines w:val="0"/>
        <w:spacing w:before="0" w:after="0" w:line="240" w:lineRule="auto"/>
        <w:ind w:firstLine="640" w:firstLineChars="200"/>
        <w:rPr>
          <w:rFonts w:ascii="仿宋_GB2312" w:hAnsi="Times New Roman" w:eastAsia="仿宋_GB2312"/>
          <w:b w:val="0"/>
          <w:bCs w:val="0"/>
        </w:rPr>
      </w:pPr>
      <w:bookmarkStart w:id="16" w:name="_Toc216520224"/>
      <w:r>
        <w:rPr>
          <w:rFonts w:hint="eastAsia" w:ascii="仿宋_GB2312" w:hAnsi="Times New Roman" w:eastAsia="仿宋_GB2312"/>
          <w:b w:val="0"/>
          <w:bCs w:val="0"/>
        </w:rPr>
        <w:t>（二）获取对方秘密的一方仅可以将该秘密用于履行其在本合同项下的义务，且只能由相关的工程技术人员使用</w:t>
      </w:r>
      <w:bookmarkEnd w:id="16"/>
      <w:r>
        <w:rPr>
          <w:rFonts w:hint="eastAsia" w:ascii="仿宋_GB2312" w:hAnsi="Times New Roman" w:eastAsia="仿宋_GB2312"/>
          <w:b w:val="0"/>
          <w:bCs w:val="0"/>
        </w:rPr>
        <w:t>；</w:t>
      </w:r>
    </w:p>
    <w:p>
      <w:pPr>
        <w:pStyle w:val="5"/>
        <w:keepNext w:val="0"/>
        <w:keepLines w:val="0"/>
        <w:spacing w:before="0" w:after="0" w:line="240" w:lineRule="auto"/>
        <w:ind w:firstLine="640" w:firstLineChars="200"/>
        <w:rPr>
          <w:rFonts w:ascii="仿宋_GB2312" w:hAnsi="Times New Roman" w:eastAsia="仿宋_GB2312"/>
          <w:b w:val="0"/>
          <w:bCs w:val="0"/>
        </w:rPr>
      </w:pPr>
      <w:bookmarkStart w:id="17" w:name="_Toc216520225"/>
      <w:r>
        <w:rPr>
          <w:rFonts w:hint="eastAsia" w:ascii="仿宋_GB2312" w:hAnsi="Times New Roman" w:eastAsia="仿宋_GB2312"/>
          <w:b w:val="0"/>
          <w:bCs w:val="0"/>
        </w:rPr>
        <w:t>（三）获取对方秘密的一方应当采取有效的保护方式防止秘密未经授权而被使用、传播或公开</w:t>
      </w:r>
      <w:bookmarkEnd w:id="17"/>
      <w:r>
        <w:rPr>
          <w:rFonts w:hint="eastAsia" w:ascii="仿宋_GB2312" w:hAnsi="Times New Roman" w:eastAsia="仿宋_GB2312"/>
          <w:b w:val="0"/>
          <w:bCs w:val="0"/>
        </w:rPr>
        <w:t>；</w:t>
      </w:r>
    </w:p>
    <w:p>
      <w:pPr>
        <w:pStyle w:val="5"/>
        <w:keepNext w:val="0"/>
        <w:keepLines w:val="0"/>
        <w:spacing w:before="0" w:after="0" w:line="240" w:lineRule="auto"/>
        <w:ind w:firstLine="640" w:firstLineChars="200"/>
        <w:rPr>
          <w:rFonts w:ascii="仿宋_GB2312" w:hAnsi="Times New Roman" w:eastAsia="仿宋_GB2312"/>
          <w:b w:val="0"/>
          <w:bCs w:val="0"/>
        </w:rPr>
      </w:pPr>
      <w:bookmarkStart w:id="18" w:name="_Toc216520226"/>
      <w:r>
        <w:rPr>
          <w:rFonts w:hint="eastAsia" w:ascii="仿宋_GB2312" w:hAnsi="Times New Roman" w:eastAsia="仿宋_GB2312"/>
          <w:b w:val="0"/>
          <w:bCs w:val="0"/>
        </w:rPr>
        <w:t>（四）上述保密义务不适用以下情况：</w:t>
      </w:r>
      <w:bookmarkEnd w:id="18"/>
    </w:p>
    <w:p>
      <w:pPr>
        <w:pStyle w:val="5"/>
        <w:keepNext w:val="0"/>
        <w:keepLines w:val="0"/>
        <w:numPr>
          <w:ilvl w:val="0"/>
          <w:numId w:val="5"/>
        </w:numPr>
        <w:spacing w:before="0" w:after="0" w:line="240" w:lineRule="auto"/>
        <w:rPr>
          <w:rFonts w:ascii="仿宋_GB2312" w:hAnsi="Times New Roman" w:eastAsia="仿宋_GB2312"/>
          <w:b w:val="0"/>
          <w:bCs w:val="0"/>
        </w:rPr>
      </w:pPr>
      <w:r>
        <w:rPr>
          <w:rFonts w:hint="eastAsia" w:ascii="仿宋_GB2312" w:hAnsi="Times New Roman" w:eastAsia="仿宋_GB2312"/>
          <w:b w:val="0"/>
          <w:bCs w:val="0"/>
        </w:rPr>
        <w:t>获取的信息已被合法公开；</w:t>
      </w:r>
    </w:p>
    <w:p>
      <w:pPr>
        <w:pStyle w:val="5"/>
        <w:keepNext w:val="0"/>
        <w:keepLines w:val="0"/>
        <w:numPr>
          <w:ilvl w:val="0"/>
          <w:numId w:val="5"/>
        </w:numPr>
        <w:spacing w:before="0" w:after="0" w:line="240" w:lineRule="auto"/>
        <w:rPr>
          <w:rFonts w:ascii="仿宋_GB2312" w:hAnsi="Times New Roman" w:eastAsia="仿宋_GB2312"/>
          <w:b w:val="0"/>
          <w:bCs w:val="0"/>
        </w:rPr>
      </w:pPr>
      <w:r>
        <w:rPr>
          <w:rFonts w:hint="eastAsia" w:ascii="仿宋_GB2312" w:hAnsi="Times New Roman" w:eastAsia="仿宋_GB2312"/>
          <w:b w:val="0"/>
          <w:bCs w:val="0"/>
        </w:rPr>
        <w:t>获得信息拥有书面许可；</w:t>
      </w:r>
    </w:p>
    <w:p>
      <w:pPr>
        <w:pStyle w:val="5"/>
        <w:keepNext w:val="0"/>
        <w:keepLines w:val="0"/>
        <w:numPr>
          <w:ilvl w:val="0"/>
          <w:numId w:val="5"/>
        </w:numPr>
        <w:spacing w:before="0" w:after="0" w:line="240" w:lineRule="auto"/>
        <w:rPr>
          <w:rFonts w:ascii="仿宋_GB2312" w:hAnsi="Times New Roman" w:eastAsia="仿宋_GB2312"/>
          <w:b w:val="0"/>
          <w:bCs w:val="0"/>
        </w:rPr>
      </w:pPr>
      <w:r>
        <w:rPr>
          <w:rFonts w:hint="eastAsia" w:ascii="仿宋_GB2312" w:hAnsi="Times New Roman" w:eastAsia="仿宋_GB2312"/>
          <w:b w:val="0"/>
          <w:bCs w:val="0"/>
        </w:rPr>
        <w:t>国家法律、法规规定的情形。</w:t>
      </w:r>
    </w:p>
    <w:p>
      <w:pPr>
        <w:pStyle w:val="5"/>
        <w:keepNext w:val="0"/>
        <w:keepLines w:val="0"/>
        <w:spacing w:before="0" w:after="0" w:line="240" w:lineRule="auto"/>
        <w:ind w:firstLine="640" w:firstLineChars="200"/>
        <w:rPr>
          <w:rFonts w:ascii="仿宋_GB2312" w:hAnsi="Times New Roman" w:eastAsia="仿宋_GB2312"/>
          <w:b w:val="0"/>
          <w:bCs w:val="0"/>
        </w:rPr>
      </w:pPr>
      <w:bookmarkStart w:id="19" w:name="_Toc216520227"/>
      <w:r>
        <w:rPr>
          <w:rFonts w:hint="eastAsia" w:ascii="仿宋_GB2312" w:hAnsi="Times New Roman" w:eastAsia="仿宋_GB2312"/>
          <w:b w:val="0"/>
          <w:bCs w:val="0"/>
        </w:rPr>
        <w:t>（五）乙方实施项目的程序应符合国家安全、保密的有关规定和标准；</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（六）双方同意签订保密协议以保障上述保密条款所规定义务的有效履行</w:t>
      </w:r>
      <w:bookmarkEnd w:id="19"/>
      <w:bookmarkStart w:id="20" w:name="_Toc216520228"/>
      <w:r>
        <w:rPr>
          <w:rFonts w:hint="eastAsia" w:ascii="仿宋_GB2312" w:hAnsi="Times New Roman" w:eastAsia="仿宋_GB2312"/>
          <w:b w:val="0"/>
          <w:bCs w:val="0"/>
        </w:rPr>
        <w:t>。</w:t>
      </w:r>
      <w:bookmarkEnd w:id="20"/>
    </w:p>
    <w:p>
      <w:pPr>
        <w:ind w:firstLine="640" w:firstLineChars="200"/>
        <w:rPr>
          <w:rFonts w:ascii="黑体" w:eastAsia="黑体"/>
          <w:sz w:val="32"/>
          <w:szCs w:val="32"/>
        </w:rPr>
      </w:pPr>
      <w:bookmarkStart w:id="21" w:name="_Toc216520229"/>
      <w:bookmarkStart w:id="22" w:name="_Toc222110406"/>
      <w:r>
        <w:rPr>
          <w:rFonts w:hint="eastAsia" w:ascii="黑体" w:eastAsia="黑体"/>
          <w:sz w:val="32"/>
          <w:szCs w:val="32"/>
        </w:rPr>
        <w:t>第九条 违约责任</w:t>
      </w:r>
    </w:p>
    <w:p>
      <w:pPr>
        <w:widowControl/>
        <w:spacing w:before="90" w:after="90" w:line="560" w:lineRule="exact"/>
        <w:ind w:firstLine="640" w:firstLineChars="200"/>
        <w:jc w:val="left"/>
        <w:rPr>
          <w:rFonts w:ascii="仿宋_GB2312" w:eastAsia="仿宋_GB2312"/>
          <w:sz w:val="32"/>
          <w:szCs w:val="32"/>
        </w:rPr>
      </w:pPr>
      <w:r>
        <w:rPr>
          <w:rFonts w:hint="eastAsia" w:ascii="仿宋_GB2312" w:eastAsia="仿宋_GB2312"/>
          <w:sz w:val="32"/>
          <w:szCs w:val="32"/>
        </w:rPr>
        <w:t>（一）违反本合同约定，违约方应当按合同法有关规定，承担违约责任；</w:t>
      </w:r>
    </w:p>
    <w:p>
      <w:pPr>
        <w:widowControl/>
        <w:spacing w:before="90" w:after="90" w:line="560" w:lineRule="exact"/>
        <w:ind w:firstLine="640" w:firstLineChars="200"/>
        <w:jc w:val="left"/>
        <w:rPr>
          <w:rFonts w:ascii="仿宋_GB2312" w:eastAsia="仿宋_GB2312"/>
          <w:sz w:val="32"/>
          <w:szCs w:val="32"/>
        </w:rPr>
      </w:pPr>
      <w:r>
        <w:rPr>
          <w:rFonts w:hint="eastAsia" w:ascii="仿宋_GB2312" w:eastAsia="仿宋_GB2312"/>
          <w:sz w:val="32"/>
          <w:szCs w:val="32"/>
        </w:rPr>
        <w:t>（二）若甲方未按约定向乙方汇付所有费用的，赔偿乙方损失；</w:t>
      </w:r>
    </w:p>
    <w:p>
      <w:pPr>
        <w:widowControl/>
        <w:spacing w:before="90" w:after="90" w:line="560" w:lineRule="exact"/>
        <w:ind w:firstLine="640" w:firstLineChars="200"/>
        <w:jc w:val="left"/>
        <w:rPr>
          <w:rFonts w:ascii="仿宋_GB2312" w:eastAsia="仿宋_GB2312"/>
          <w:sz w:val="32"/>
          <w:szCs w:val="32"/>
        </w:rPr>
      </w:pPr>
      <w:r>
        <w:rPr>
          <w:rFonts w:hint="eastAsia" w:ascii="仿宋_GB2312" w:eastAsia="仿宋_GB2312"/>
          <w:sz w:val="32"/>
          <w:szCs w:val="32"/>
        </w:rPr>
        <w:t>（三）若乙方原因导致甲方活动无法按计划进行，赔偿甲方损失。乙方逾期完成服务的，每逾期一日应向甲方支付违约金</w:t>
      </w:r>
      <w:r>
        <w:rPr>
          <w:rFonts w:hint="eastAsia" w:ascii="仿宋_GB2312" w:eastAsia="仿宋_GB2312"/>
          <w:sz w:val="32"/>
          <w:szCs w:val="32"/>
          <w:u w:val="single"/>
        </w:rPr>
        <w:t>2000</w:t>
      </w:r>
      <w:r>
        <w:rPr>
          <w:rFonts w:hint="eastAsia" w:ascii="仿宋_GB2312" w:eastAsia="仿宋_GB2312"/>
          <w:sz w:val="32"/>
          <w:szCs w:val="32"/>
        </w:rPr>
        <w:t>元；服务验收不合格，乙方应及时整改，并向甲方支付违约金</w:t>
      </w:r>
      <w:r>
        <w:rPr>
          <w:rFonts w:hint="eastAsia" w:ascii="仿宋_GB2312" w:eastAsia="仿宋_GB2312"/>
          <w:sz w:val="32"/>
          <w:szCs w:val="32"/>
          <w:u w:val="single"/>
        </w:rPr>
        <w:t>10000</w:t>
      </w:r>
      <w:r>
        <w:rPr>
          <w:rFonts w:hint="eastAsia" w:ascii="仿宋_GB2312" w:eastAsia="仿宋_GB2312"/>
          <w:sz w:val="32"/>
          <w:szCs w:val="32"/>
        </w:rPr>
        <w:t>元。</w:t>
      </w:r>
    </w:p>
    <w:p>
      <w:pPr>
        <w:ind w:firstLine="640" w:firstLineChars="200"/>
        <w:rPr>
          <w:rFonts w:ascii="黑体" w:eastAsia="黑体"/>
          <w:sz w:val="32"/>
          <w:szCs w:val="32"/>
        </w:rPr>
      </w:pPr>
      <w:r>
        <w:rPr>
          <w:rFonts w:hint="eastAsia" w:ascii="黑体" w:eastAsia="黑体"/>
          <w:sz w:val="32"/>
          <w:szCs w:val="32"/>
        </w:rPr>
        <w:t>第十条 争议解决</w:t>
      </w:r>
      <w:bookmarkEnd w:id="21"/>
      <w:bookmarkEnd w:id="22"/>
    </w:p>
    <w:p>
      <w:pPr>
        <w:pStyle w:val="5"/>
        <w:keepNext w:val="0"/>
        <w:keepLines w:val="0"/>
        <w:spacing w:before="0" w:after="0" w:line="240" w:lineRule="auto"/>
        <w:ind w:firstLine="640" w:firstLineChars="200"/>
        <w:rPr>
          <w:rFonts w:ascii="仿宋_GB2312" w:hAnsi="Times New Roman" w:eastAsia="仿宋_GB2312"/>
          <w:b w:val="0"/>
          <w:bCs w:val="0"/>
        </w:rPr>
      </w:pPr>
      <w:bookmarkStart w:id="23" w:name="_Toc216520213"/>
      <w:r>
        <w:rPr>
          <w:rFonts w:hint="eastAsia" w:ascii="仿宋_GB2312" w:hAnsi="Times New Roman" w:eastAsia="仿宋_GB2312"/>
          <w:b w:val="0"/>
          <w:bCs w:val="0"/>
        </w:rPr>
        <w:t>（一）</w:t>
      </w:r>
      <w:bookmarkEnd w:id="23"/>
      <w:r>
        <w:rPr>
          <w:rFonts w:hint="eastAsia" w:ascii="仿宋_GB2312" w:hAnsi="Times New Roman" w:eastAsia="仿宋_GB2312"/>
          <w:b w:val="0"/>
          <w:bCs w:val="0"/>
        </w:rPr>
        <w:t>因本合同引起的一切争议，双方首先应当友好协商解决，协商不成，可向甲方所在地法院起诉。</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（二）由于不可抗力，造成本合同不能正常履行，则由合同双方协商决定是否继续履行合同。</w:t>
      </w:r>
      <w:bookmarkStart w:id="24" w:name="_Toc216520234"/>
      <w:bookmarkStart w:id="25" w:name="_Toc222110407"/>
    </w:p>
    <w:p>
      <w:pPr>
        <w:ind w:firstLine="640" w:firstLineChars="200"/>
      </w:pPr>
      <w:r>
        <w:rPr>
          <w:rFonts w:hint="eastAsia" w:ascii="仿宋_GB2312" w:eastAsia="仿宋_GB2312"/>
          <w:sz w:val="32"/>
          <w:szCs w:val="32"/>
        </w:rPr>
        <w:t>（三）因乙方违约导致甲方因维权产生的费用，包括但不限于律师费、公证费、差旅费、办案费、诉讼费、保全费、担保费等均由乙方承担。</w:t>
      </w:r>
    </w:p>
    <w:bookmarkEnd w:id="24"/>
    <w:bookmarkEnd w:id="25"/>
    <w:p>
      <w:pPr>
        <w:ind w:firstLine="640" w:firstLineChars="200"/>
        <w:rPr>
          <w:rFonts w:ascii="黑体" w:eastAsia="黑体"/>
          <w:sz w:val="32"/>
          <w:szCs w:val="32"/>
        </w:rPr>
      </w:pPr>
      <w:bookmarkStart w:id="26" w:name="_Toc216520236"/>
      <w:r>
        <w:rPr>
          <w:rFonts w:hint="eastAsia" w:ascii="黑体" w:eastAsia="黑体"/>
          <w:sz w:val="32"/>
          <w:szCs w:val="32"/>
        </w:rPr>
        <w:t>第十一条 生效及其他事项</w:t>
      </w:r>
    </w:p>
    <w:p>
      <w:pPr>
        <w:pStyle w:val="5"/>
        <w:keepNext w:val="0"/>
        <w:keepLines w:val="0"/>
        <w:spacing w:before="0" w:after="0" w:line="240" w:lineRule="auto"/>
        <w:ind w:firstLine="640" w:firstLineChars="200"/>
        <w:rPr>
          <w:rFonts w:ascii="仿宋_GB2312" w:hAnsi="Times New Roman" w:eastAsia="仿宋_GB2312"/>
          <w:b w:val="0"/>
          <w:bCs w:val="0"/>
        </w:rPr>
      </w:pPr>
      <w:r>
        <w:rPr>
          <w:rFonts w:hint="eastAsia" w:ascii="仿宋_GB2312" w:hAnsi="Times New Roman" w:eastAsia="仿宋_GB2312"/>
          <w:b w:val="0"/>
          <w:bCs w:val="0"/>
        </w:rPr>
        <w:t>（一）本合同经甲乙双方法定代表人或授权代表签字、盖章后立即生效。一式陆份，双方各执叁份，具有同等法律效力。</w:t>
      </w:r>
    </w:p>
    <w:bookmarkEnd w:id="26"/>
    <w:p>
      <w:pPr>
        <w:pStyle w:val="5"/>
        <w:keepNext w:val="0"/>
        <w:keepLines w:val="0"/>
        <w:spacing w:before="0" w:after="0" w:line="240" w:lineRule="auto"/>
        <w:ind w:firstLine="640" w:firstLineChars="200"/>
        <w:rPr>
          <w:rFonts w:ascii="仿宋_GB2312" w:hAnsi="Times New Roman" w:eastAsia="仿宋_GB2312"/>
          <w:b w:val="0"/>
          <w:bCs w:val="0"/>
        </w:rPr>
      </w:pPr>
      <w:bookmarkStart w:id="27" w:name="_Toc216520237"/>
      <w:r>
        <w:rPr>
          <w:rFonts w:hint="eastAsia" w:ascii="仿宋_GB2312" w:hAnsi="Times New Roman" w:eastAsia="仿宋_GB2312"/>
          <w:b w:val="0"/>
          <w:bCs w:val="0"/>
        </w:rPr>
        <w:t>（二）本合同所有附件为本合同的不可分割部分，所涉及的内容与本合同具有同等法律效力</w:t>
      </w:r>
      <w:bookmarkEnd w:id="27"/>
      <w:r>
        <w:rPr>
          <w:rFonts w:hint="eastAsia" w:ascii="仿宋_GB2312" w:hAnsi="Times New Roman" w:eastAsia="仿宋_GB2312"/>
          <w:b w:val="0"/>
          <w:bCs w:val="0"/>
        </w:rPr>
        <w:t>。</w:t>
      </w:r>
      <w:bookmarkStart w:id="28" w:name="_Toc216520238"/>
      <w:r>
        <w:rPr>
          <w:rFonts w:hint="eastAsia" w:ascii="仿宋_GB2312" w:hAnsi="Times New Roman" w:eastAsia="仿宋_GB2312"/>
          <w:b w:val="0"/>
          <w:bCs w:val="0"/>
        </w:rPr>
        <w:t>本项目招标文件、乙方投标文件均为本合同组成部分。</w:t>
      </w:r>
      <w:bookmarkEnd w:id="28"/>
    </w:p>
    <w:p/>
    <w:p>
      <w:pPr>
        <w:ind w:firstLine="640" w:firstLineChars="200"/>
        <w:rPr>
          <w:rFonts w:ascii="仿宋_GB2312" w:eastAsia="仿宋_GB2312"/>
          <w:sz w:val="32"/>
          <w:szCs w:val="32"/>
        </w:rPr>
      </w:pPr>
      <w:r>
        <w:rPr>
          <w:rFonts w:hint="eastAsia" w:ascii="仿宋_GB2312" w:eastAsia="仿宋_GB2312"/>
          <w:sz w:val="32"/>
          <w:szCs w:val="32"/>
        </w:rPr>
        <w:t>附件：保密协议</w:t>
      </w:r>
    </w:p>
    <w:p>
      <w:pPr>
        <w:rPr>
          <w:rFonts w:ascii="仿宋_GB2312" w:eastAsia="仿宋_GB2312"/>
          <w:sz w:val="32"/>
          <w:szCs w:val="32"/>
        </w:rPr>
      </w:pP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甲方（盖章）： 深圳市广播电视技术中心 </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甲方代表签字:</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签字日期：    年   月   日</w:t>
      </w:r>
    </w:p>
    <w:p>
      <w:pPr>
        <w:spacing w:line="360" w:lineRule="auto"/>
        <w:ind w:firstLine="643" w:firstLineChars="200"/>
        <w:rPr>
          <w:rFonts w:ascii="仿宋" w:hAnsi="仿宋" w:eastAsia="仿宋"/>
          <w:b/>
          <w:bCs/>
          <w:sz w:val="32"/>
          <w:szCs w:val="32"/>
        </w:rPr>
      </w:pP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乙方（盖章）： </w:t>
      </w:r>
    </w:p>
    <w:p>
      <w:pPr>
        <w:spacing w:line="360" w:lineRule="auto"/>
        <w:rPr>
          <w:rFonts w:ascii="仿宋" w:hAnsi="仿宋" w:eastAsia="仿宋"/>
          <w:b/>
          <w:bCs/>
          <w:sz w:val="32"/>
          <w:szCs w:val="32"/>
        </w:rPr>
      </w:pPr>
      <w:r>
        <w:rPr>
          <w:rFonts w:hint="eastAsia" w:ascii="仿宋" w:hAnsi="仿宋" w:eastAsia="仿宋"/>
          <w:b/>
          <w:bCs/>
          <w:sz w:val="32"/>
          <w:szCs w:val="32"/>
        </w:rPr>
        <w:t xml:space="preserve">    乙方代表签字:</w:t>
      </w:r>
    </w:p>
    <w:p>
      <w:pPr>
        <w:spacing w:line="360" w:lineRule="auto"/>
        <w:ind w:firstLine="643" w:firstLineChars="200"/>
        <w:rPr>
          <w:rFonts w:ascii="仿宋" w:hAnsi="仿宋" w:eastAsia="仿宋" w:cs="仿宋"/>
          <w:b/>
          <w:sz w:val="28"/>
          <w:szCs w:val="28"/>
        </w:rPr>
      </w:pPr>
      <w:r>
        <w:rPr>
          <w:rFonts w:hint="eastAsia" w:ascii="仿宋" w:hAnsi="仿宋" w:eastAsia="仿宋"/>
          <w:b/>
          <w:bCs/>
          <w:sz w:val="32"/>
          <w:szCs w:val="32"/>
        </w:rPr>
        <w:t>签字日期：    年   月    日</w:t>
      </w:r>
      <w:r>
        <w:rPr>
          <w:rFonts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第七部分  投标文件格式</w:t>
      </w:r>
    </w:p>
    <w:p>
      <w:pPr>
        <w:spacing w:line="360" w:lineRule="auto"/>
        <w:ind w:firstLine="420" w:firstLineChars="200"/>
        <w:rPr>
          <w:rFonts w:ascii="仿宋" w:hAnsi="仿宋" w:eastAsia="仿宋" w:cs="仿宋"/>
          <w:szCs w:val="21"/>
        </w:rPr>
      </w:pPr>
    </w:p>
    <w:p>
      <w:pPr>
        <w:spacing w:line="360" w:lineRule="auto"/>
        <w:ind w:firstLine="420" w:firstLineChars="200"/>
        <w:rPr>
          <w:rFonts w:ascii="仿宋" w:hAnsi="仿宋" w:eastAsia="仿宋" w:cs="仿宋"/>
          <w:szCs w:val="21"/>
        </w:rPr>
      </w:pPr>
    </w:p>
    <w:p>
      <w:pPr>
        <w:rPr>
          <w:rFonts w:ascii="仿宋" w:hAnsi="仿宋" w:eastAsia="仿宋" w:cs="仿宋"/>
          <w:b/>
          <w:color w:val="000000"/>
          <w:sz w:val="24"/>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pStyle w:val="13"/>
        <w:tabs>
          <w:tab w:val="left" w:pos="1260"/>
        </w:tabs>
        <w:spacing w:line="360" w:lineRule="auto"/>
        <w:jc w:val="center"/>
        <w:rPr>
          <w:rFonts w:ascii="仿宋" w:hAnsi="仿宋" w:eastAsia="仿宋" w:cs="仿宋"/>
          <w:b/>
          <w:color w:val="000000"/>
          <w:spacing w:val="100"/>
          <w:w w:val="110"/>
          <w:kern w:val="0"/>
          <w:sz w:val="44"/>
          <w:szCs w:val="44"/>
        </w:rPr>
      </w:pPr>
    </w:p>
    <w:p>
      <w:pPr>
        <w:pStyle w:val="13"/>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13"/>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13"/>
        <w:spacing w:line="360" w:lineRule="auto"/>
        <w:rPr>
          <w:rFonts w:ascii="仿宋" w:hAnsi="仿宋" w:eastAsia="仿宋" w:cs="仿宋"/>
          <w:b/>
          <w:color w:val="000000"/>
          <w:sz w:val="28"/>
          <w:szCs w:val="28"/>
        </w:rPr>
      </w:pPr>
    </w:p>
    <w:p>
      <w:pPr>
        <w:pStyle w:val="13"/>
        <w:spacing w:line="360" w:lineRule="auto"/>
        <w:rPr>
          <w:rFonts w:ascii="仿宋" w:hAnsi="仿宋" w:eastAsia="仿宋" w:cs="仿宋"/>
          <w:b/>
          <w:color w:val="000000"/>
          <w:sz w:val="28"/>
          <w:szCs w:val="28"/>
        </w:rPr>
      </w:pPr>
    </w:p>
    <w:p>
      <w:pPr>
        <w:pStyle w:val="13"/>
        <w:spacing w:line="360" w:lineRule="auto"/>
        <w:rPr>
          <w:rFonts w:ascii="仿宋" w:hAnsi="仿宋" w:eastAsia="仿宋" w:cs="仿宋"/>
          <w:b/>
          <w:color w:val="000000"/>
          <w:sz w:val="28"/>
          <w:szCs w:val="28"/>
        </w:rPr>
      </w:pPr>
    </w:p>
    <w:p>
      <w:pPr>
        <w:pStyle w:val="13"/>
        <w:spacing w:line="360" w:lineRule="auto"/>
        <w:rPr>
          <w:rFonts w:ascii="仿宋" w:hAnsi="仿宋" w:eastAsia="仿宋" w:cs="仿宋"/>
          <w:b/>
          <w:color w:val="000000"/>
          <w:sz w:val="28"/>
          <w:szCs w:val="28"/>
        </w:rPr>
      </w:pPr>
    </w:p>
    <w:p>
      <w:pPr>
        <w:pStyle w:val="13"/>
        <w:spacing w:line="360" w:lineRule="auto"/>
        <w:ind w:firstLine="1661" w:firstLineChars="591"/>
        <w:rPr>
          <w:rFonts w:ascii="仿宋" w:hAnsi="仿宋" w:eastAsia="仿宋" w:cs="仿宋"/>
          <w:b/>
          <w:color w:val="000000"/>
          <w:sz w:val="28"/>
          <w:szCs w:val="28"/>
        </w:rPr>
      </w:pPr>
    </w:p>
    <w:p>
      <w:pPr>
        <w:pStyle w:val="13"/>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13"/>
        <w:spacing w:line="360" w:lineRule="auto"/>
        <w:ind w:firstLine="1521" w:firstLineChars="541"/>
        <w:rPr>
          <w:rFonts w:ascii="仿宋" w:hAnsi="仿宋" w:eastAsia="仿宋" w:cs="仿宋"/>
          <w:b/>
          <w:color w:val="000000"/>
          <w:sz w:val="28"/>
          <w:szCs w:val="28"/>
        </w:rPr>
      </w:pPr>
    </w:p>
    <w:p>
      <w:pPr>
        <w:pStyle w:val="13"/>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spacing w:line="360" w:lineRule="auto"/>
        <w:ind w:firstLine="570"/>
        <w:rPr>
          <w:rFonts w:ascii="仿宋" w:hAnsi="仿宋" w:eastAsia="仿宋" w:cs="仿宋"/>
          <w:color w:val="000000"/>
          <w:sz w:val="28"/>
          <w:szCs w:val="28"/>
        </w:rPr>
      </w:pPr>
    </w:p>
    <w:p>
      <w:pPr>
        <w:spacing w:line="360" w:lineRule="auto"/>
        <w:ind w:firstLine="570"/>
        <w:rPr>
          <w:rFonts w:ascii="仿宋" w:hAnsi="仿宋" w:eastAsia="仿宋" w:cs="仿宋"/>
          <w:color w:val="000000"/>
          <w:sz w:val="28"/>
          <w:szCs w:val="28"/>
        </w:rPr>
      </w:pPr>
    </w:p>
    <w:p>
      <w:pPr>
        <w:jc w:val="center"/>
        <w:rPr>
          <w:rFonts w:ascii="仿宋" w:hAnsi="仿宋" w:eastAsia="仿宋" w:cs="仿宋"/>
          <w:b/>
          <w:bCs/>
          <w:color w:val="000000"/>
          <w:sz w:val="28"/>
          <w:szCs w:val="28"/>
        </w:rPr>
      </w:pPr>
      <w:bookmarkStart w:id="29" w:name="_Toc289519366"/>
      <w:r>
        <w:rPr>
          <w:rFonts w:hint="eastAsia" w:ascii="仿宋" w:hAnsi="仿宋" w:eastAsia="仿宋" w:cs="仿宋"/>
          <w:bCs/>
          <w:color w:val="000000"/>
          <w:sz w:val="24"/>
        </w:rPr>
        <w:br w:type="page"/>
      </w:r>
      <w:bookmarkEnd w:id="29"/>
      <w:bookmarkStart w:id="30" w:name="OLE_LINK6"/>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b/>
          <w:color w:val="000000"/>
          <w:kern w:val="0"/>
          <w:sz w:val="28"/>
          <w:szCs w:val="28"/>
        </w:rPr>
        <w:t>1、投标函</w:t>
      </w:r>
      <w:bookmarkEnd w:id="30"/>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color w:val="000000"/>
          <w:kern w:val="0"/>
          <w:sz w:val="22"/>
          <w:szCs w:val="22"/>
          <w:u w:val="single"/>
        </w:rPr>
        <w:t>2022年深圳市3A级以上景区视频监控系统升级</w:t>
      </w:r>
      <w:r>
        <w:rPr>
          <w:rFonts w:hint="eastAsia" w:ascii="仿宋" w:hAnsi="仿宋" w:eastAsia="仿宋" w:cs="仿宋"/>
          <w:color w:val="000000"/>
          <w:kern w:val="0"/>
          <w:sz w:val="22"/>
          <w:szCs w:val="22"/>
        </w:rPr>
        <w:t>的采购服务的投标要求，我方代表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。为此，我方谨郑重声明以下诸点，并对之负法律责任。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 我方愿以《开标一览表》中填写的投标总价并按照招标文件中的一切要求，承担上述项目的全部工作。</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6.我方完全服从和尊重评委会所作的评定结果，我们清楚理解最低报价不是中标的唯一条件。我们认为你们有选择或拒绝任何投标者中标的权利。</w:t>
      </w:r>
    </w:p>
    <w:p>
      <w:pPr>
        <w:pStyle w:val="2"/>
        <w:ind w:firstLine="440" w:firstLineChars="200"/>
        <w:rPr>
          <w:rFonts w:ascii="仿宋" w:hAnsi="仿宋" w:eastAsia="仿宋" w:cs="仿宋"/>
          <w:color w:val="000000"/>
          <w:sz w:val="22"/>
        </w:rPr>
      </w:pPr>
      <w:r>
        <w:rPr>
          <w:rFonts w:hint="eastAsia" w:ascii="仿宋" w:hAnsi="仿宋" w:eastAsia="仿宋" w:cs="仿宋"/>
          <w:color w:val="000000"/>
          <w:sz w:val="22"/>
        </w:rPr>
        <w:t>7.我方愿按《中华人民共和国民法典》履行自己的全部责任。</w:t>
      </w:r>
    </w:p>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u w:val="single"/>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邮编：</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联系人：</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pStyle w:val="2"/>
      </w:pPr>
    </w:p>
    <w:p>
      <w:pPr>
        <w:autoSpaceDE w:val="0"/>
        <w:autoSpaceDN w:val="0"/>
        <w:adjustRightInd w:val="0"/>
        <w:spacing w:line="360" w:lineRule="auto"/>
        <w:ind w:right="246" w:firstLine="220" w:firstLineChars="100"/>
        <w:jc w:val="right"/>
        <w:rPr>
          <w:rFonts w:ascii="仿宋" w:hAnsi="仿宋" w:eastAsia="仿宋" w:cs="仿宋"/>
          <w:color w:val="000000"/>
          <w:sz w:val="22"/>
          <w:szCs w:val="22"/>
          <w:u w:val="single"/>
        </w:rPr>
      </w:pPr>
      <w:r>
        <w:rPr>
          <w:rFonts w:hint="eastAsia" w:ascii="仿宋" w:hAnsi="仿宋" w:eastAsia="仿宋" w:cs="仿宋"/>
          <w:color w:val="000000"/>
          <w:sz w:val="22"/>
          <w:szCs w:val="22"/>
        </w:rPr>
        <w:t>年    月    日</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7"/>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2、</w:t>
      </w:r>
      <w:bookmarkStart w:id="31" w:name="OLE_LINK7"/>
      <w:r>
        <w:rPr>
          <w:rFonts w:hint="eastAsia" w:ascii="仿宋" w:hAnsi="仿宋" w:eastAsia="仿宋" w:cs="仿宋"/>
          <w:bCs w:val="0"/>
          <w:color w:val="000000"/>
          <w:kern w:val="0"/>
        </w:rPr>
        <w:t>法定代表人/负责人资格证明书及授权委托书</w:t>
      </w:r>
      <w:bookmarkEnd w:id="31"/>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ascii="仿宋" w:hAnsi="仿宋" w:eastAsia="仿宋" w:cs="仿宋"/>
          <w:color w:val="00000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autoSpaceDE w:val="0"/>
        <w:autoSpaceDN w:val="0"/>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4"/>
        </w:rPr>
        <w:t>3、</w:t>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color w:val="000000"/>
          <w:sz w:val="28"/>
          <w:szCs w:val="28"/>
        </w:rPr>
      </w:pPr>
      <w:r>
        <w:rPr>
          <w:rFonts w:hint="eastAsia" w:ascii="仿宋" w:hAnsi="仿宋" w:eastAsia="仿宋" w:cs="仿宋"/>
          <w:b/>
          <w:bCs/>
          <w:color w:val="000000"/>
          <w:sz w:val="24"/>
        </w:rPr>
        <w:br w:type="page"/>
      </w:r>
      <w:bookmarkStart w:id="32" w:name="OLE_LINK2"/>
    </w:p>
    <w:bookmarkEnd w:id="32"/>
    <w:p>
      <w:pPr>
        <w:snapToGrid w:val="0"/>
        <w:spacing w:line="360" w:lineRule="auto"/>
        <w:ind w:left="-4"/>
        <w:jc w:val="center"/>
        <w:rPr>
          <w:rFonts w:ascii="仿宋" w:hAnsi="仿宋" w:eastAsia="仿宋" w:cs="仿宋"/>
          <w:b/>
          <w:color w:val="000000"/>
          <w:sz w:val="26"/>
          <w:szCs w:val="28"/>
        </w:rPr>
      </w:pPr>
      <w:bookmarkStart w:id="33" w:name="_Toc43264530"/>
      <w:bookmarkStart w:id="34" w:name="_Toc391542588"/>
      <w:r>
        <w:rPr>
          <w:rFonts w:hint="eastAsia" w:ascii="仿宋" w:hAnsi="仿宋" w:eastAsia="仿宋" w:cs="仿宋"/>
          <w:b/>
          <w:color w:val="000000"/>
          <w:sz w:val="28"/>
          <w:szCs w:val="28"/>
        </w:rPr>
        <w:t>4、商务响应、偏离说明表</w:t>
      </w:r>
    </w:p>
    <w:p>
      <w:pPr>
        <w:snapToGrid w:val="0"/>
        <w:spacing w:line="360" w:lineRule="auto"/>
        <w:jc w:val="center"/>
        <w:rPr>
          <w:rFonts w:ascii="仿宋" w:hAnsi="仿宋" w:eastAsia="仿宋" w:cs="仿宋"/>
          <w:b/>
          <w:color w:val="000000"/>
          <w:sz w:val="26"/>
          <w:szCs w:val="28"/>
        </w:rPr>
      </w:pPr>
    </w:p>
    <w:p>
      <w:pPr>
        <w:jc w:val="left"/>
        <w:rPr>
          <w:rFonts w:ascii="仿宋" w:hAnsi="仿宋" w:eastAsia="仿宋" w:cs="仿宋"/>
          <w:b/>
          <w:color w:val="000000"/>
          <w:sz w:val="3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2160"/>
        <w:gridCol w:w="156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采购文件商务条款</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投标文件商务条款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是否响应</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bl>
    <w:p>
      <w:pPr>
        <w:ind w:left="360" w:hanging="361" w:hangingChars="171"/>
        <w:rPr>
          <w:rFonts w:ascii="仿宋" w:hAnsi="仿宋" w:eastAsia="仿宋" w:cs="仿宋"/>
          <w:b/>
          <w:color w:val="000000"/>
        </w:rPr>
      </w:pPr>
      <w:r>
        <w:rPr>
          <w:rFonts w:hint="eastAsia" w:ascii="仿宋" w:hAnsi="仿宋" w:eastAsia="仿宋" w:cs="仿宋"/>
          <w:b/>
          <w:color w:val="000000"/>
        </w:rPr>
        <w:t>注：</w:t>
      </w:r>
      <w:r>
        <w:rPr>
          <w:rFonts w:hint="eastAsia" w:ascii="仿宋" w:hAnsi="仿宋" w:eastAsia="仿宋" w:cs="仿宋"/>
          <w:b/>
          <w:color w:val="000000"/>
          <w:szCs w:val="21"/>
        </w:rPr>
        <w:t>投标人必须严格按照</w:t>
      </w:r>
      <w:r>
        <w:rPr>
          <w:rFonts w:hint="eastAsia" w:ascii="仿宋" w:hAnsi="仿宋" w:eastAsia="仿宋" w:cs="仿宋"/>
          <w:b/>
          <w:color w:val="000000"/>
        </w:rPr>
        <w:t>采购文件中商务要求的内容逐项回应，带“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rPr>
          <w:rFonts w:ascii="仿宋" w:hAnsi="仿宋" w:eastAsia="仿宋" w:cs="仿宋"/>
          <w:color w:val="000000"/>
          <w:sz w:val="17"/>
        </w:rPr>
      </w:pPr>
    </w:p>
    <w:p>
      <w:pPr>
        <w:adjustRightInd w:val="0"/>
        <w:snapToGrid w:val="0"/>
        <w:spacing w:line="300" w:lineRule="auto"/>
        <w:rPr>
          <w:rFonts w:ascii="仿宋" w:hAnsi="仿宋" w:eastAsia="仿宋" w:cs="仿宋"/>
          <w:color w:val="000000"/>
          <w:sz w:val="22"/>
        </w:rPr>
      </w:pPr>
      <w:r>
        <w:rPr>
          <w:rFonts w:hint="eastAsia" w:ascii="仿宋" w:hAnsi="仿宋" w:eastAsia="仿宋" w:cs="仿宋"/>
          <w:color w:val="000000"/>
          <w:sz w:val="22"/>
        </w:rPr>
        <w:t>投标人法定代表人/负责人（或法定代表人/负责人授权代表）签字：</w:t>
      </w:r>
      <w:r>
        <w:rPr>
          <w:rFonts w:hint="eastAsia" w:ascii="仿宋" w:hAnsi="仿宋" w:eastAsia="仿宋" w:cs="仿宋"/>
          <w:color w:val="000000"/>
          <w:sz w:val="22"/>
          <w:u w:val="single"/>
        </w:rPr>
        <w:t xml:space="preserve">                  </w:t>
      </w:r>
    </w:p>
    <w:p>
      <w:pPr>
        <w:adjustRightInd w:val="0"/>
        <w:snapToGrid w:val="0"/>
        <w:spacing w:line="300" w:lineRule="auto"/>
        <w:rPr>
          <w:rFonts w:ascii="仿宋" w:hAnsi="仿宋" w:eastAsia="仿宋" w:cs="仿宋"/>
          <w:color w:val="000000"/>
          <w:sz w:val="22"/>
          <w:u w:val="single"/>
        </w:rPr>
      </w:pPr>
      <w:r>
        <w:rPr>
          <w:rFonts w:hint="eastAsia" w:ascii="仿宋" w:hAnsi="仿宋" w:eastAsia="仿宋" w:cs="仿宋"/>
          <w:color w:val="000000"/>
          <w:sz w:val="22"/>
        </w:rPr>
        <w:t>投标人名称(加盖公章) ：</w:t>
      </w:r>
      <w:r>
        <w:rPr>
          <w:rFonts w:hint="eastAsia" w:ascii="仿宋" w:hAnsi="仿宋" w:eastAsia="仿宋" w:cs="仿宋"/>
          <w:color w:val="000000"/>
          <w:sz w:val="22"/>
          <w:u w:val="single"/>
        </w:rPr>
        <w:t xml:space="preserve">                  </w:t>
      </w:r>
    </w:p>
    <w:p>
      <w:pPr>
        <w:rPr>
          <w:rFonts w:ascii="仿宋" w:hAnsi="仿宋" w:eastAsia="仿宋" w:cs="仿宋"/>
          <w:color w:val="000000"/>
          <w:sz w:val="22"/>
        </w:rPr>
      </w:pPr>
      <w:r>
        <w:rPr>
          <w:rFonts w:hint="eastAsia" w:ascii="仿宋" w:hAnsi="仿宋" w:eastAsia="仿宋" w:cs="仿宋"/>
          <w:color w:val="000000"/>
          <w:sz w:val="22"/>
        </w:rPr>
        <w:t>日期：   年   月   日</w:t>
      </w: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5、技术响应、偏离说明表</w:t>
      </w:r>
    </w:p>
    <w:p>
      <w:pPr>
        <w:jc w:val="center"/>
        <w:rPr>
          <w:rFonts w:ascii="仿宋" w:hAnsi="仿宋" w:eastAsia="仿宋" w:cs="仿宋"/>
          <w:b/>
          <w:color w:val="000000"/>
          <w:sz w:val="26"/>
          <w:szCs w:val="28"/>
        </w:rPr>
      </w:pPr>
    </w:p>
    <w:p>
      <w:pPr>
        <w:spacing w:line="276" w:lineRule="auto"/>
        <w:jc w:val="left"/>
        <w:rPr>
          <w:rFonts w:ascii="仿宋" w:hAnsi="仿宋" w:eastAsia="仿宋" w:cs="仿宋"/>
          <w:color w:val="000000"/>
          <w:sz w:val="2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045"/>
        <w:gridCol w:w="2310"/>
        <w:gridCol w:w="8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采购文件技术条款</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投标文件技术条款</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是否响应</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4</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bl>
    <w:p>
      <w:pPr>
        <w:tabs>
          <w:tab w:val="left" w:pos="105"/>
        </w:tabs>
        <w:ind w:left="360" w:hanging="361" w:hangingChars="171"/>
        <w:rPr>
          <w:rFonts w:ascii="仿宋" w:hAnsi="仿宋" w:eastAsia="仿宋" w:cs="仿宋"/>
          <w:b/>
          <w:color w:val="000000"/>
        </w:rPr>
      </w:pPr>
      <w:r>
        <w:rPr>
          <w:rFonts w:hint="eastAsia" w:ascii="仿宋" w:hAnsi="仿宋" w:eastAsia="仿宋" w:cs="仿宋"/>
          <w:b/>
          <w:color w:val="000000"/>
          <w:szCs w:val="21"/>
        </w:rPr>
        <w:t>注：投标人必须严格按照采购文件技术要求逐条填写，</w:t>
      </w:r>
      <w:r>
        <w:rPr>
          <w:rFonts w:hint="eastAsia" w:ascii="仿宋" w:hAnsi="仿宋" w:eastAsia="仿宋" w:cs="仿宋"/>
          <w:b/>
          <w:color w:val="000000"/>
        </w:rPr>
        <w:t>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adjustRightInd w:val="0"/>
        <w:snapToGrid w:val="0"/>
        <w:spacing w:line="360" w:lineRule="auto"/>
        <w:rPr>
          <w:rFonts w:ascii="仿宋" w:hAnsi="仿宋" w:eastAsia="仿宋" w:cs="仿宋"/>
          <w:color w:val="000000"/>
          <w:sz w:val="22"/>
          <w:szCs w:val="28"/>
        </w:rPr>
      </w:pPr>
      <w:r>
        <w:rPr>
          <w:rFonts w:hint="eastAsia" w:ascii="仿宋" w:hAnsi="仿宋" w:eastAsia="仿宋" w:cs="仿宋"/>
          <w:color w:val="000000"/>
          <w:sz w:val="22"/>
          <w:szCs w:val="28"/>
        </w:rPr>
        <w:t>投标人法定代表人/负责人（或法定代表人/负责人授权代表）签字：</w:t>
      </w:r>
      <w:r>
        <w:rPr>
          <w:rFonts w:hint="eastAsia" w:ascii="仿宋" w:hAnsi="仿宋" w:eastAsia="仿宋" w:cs="仿宋"/>
          <w:color w:val="000000"/>
          <w:sz w:val="22"/>
          <w:szCs w:val="28"/>
          <w:u w:val="single"/>
        </w:rPr>
        <w:t xml:space="preserve">              </w:t>
      </w:r>
    </w:p>
    <w:p>
      <w:pPr>
        <w:adjustRightInd w:val="0"/>
        <w:snapToGrid w:val="0"/>
        <w:spacing w:line="360" w:lineRule="auto"/>
        <w:rPr>
          <w:rFonts w:ascii="仿宋" w:hAnsi="仿宋" w:eastAsia="仿宋" w:cs="仿宋"/>
          <w:color w:val="000000"/>
          <w:sz w:val="22"/>
          <w:szCs w:val="28"/>
          <w:u w:val="single"/>
        </w:rPr>
      </w:pPr>
      <w:r>
        <w:rPr>
          <w:rFonts w:hint="eastAsia" w:ascii="仿宋" w:hAnsi="仿宋" w:eastAsia="仿宋" w:cs="仿宋"/>
          <w:color w:val="000000"/>
          <w:sz w:val="22"/>
          <w:szCs w:val="28"/>
        </w:rPr>
        <w:t>投标人名称(加盖公章) ：</w:t>
      </w:r>
      <w:r>
        <w:rPr>
          <w:rFonts w:hint="eastAsia" w:ascii="仿宋" w:hAnsi="仿宋" w:eastAsia="仿宋" w:cs="仿宋"/>
          <w:color w:val="000000"/>
          <w:sz w:val="22"/>
          <w:szCs w:val="28"/>
          <w:u w:val="single"/>
        </w:rPr>
        <w:t xml:space="preserve">      </w:t>
      </w:r>
    </w:p>
    <w:p>
      <w:pPr>
        <w:spacing w:line="360" w:lineRule="auto"/>
        <w:rPr>
          <w:rFonts w:ascii="仿宋" w:hAnsi="仿宋" w:eastAsia="仿宋" w:cs="仿宋"/>
          <w:color w:val="000000"/>
          <w:sz w:val="22"/>
          <w:szCs w:val="28"/>
        </w:rPr>
      </w:pPr>
      <w:r>
        <w:rPr>
          <w:rFonts w:hint="eastAsia" w:ascii="仿宋" w:hAnsi="仿宋" w:eastAsia="仿宋" w:cs="仿宋"/>
          <w:color w:val="000000"/>
          <w:sz w:val="22"/>
          <w:szCs w:val="28"/>
        </w:rPr>
        <w:t>日期：   年   月   日</w:t>
      </w:r>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6、技术方案</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ascii="仿宋" w:hAnsi="仿宋" w:eastAsia="仿宋" w:cs="仿宋"/>
          <w:color w:val="000000"/>
          <w:sz w:val="24"/>
        </w:rPr>
      </w:pPr>
    </w:p>
    <w:bookmarkEnd w:id="33"/>
    <w:bookmarkEnd w:id="34"/>
    <w:p>
      <w:pPr>
        <w:rPr>
          <w:rFonts w:ascii="仿宋" w:hAnsi="仿宋" w:eastAsia="仿宋" w:cs="仿宋"/>
          <w:b/>
          <w:bCs/>
          <w:color w:val="000000"/>
          <w:sz w:val="28"/>
          <w:szCs w:val="28"/>
        </w:rPr>
      </w:pPr>
      <w:bookmarkStart w:id="35" w:name="_Toc43264553"/>
      <w:bookmarkStart w:id="36" w:name="_Toc49135243"/>
      <w:bookmarkStart w:id="37" w:name="_Toc26800383"/>
      <w:bookmarkStart w:id="38" w:name="_Toc61327446"/>
      <w:bookmarkStart w:id="39" w:name="_Toc37496263"/>
    </w:p>
    <w:p>
      <w:pPr>
        <w:jc w:val="center"/>
        <w:rPr>
          <w:rFonts w:ascii="仿宋" w:hAnsi="仿宋" w:eastAsia="仿宋" w:cs="仿宋"/>
          <w:b/>
          <w:sz w:val="28"/>
          <w:szCs w:val="28"/>
        </w:rPr>
      </w:pPr>
    </w:p>
    <w:p>
      <w:pPr>
        <w:jc w:val="center"/>
        <w:rPr>
          <w:rFonts w:ascii="仿宋" w:hAnsi="仿宋" w:eastAsia="仿宋" w:cs="仿宋"/>
          <w:b/>
          <w:sz w:val="28"/>
          <w:szCs w:val="28"/>
        </w:rPr>
      </w:pPr>
    </w:p>
    <w:bookmarkEnd w:id="35"/>
    <w:bookmarkEnd w:id="36"/>
    <w:bookmarkEnd w:id="37"/>
    <w:bookmarkEnd w:id="38"/>
    <w:bookmarkEnd w:id="39"/>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&#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QDUVN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-127635</wp:posOffset>
              </wp:positionV>
              <wp:extent cx="635" cy="635"/>
              <wp:effectExtent l="0" t="0" r="0" b="0"/>
              <wp:wrapNone/>
              <wp:docPr id="3" name="Line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 o:spid="_x0000_s1026" o:spt="20" style="position:absolute;left:0pt;margin-left:-11.35pt;margin-top:-10.05pt;height:0.05pt;width:0.05pt;z-index:251660288;mso-width-relative:page;mso-height-relative:page;" filled="f" stroked="t" coordsize="21600,21600" o:gfxdata="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Mm7+zWAAAACwEAAA8AAAAAAAAAAQAgAAAAIgAAAGRy&#10;cy9kb3ducmV2LnhtbFBLAQIUABQAAAAIAIdO4kCTafoPzgEAAMsDAAAOAAAAAAAAAAEAIAAAACUB&#10;AABkcnMvZTJvRG9jLnhtbFBLBQYAAAAABgAGAFkBAABlBQAAAAA=&#10;">
              <v:fill on="f" focussize="0,0"/>
              <v:stroke color="#000000"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33"/>
      <w:lvlText w:val="%1."/>
      <w:lvlJc w:val="left"/>
      <w:pPr>
        <w:ind w:left="425" w:hanging="425"/>
      </w:pPr>
      <w:rPr>
        <w:rFonts w:hint="default"/>
      </w:rPr>
    </w:lvl>
    <w:lvl w:ilvl="1" w:tentative="0">
      <w:start w:val="1"/>
      <w:numFmt w:val="decimal"/>
      <w:suff w:val="space"/>
      <w:lvlText w:val="%1.%2."/>
      <w:lvlJc w:val="left"/>
      <w:pPr>
        <w:tabs>
          <w:tab w:val="left" w:pos="284"/>
        </w:tabs>
        <w:ind w:left="284"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0000001D"/>
    <w:multiLevelType w:val="singleLevel"/>
    <w:tmpl w:val="0000001D"/>
    <w:lvl w:ilvl="0" w:tentative="0">
      <w:start w:val="1"/>
      <w:numFmt w:val="decimal"/>
      <w:pStyle w:val="35"/>
      <w:lvlText w:val="%1."/>
      <w:lvlJc w:val="left"/>
      <w:pPr>
        <w:tabs>
          <w:tab w:val="left" w:pos="0"/>
        </w:tabs>
        <w:ind w:left="0" w:firstLine="0"/>
      </w:pPr>
      <w:rPr>
        <w:rFonts w:hint="default"/>
      </w:rPr>
    </w:lvl>
  </w:abstractNum>
  <w:abstractNum w:abstractNumId="2">
    <w:nsid w:val="2D090AEC"/>
    <w:multiLevelType w:val="singleLevel"/>
    <w:tmpl w:val="2D090AEC"/>
    <w:lvl w:ilvl="0" w:tentative="0">
      <w:start w:val="2"/>
      <w:numFmt w:val="decimal"/>
      <w:suff w:val="space"/>
      <w:lvlText w:val="%1."/>
      <w:lvlJc w:val="left"/>
    </w:lvl>
  </w:abstractNum>
  <w:abstractNum w:abstractNumId="3">
    <w:nsid w:val="3DE54C4F"/>
    <w:multiLevelType w:val="multilevel"/>
    <w:tmpl w:val="3DE54C4F"/>
    <w:lvl w:ilvl="0" w:tentative="0">
      <w:start w:val="1"/>
      <w:numFmt w:val="decimal"/>
      <w:lvlText w:val="%1."/>
      <w:lvlJc w:val="left"/>
      <w:pPr>
        <w:tabs>
          <w:tab w:val="left" w:pos="851"/>
        </w:tabs>
        <w:ind w:left="0" w:firstLine="680"/>
      </w:pPr>
      <w:rPr>
        <w:rFonts w:hint="eastAsia" w:ascii="仿宋_GB2312" w:eastAsia="仿宋_GB2312"/>
        <w:b w:val="0"/>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00E566B4"/>
    <w:rsid w:val="0000349E"/>
    <w:rsid w:val="000A0CC7"/>
    <w:rsid w:val="000A2AAD"/>
    <w:rsid w:val="00136F0A"/>
    <w:rsid w:val="0018278E"/>
    <w:rsid w:val="002E08D0"/>
    <w:rsid w:val="002F0C0B"/>
    <w:rsid w:val="00325975"/>
    <w:rsid w:val="003862A1"/>
    <w:rsid w:val="00392D0B"/>
    <w:rsid w:val="003C3F96"/>
    <w:rsid w:val="003C6375"/>
    <w:rsid w:val="004B2CE5"/>
    <w:rsid w:val="005405A5"/>
    <w:rsid w:val="00574C6F"/>
    <w:rsid w:val="0059735B"/>
    <w:rsid w:val="005A4874"/>
    <w:rsid w:val="005C79D2"/>
    <w:rsid w:val="00723209"/>
    <w:rsid w:val="00743E5D"/>
    <w:rsid w:val="00787223"/>
    <w:rsid w:val="008D5DEE"/>
    <w:rsid w:val="00912897"/>
    <w:rsid w:val="009D702E"/>
    <w:rsid w:val="00A3300E"/>
    <w:rsid w:val="00AC4FBB"/>
    <w:rsid w:val="00AF26E7"/>
    <w:rsid w:val="00B94A02"/>
    <w:rsid w:val="00BE2797"/>
    <w:rsid w:val="00BF64AB"/>
    <w:rsid w:val="00BF6AD6"/>
    <w:rsid w:val="00C20E05"/>
    <w:rsid w:val="00C85E1E"/>
    <w:rsid w:val="00D046AC"/>
    <w:rsid w:val="00D23EF7"/>
    <w:rsid w:val="00D82E39"/>
    <w:rsid w:val="00E36BC6"/>
    <w:rsid w:val="00E566B4"/>
    <w:rsid w:val="00E72237"/>
    <w:rsid w:val="00EB7AB0"/>
    <w:rsid w:val="00EF574A"/>
    <w:rsid w:val="00F1592B"/>
    <w:rsid w:val="00F6270C"/>
    <w:rsid w:val="00F64584"/>
    <w:rsid w:val="00F77BAD"/>
    <w:rsid w:val="00FC4F23"/>
    <w:rsid w:val="00FE6A06"/>
    <w:rsid w:val="015E1479"/>
    <w:rsid w:val="018A1427"/>
    <w:rsid w:val="01C6491C"/>
    <w:rsid w:val="01EF2C9C"/>
    <w:rsid w:val="01F16502"/>
    <w:rsid w:val="02094805"/>
    <w:rsid w:val="0216433C"/>
    <w:rsid w:val="02651518"/>
    <w:rsid w:val="027F14FB"/>
    <w:rsid w:val="02803E13"/>
    <w:rsid w:val="02881B88"/>
    <w:rsid w:val="029469EF"/>
    <w:rsid w:val="02A87100"/>
    <w:rsid w:val="02BF0F18"/>
    <w:rsid w:val="02DE5ECF"/>
    <w:rsid w:val="02E43C46"/>
    <w:rsid w:val="03490A6E"/>
    <w:rsid w:val="039A53EF"/>
    <w:rsid w:val="03C9092D"/>
    <w:rsid w:val="03CC36DA"/>
    <w:rsid w:val="03CD43E8"/>
    <w:rsid w:val="03CE7CF1"/>
    <w:rsid w:val="03DD7B85"/>
    <w:rsid w:val="047105F3"/>
    <w:rsid w:val="049B3B6C"/>
    <w:rsid w:val="05583F1F"/>
    <w:rsid w:val="05601884"/>
    <w:rsid w:val="058709AD"/>
    <w:rsid w:val="05950276"/>
    <w:rsid w:val="05C81A36"/>
    <w:rsid w:val="05D97BA9"/>
    <w:rsid w:val="0623527F"/>
    <w:rsid w:val="063821A9"/>
    <w:rsid w:val="067067B1"/>
    <w:rsid w:val="06AE7101"/>
    <w:rsid w:val="072E0AA7"/>
    <w:rsid w:val="076F5EFC"/>
    <w:rsid w:val="07885719"/>
    <w:rsid w:val="07C317A3"/>
    <w:rsid w:val="07DD4303"/>
    <w:rsid w:val="07EC7423"/>
    <w:rsid w:val="08052EE7"/>
    <w:rsid w:val="084E6D2B"/>
    <w:rsid w:val="089346EA"/>
    <w:rsid w:val="08B93C52"/>
    <w:rsid w:val="08F02AB5"/>
    <w:rsid w:val="091307D8"/>
    <w:rsid w:val="09192414"/>
    <w:rsid w:val="091F4B4B"/>
    <w:rsid w:val="097B4694"/>
    <w:rsid w:val="09AA21F4"/>
    <w:rsid w:val="09CA69A0"/>
    <w:rsid w:val="09ED4983"/>
    <w:rsid w:val="0A052B89"/>
    <w:rsid w:val="0A224CFE"/>
    <w:rsid w:val="0A2C5771"/>
    <w:rsid w:val="0A5922CE"/>
    <w:rsid w:val="0A7D35E9"/>
    <w:rsid w:val="0B0256FA"/>
    <w:rsid w:val="0B2D4843"/>
    <w:rsid w:val="0B367E19"/>
    <w:rsid w:val="0BAA52EB"/>
    <w:rsid w:val="0C461DA9"/>
    <w:rsid w:val="0C46295F"/>
    <w:rsid w:val="0C716401"/>
    <w:rsid w:val="0C8F17C4"/>
    <w:rsid w:val="0CA24014"/>
    <w:rsid w:val="0CCD2D26"/>
    <w:rsid w:val="0CD6348D"/>
    <w:rsid w:val="0CFE2444"/>
    <w:rsid w:val="0D064AFD"/>
    <w:rsid w:val="0D53778B"/>
    <w:rsid w:val="0D866505"/>
    <w:rsid w:val="0DA87604"/>
    <w:rsid w:val="0E0C566D"/>
    <w:rsid w:val="0E275980"/>
    <w:rsid w:val="0E4C697C"/>
    <w:rsid w:val="0E5930A8"/>
    <w:rsid w:val="0F471D03"/>
    <w:rsid w:val="0F8D57EB"/>
    <w:rsid w:val="0FAF38C6"/>
    <w:rsid w:val="0FC247D6"/>
    <w:rsid w:val="0FC41191"/>
    <w:rsid w:val="10391856"/>
    <w:rsid w:val="10B96D9E"/>
    <w:rsid w:val="118C0A90"/>
    <w:rsid w:val="11927A12"/>
    <w:rsid w:val="12422771"/>
    <w:rsid w:val="12530C8A"/>
    <w:rsid w:val="125B0C02"/>
    <w:rsid w:val="12871846"/>
    <w:rsid w:val="13CB61CD"/>
    <w:rsid w:val="143427E8"/>
    <w:rsid w:val="144E61CB"/>
    <w:rsid w:val="147B6B2C"/>
    <w:rsid w:val="14847F58"/>
    <w:rsid w:val="14C27DCA"/>
    <w:rsid w:val="14EA52CD"/>
    <w:rsid w:val="15002959"/>
    <w:rsid w:val="1515565E"/>
    <w:rsid w:val="151B7F9E"/>
    <w:rsid w:val="152B7B91"/>
    <w:rsid w:val="155F3AEF"/>
    <w:rsid w:val="156A5A17"/>
    <w:rsid w:val="15F91FF0"/>
    <w:rsid w:val="15FD3A52"/>
    <w:rsid w:val="163A1A3A"/>
    <w:rsid w:val="1659365C"/>
    <w:rsid w:val="1666705D"/>
    <w:rsid w:val="166E2EE7"/>
    <w:rsid w:val="17327DD8"/>
    <w:rsid w:val="176C15A0"/>
    <w:rsid w:val="17BF71A9"/>
    <w:rsid w:val="18041DE5"/>
    <w:rsid w:val="18172DB1"/>
    <w:rsid w:val="181C0AF4"/>
    <w:rsid w:val="1872113F"/>
    <w:rsid w:val="187E2872"/>
    <w:rsid w:val="18BB5ACB"/>
    <w:rsid w:val="18FF4744"/>
    <w:rsid w:val="19293975"/>
    <w:rsid w:val="19621AEC"/>
    <w:rsid w:val="197546B9"/>
    <w:rsid w:val="199434BD"/>
    <w:rsid w:val="1995003C"/>
    <w:rsid w:val="19DF70B2"/>
    <w:rsid w:val="19EC6CCB"/>
    <w:rsid w:val="1A130465"/>
    <w:rsid w:val="1A7951BA"/>
    <w:rsid w:val="1AC93995"/>
    <w:rsid w:val="1AF04BBC"/>
    <w:rsid w:val="1AF86220"/>
    <w:rsid w:val="1B0E4A1F"/>
    <w:rsid w:val="1B846B34"/>
    <w:rsid w:val="1B874B5F"/>
    <w:rsid w:val="1B8F7A27"/>
    <w:rsid w:val="1BD46A97"/>
    <w:rsid w:val="1C3971E4"/>
    <w:rsid w:val="1CC65634"/>
    <w:rsid w:val="1DB3361B"/>
    <w:rsid w:val="1DE52B28"/>
    <w:rsid w:val="1E76538B"/>
    <w:rsid w:val="1E8951FC"/>
    <w:rsid w:val="1FA91294"/>
    <w:rsid w:val="201F6C20"/>
    <w:rsid w:val="205F2888"/>
    <w:rsid w:val="2079255B"/>
    <w:rsid w:val="207D241A"/>
    <w:rsid w:val="20836666"/>
    <w:rsid w:val="20975FF6"/>
    <w:rsid w:val="20C16E58"/>
    <w:rsid w:val="20D541FD"/>
    <w:rsid w:val="20EA715B"/>
    <w:rsid w:val="21170674"/>
    <w:rsid w:val="211875BC"/>
    <w:rsid w:val="211C6827"/>
    <w:rsid w:val="21202648"/>
    <w:rsid w:val="218C46FC"/>
    <w:rsid w:val="21F71674"/>
    <w:rsid w:val="2219006E"/>
    <w:rsid w:val="226D25D7"/>
    <w:rsid w:val="22A4464C"/>
    <w:rsid w:val="22BA540D"/>
    <w:rsid w:val="230E6AA9"/>
    <w:rsid w:val="23B52C9C"/>
    <w:rsid w:val="23D43324"/>
    <w:rsid w:val="23EA0B87"/>
    <w:rsid w:val="24062307"/>
    <w:rsid w:val="24273003"/>
    <w:rsid w:val="243B244C"/>
    <w:rsid w:val="24455EEA"/>
    <w:rsid w:val="2459408C"/>
    <w:rsid w:val="248A15BB"/>
    <w:rsid w:val="24AB632A"/>
    <w:rsid w:val="24CB109F"/>
    <w:rsid w:val="24CE4985"/>
    <w:rsid w:val="24EF60BA"/>
    <w:rsid w:val="2533206B"/>
    <w:rsid w:val="25345773"/>
    <w:rsid w:val="25CC76BE"/>
    <w:rsid w:val="261468F0"/>
    <w:rsid w:val="2628091B"/>
    <w:rsid w:val="264D6F2A"/>
    <w:rsid w:val="266C6C53"/>
    <w:rsid w:val="2690375F"/>
    <w:rsid w:val="269C4F6B"/>
    <w:rsid w:val="26B65A72"/>
    <w:rsid w:val="26C469F4"/>
    <w:rsid w:val="26E050A0"/>
    <w:rsid w:val="27071DC8"/>
    <w:rsid w:val="272844AB"/>
    <w:rsid w:val="275721B4"/>
    <w:rsid w:val="276D3B48"/>
    <w:rsid w:val="27995F47"/>
    <w:rsid w:val="27EB69DE"/>
    <w:rsid w:val="283A0808"/>
    <w:rsid w:val="28532C34"/>
    <w:rsid w:val="288204B3"/>
    <w:rsid w:val="288B0FFA"/>
    <w:rsid w:val="28935A4B"/>
    <w:rsid w:val="28B93F30"/>
    <w:rsid w:val="28CE52F3"/>
    <w:rsid w:val="28D27CEA"/>
    <w:rsid w:val="2938259C"/>
    <w:rsid w:val="294641FC"/>
    <w:rsid w:val="294E3D52"/>
    <w:rsid w:val="2964442C"/>
    <w:rsid w:val="296F6FD1"/>
    <w:rsid w:val="29770B93"/>
    <w:rsid w:val="29A03FBA"/>
    <w:rsid w:val="29D64E72"/>
    <w:rsid w:val="29EA2469"/>
    <w:rsid w:val="2A277C56"/>
    <w:rsid w:val="2A5A31E1"/>
    <w:rsid w:val="2A80592F"/>
    <w:rsid w:val="2AB7716C"/>
    <w:rsid w:val="2AE55401"/>
    <w:rsid w:val="2B325D48"/>
    <w:rsid w:val="2B4A2381"/>
    <w:rsid w:val="2B9C1996"/>
    <w:rsid w:val="2BA95728"/>
    <w:rsid w:val="2BB903ED"/>
    <w:rsid w:val="2C006E5D"/>
    <w:rsid w:val="2D0C5FE9"/>
    <w:rsid w:val="2D4A5E6D"/>
    <w:rsid w:val="2D4E592F"/>
    <w:rsid w:val="2DBF6ABD"/>
    <w:rsid w:val="2DD72D95"/>
    <w:rsid w:val="2DFA5935"/>
    <w:rsid w:val="2E084EF4"/>
    <w:rsid w:val="2E3C6092"/>
    <w:rsid w:val="2EB907B5"/>
    <w:rsid w:val="2F524C2D"/>
    <w:rsid w:val="2F610332"/>
    <w:rsid w:val="2FBC08FC"/>
    <w:rsid w:val="2FCF36B0"/>
    <w:rsid w:val="3043646C"/>
    <w:rsid w:val="305C3912"/>
    <w:rsid w:val="30874DCA"/>
    <w:rsid w:val="30AC28B9"/>
    <w:rsid w:val="30D36097"/>
    <w:rsid w:val="31022E0C"/>
    <w:rsid w:val="312B616E"/>
    <w:rsid w:val="31302996"/>
    <w:rsid w:val="31BC739D"/>
    <w:rsid w:val="320F6217"/>
    <w:rsid w:val="32313075"/>
    <w:rsid w:val="32360174"/>
    <w:rsid w:val="323D5BD7"/>
    <w:rsid w:val="32B10954"/>
    <w:rsid w:val="32B35A15"/>
    <w:rsid w:val="32BB3509"/>
    <w:rsid w:val="32C3651A"/>
    <w:rsid w:val="32C64698"/>
    <w:rsid w:val="32FD64E1"/>
    <w:rsid w:val="33075644"/>
    <w:rsid w:val="331F6B05"/>
    <w:rsid w:val="335B7C49"/>
    <w:rsid w:val="338564B0"/>
    <w:rsid w:val="33915079"/>
    <w:rsid w:val="33A146B4"/>
    <w:rsid w:val="33B8324E"/>
    <w:rsid w:val="33F65AA2"/>
    <w:rsid w:val="345C02B4"/>
    <w:rsid w:val="346F7F95"/>
    <w:rsid w:val="34DE2B54"/>
    <w:rsid w:val="34EB25FF"/>
    <w:rsid w:val="351F10AA"/>
    <w:rsid w:val="3589738A"/>
    <w:rsid w:val="360B6010"/>
    <w:rsid w:val="362828E3"/>
    <w:rsid w:val="36282A4C"/>
    <w:rsid w:val="363C644F"/>
    <w:rsid w:val="3653098A"/>
    <w:rsid w:val="36A4650C"/>
    <w:rsid w:val="36B953A4"/>
    <w:rsid w:val="36F92C9A"/>
    <w:rsid w:val="375A32DF"/>
    <w:rsid w:val="37606853"/>
    <w:rsid w:val="3767033E"/>
    <w:rsid w:val="376A110E"/>
    <w:rsid w:val="380338F4"/>
    <w:rsid w:val="381C6E2D"/>
    <w:rsid w:val="38262F51"/>
    <w:rsid w:val="385B040D"/>
    <w:rsid w:val="38853ACB"/>
    <w:rsid w:val="388F0AF6"/>
    <w:rsid w:val="38A759A9"/>
    <w:rsid w:val="38E5769C"/>
    <w:rsid w:val="38EE4EDC"/>
    <w:rsid w:val="39295E9D"/>
    <w:rsid w:val="392F57D5"/>
    <w:rsid w:val="39313C2B"/>
    <w:rsid w:val="39480B68"/>
    <w:rsid w:val="39563688"/>
    <w:rsid w:val="39B5196A"/>
    <w:rsid w:val="39B84A64"/>
    <w:rsid w:val="3A23177B"/>
    <w:rsid w:val="3A697EA0"/>
    <w:rsid w:val="3A850F2A"/>
    <w:rsid w:val="3AD115BF"/>
    <w:rsid w:val="3AE0435C"/>
    <w:rsid w:val="3B0D773F"/>
    <w:rsid w:val="3B1E2CEC"/>
    <w:rsid w:val="3B455439"/>
    <w:rsid w:val="3B7827AB"/>
    <w:rsid w:val="3BF7030A"/>
    <w:rsid w:val="3BF8098F"/>
    <w:rsid w:val="3C65673D"/>
    <w:rsid w:val="3C833F72"/>
    <w:rsid w:val="3CAB41E2"/>
    <w:rsid w:val="3CC65C7C"/>
    <w:rsid w:val="3D523AA9"/>
    <w:rsid w:val="3DB26449"/>
    <w:rsid w:val="3E1F12B7"/>
    <w:rsid w:val="3E3760C0"/>
    <w:rsid w:val="3E9B4945"/>
    <w:rsid w:val="3EAA08B0"/>
    <w:rsid w:val="3F31348D"/>
    <w:rsid w:val="3F5C033A"/>
    <w:rsid w:val="3F97149F"/>
    <w:rsid w:val="3FA25322"/>
    <w:rsid w:val="3FA82235"/>
    <w:rsid w:val="3FC1167B"/>
    <w:rsid w:val="3FFA6944"/>
    <w:rsid w:val="3FFB2422"/>
    <w:rsid w:val="40107195"/>
    <w:rsid w:val="401536F5"/>
    <w:rsid w:val="40464380"/>
    <w:rsid w:val="406F6E2F"/>
    <w:rsid w:val="40827B57"/>
    <w:rsid w:val="41017350"/>
    <w:rsid w:val="4110684D"/>
    <w:rsid w:val="412C1F7C"/>
    <w:rsid w:val="41803DEC"/>
    <w:rsid w:val="41A52828"/>
    <w:rsid w:val="41B87844"/>
    <w:rsid w:val="41CE77A6"/>
    <w:rsid w:val="41FD66B7"/>
    <w:rsid w:val="42F53FF6"/>
    <w:rsid w:val="43786D05"/>
    <w:rsid w:val="44155612"/>
    <w:rsid w:val="44660B6A"/>
    <w:rsid w:val="44F158B7"/>
    <w:rsid w:val="45125902"/>
    <w:rsid w:val="457374DE"/>
    <w:rsid w:val="45876384"/>
    <w:rsid w:val="45A34FF3"/>
    <w:rsid w:val="45EB2F3A"/>
    <w:rsid w:val="45F40238"/>
    <w:rsid w:val="46065FCC"/>
    <w:rsid w:val="462F6B03"/>
    <w:rsid w:val="47464FB2"/>
    <w:rsid w:val="47B83714"/>
    <w:rsid w:val="47E73DE8"/>
    <w:rsid w:val="47FD5D3C"/>
    <w:rsid w:val="48012608"/>
    <w:rsid w:val="4812009F"/>
    <w:rsid w:val="48335D69"/>
    <w:rsid w:val="48873801"/>
    <w:rsid w:val="48CC25E4"/>
    <w:rsid w:val="49216413"/>
    <w:rsid w:val="49223CFE"/>
    <w:rsid w:val="496E0C07"/>
    <w:rsid w:val="49A2644A"/>
    <w:rsid w:val="49B76E2D"/>
    <w:rsid w:val="49F65A71"/>
    <w:rsid w:val="4A025A39"/>
    <w:rsid w:val="4A257338"/>
    <w:rsid w:val="4A4123B4"/>
    <w:rsid w:val="4A4C6E11"/>
    <w:rsid w:val="4AB76274"/>
    <w:rsid w:val="4AE805E1"/>
    <w:rsid w:val="4BCC2750"/>
    <w:rsid w:val="4BCC69BE"/>
    <w:rsid w:val="4C5D20A8"/>
    <w:rsid w:val="4C5D5372"/>
    <w:rsid w:val="4C98038C"/>
    <w:rsid w:val="4D6F47A9"/>
    <w:rsid w:val="4D881E0F"/>
    <w:rsid w:val="4D912717"/>
    <w:rsid w:val="4D9D5D36"/>
    <w:rsid w:val="4E111EEB"/>
    <w:rsid w:val="4E1E4554"/>
    <w:rsid w:val="4E5016FC"/>
    <w:rsid w:val="4E610CA5"/>
    <w:rsid w:val="4E7C7C01"/>
    <w:rsid w:val="4F1A0576"/>
    <w:rsid w:val="4F226123"/>
    <w:rsid w:val="4F553724"/>
    <w:rsid w:val="5000269E"/>
    <w:rsid w:val="5021266D"/>
    <w:rsid w:val="5036508C"/>
    <w:rsid w:val="503E1C61"/>
    <w:rsid w:val="50431C0D"/>
    <w:rsid w:val="50556F20"/>
    <w:rsid w:val="506A5A2F"/>
    <w:rsid w:val="506E1524"/>
    <w:rsid w:val="507270F2"/>
    <w:rsid w:val="50F54D64"/>
    <w:rsid w:val="513A44A1"/>
    <w:rsid w:val="51893583"/>
    <w:rsid w:val="51982151"/>
    <w:rsid w:val="51BE38BE"/>
    <w:rsid w:val="51F316E1"/>
    <w:rsid w:val="523F1A06"/>
    <w:rsid w:val="525368BC"/>
    <w:rsid w:val="52A234A4"/>
    <w:rsid w:val="534E00C5"/>
    <w:rsid w:val="53520C82"/>
    <w:rsid w:val="53AE55D9"/>
    <w:rsid w:val="53D65389"/>
    <w:rsid w:val="53EE4FF0"/>
    <w:rsid w:val="54784DB6"/>
    <w:rsid w:val="54B81A6D"/>
    <w:rsid w:val="54CE3B9F"/>
    <w:rsid w:val="55746F86"/>
    <w:rsid w:val="55B56E1C"/>
    <w:rsid w:val="55DC208D"/>
    <w:rsid w:val="55E64780"/>
    <w:rsid w:val="55F16E6A"/>
    <w:rsid w:val="560D2034"/>
    <w:rsid w:val="56165F47"/>
    <w:rsid w:val="565B7EF3"/>
    <w:rsid w:val="56680A98"/>
    <w:rsid w:val="5699003D"/>
    <w:rsid w:val="56D50752"/>
    <w:rsid w:val="572D17AE"/>
    <w:rsid w:val="57AD69AD"/>
    <w:rsid w:val="57C16414"/>
    <w:rsid w:val="582B54B7"/>
    <w:rsid w:val="586D342C"/>
    <w:rsid w:val="59230D62"/>
    <w:rsid w:val="5995021B"/>
    <w:rsid w:val="59E406E7"/>
    <w:rsid w:val="5A0E3D3D"/>
    <w:rsid w:val="5A384F2C"/>
    <w:rsid w:val="5A6D6068"/>
    <w:rsid w:val="5ABD3229"/>
    <w:rsid w:val="5ADA4378"/>
    <w:rsid w:val="5AEE123C"/>
    <w:rsid w:val="5B0B26A2"/>
    <w:rsid w:val="5B311E13"/>
    <w:rsid w:val="5BAB117E"/>
    <w:rsid w:val="5BB113BA"/>
    <w:rsid w:val="5C47297C"/>
    <w:rsid w:val="5CA9115B"/>
    <w:rsid w:val="5CDC05EC"/>
    <w:rsid w:val="5CE562BC"/>
    <w:rsid w:val="5CEC0749"/>
    <w:rsid w:val="5CF10177"/>
    <w:rsid w:val="5CF919F8"/>
    <w:rsid w:val="5D990A0E"/>
    <w:rsid w:val="5DF050B4"/>
    <w:rsid w:val="5E157452"/>
    <w:rsid w:val="5E2873AB"/>
    <w:rsid w:val="5E3B5D7C"/>
    <w:rsid w:val="5E5D0276"/>
    <w:rsid w:val="5E726496"/>
    <w:rsid w:val="5EEB04C2"/>
    <w:rsid w:val="5F17228A"/>
    <w:rsid w:val="5F9C7A3C"/>
    <w:rsid w:val="5FA47409"/>
    <w:rsid w:val="5FC47C57"/>
    <w:rsid w:val="5FD9327A"/>
    <w:rsid w:val="602C5C39"/>
    <w:rsid w:val="603778EB"/>
    <w:rsid w:val="60A43B2C"/>
    <w:rsid w:val="60FD0E72"/>
    <w:rsid w:val="60FF1C2C"/>
    <w:rsid w:val="61554DAB"/>
    <w:rsid w:val="618E2087"/>
    <w:rsid w:val="619D3A2F"/>
    <w:rsid w:val="61C8557E"/>
    <w:rsid w:val="61DC73DE"/>
    <w:rsid w:val="620B7081"/>
    <w:rsid w:val="625E21B3"/>
    <w:rsid w:val="628A0A87"/>
    <w:rsid w:val="62A0290E"/>
    <w:rsid w:val="62A040B0"/>
    <w:rsid w:val="62EF45AC"/>
    <w:rsid w:val="62F749BC"/>
    <w:rsid w:val="634A15F4"/>
    <w:rsid w:val="637277F0"/>
    <w:rsid w:val="63862972"/>
    <w:rsid w:val="63CE5228"/>
    <w:rsid w:val="64B17051"/>
    <w:rsid w:val="64BF43C1"/>
    <w:rsid w:val="64DE7359"/>
    <w:rsid w:val="64E66201"/>
    <w:rsid w:val="65006DB0"/>
    <w:rsid w:val="6583784D"/>
    <w:rsid w:val="659D6940"/>
    <w:rsid w:val="65D02927"/>
    <w:rsid w:val="6606777A"/>
    <w:rsid w:val="66220451"/>
    <w:rsid w:val="663B7C52"/>
    <w:rsid w:val="667848FF"/>
    <w:rsid w:val="667D4EC4"/>
    <w:rsid w:val="66D07BFC"/>
    <w:rsid w:val="671D3FB2"/>
    <w:rsid w:val="673C0A69"/>
    <w:rsid w:val="67484708"/>
    <w:rsid w:val="67CF714D"/>
    <w:rsid w:val="67D60FB6"/>
    <w:rsid w:val="67DE517F"/>
    <w:rsid w:val="688009AB"/>
    <w:rsid w:val="68F34EDB"/>
    <w:rsid w:val="690E219A"/>
    <w:rsid w:val="69527DF6"/>
    <w:rsid w:val="697531CB"/>
    <w:rsid w:val="699758AB"/>
    <w:rsid w:val="69B0380C"/>
    <w:rsid w:val="69CA0626"/>
    <w:rsid w:val="69FC7646"/>
    <w:rsid w:val="6A002D6E"/>
    <w:rsid w:val="6A196FFD"/>
    <w:rsid w:val="6A3869EB"/>
    <w:rsid w:val="6AB76EC5"/>
    <w:rsid w:val="6AD46BD8"/>
    <w:rsid w:val="6AF45B9B"/>
    <w:rsid w:val="6B1A3CC3"/>
    <w:rsid w:val="6B9A61BC"/>
    <w:rsid w:val="6BA2495A"/>
    <w:rsid w:val="6BE20961"/>
    <w:rsid w:val="6C027255"/>
    <w:rsid w:val="6C0C3295"/>
    <w:rsid w:val="6CDC6AD4"/>
    <w:rsid w:val="6D246377"/>
    <w:rsid w:val="6D4F2CEF"/>
    <w:rsid w:val="6DA475FA"/>
    <w:rsid w:val="6DDE609C"/>
    <w:rsid w:val="6E18188F"/>
    <w:rsid w:val="6E4C2900"/>
    <w:rsid w:val="6E5753C5"/>
    <w:rsid w:val="6EC80E78"/>
    <w:rsid w:val="6F001F22"/>
    <w:rsid w:val="6F1D062A"/>
    <w:rsid w:val="6F366813"/>
    <w:rsid w:val="6F587ECF"/>
    <w:rsid w:val="6F615453"/>
    <w:rsid w:val="6FAD1286"/>
    <w:rsid w:val="6FC705D3"/>
    <w:rsid w:val="701D2D7B"/>
    <w:rsid w:val="70763C7F"/>
    <w:rsid w:val="709F72E3"/>
    <w:rsid w:val="70A118C0"/>
    <w:rsid w:val="70C45DC5"/>
    <w:rsid w:val="722357DA"/>
    <w:rsid w:val="72327335"/>
    <w:rsid w:val="726056B4"/>
    <w:rsid w:val="72976D73"/>
    <w:rsid w:val="72C03234"/>
    <w:rsid w:val="72CE0683"/>
    <w:rsid w:val="738D6E54"/>
    <w:rsid w:val="73A35C9A"/>
    <w:rsid w:val="73B52113"/>
    <w:rsid w:val="73BD33C4"/>
    <w:rsid w:val="743E0DAD"/>
    <w:rsid w:val="747B0AC7"/>
    <w:rsid w:val="74CB3187"/>
    <w:rsid w:val="74D96AC3"/>
    <w:rsid w:val="74FD7C06"/>
    <w:rsid w:val="75247457"/>
    <w:rsid w:val="752F757C"/>
    <w:rsid w:val="75533829"/>
    <w:rsid w:val="756D25F7"/>
    <w:rsid w:val="75A40387"/>
    <w:rsid w:val="75DF2EC9"/>
    <w:rsid w:val="75E07BE1"/>
    <w:rsid w:val="75F30363"/>
    <w:rsid w:val="76781FBB"/>
    <w:rsid w:val="767D457D"/>
    <w:rsid w:val="76C26BB0"/>
    <w:rsid w:val="76D53859"/>
    <w:rsid w:val="776B3F01"/>
    <w:rsid w:val="777A2396"/>
    <w:rsid w:val="77931761"/>
    <w:rsid w:val="77DF7A59"/>
    <w:rsid w:val="77E8008A"/>
    <w:rsid w:val="77F744A3"/>
    <w:rsid w:val="78B81338"/>
    <w:rsid w:val="78CE2BA6"/>
    <w:rsid w:val="79715C6A"/>
    <w:rsid w:val="79DE760B"/>
    <w:rsid w:val="7A4D29B7"/>
    <w:rsid w:val="7ACC462B"/>
    <w:rsid w:val="7ACD2E38"/>
    <w:rsid w:val="7B263099"/>
    <w:rsid w:val="7B2B4779"/>
    <w:rsid w:val="7C452AAF"/>
    <w:rsid w:val="7C8D0337"/>
    <w:rsid w:val="7DA82FFA"/>
    <w:rsid w:val="7DED4586"/>
    <w:rsid w:val="7DF83188"/>
    <w:rsid w:val="7E5B746C"/>
    <w:rsid w:val="7E911A61"/>
    <w:rsid w:val="7EE632A0"/>
    <w:rsid w:val="7F0F12E9"/>
    <w:rsid w:val="7F10393F"/>
    <w:rsid w:val="7F3A139D"/>
    <w:rsid w:val="7F7678E7"/>
    <w:rsid w:val="7F806826"/>
    <w:rsid w:val="7FB54954"/>
    <w:rsid w:val="7FC11D8D"/>
    <w:rsid w:val="7FF9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left"/>
      <w:textAlignment w:val="baseline"/>
    </w:pPr>
    <w:rPr>
      <w:rFonts w:ascii="Calibri" w:hAnsi="Calibri"/>
      <w:sz w:val="24"/>
      <w:szCs w:val="22"/>
    </w:rPr>
  </w:style>
  <w:style w:type="paragraph" w:styleId="4">
    <w:name w:val="Normal Indent"/>
    <w:basedOn w:val="1"/>
    <w:link w:val="22"/>
    <w:qFormat/>
    <w:uiPriority w:val="0"/>
    <w:pPr>
      <w:ind w:firstLine="420"/>
    </w:pPr>
    <w:rPr>
      <w:szCs w:val="20"/>
    </w:rPr>
  </w:style>
  <w:style w:type="paragraph" w:styleId="12">
    <w:name w:val="Body Text Indent"/>
    <w:basedOn w:val="1"/>
    <w:qFormat/>
    <w:uiPriority w:val="0"/>
    <w:pPr>
      <w:spacing w:after="120"/>
      <w:ind w:left="420" w:leftChars="200"/>
    </w:pPr>
  </w:style>
  <w:style w:type="paragraph" w:styleId="13">
    <w:name w:val="Plain Text"/>
    <w:basedOn w:val="1"/>
    <w:next w:val="1"/>
    <w:link w:val="23"/>
    <w:qFormat/>
    <w:uiPriority w:val="0"/>
    <w:rPr>
      <w:rFonts w:ascii="宋体" w:hAnsi="Courier New" w:cs="Courier New"/>
      <w:szCs w:val="21"/>
    </w:rPr>
  </w:style>
  <w:style w:type="paragraph" w:styleId="14">
    <w:name w:val="footer"/>
    <w:basedOn w:val="1"/>
    <w:link w:val="24"/>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customStyle="1" w:styleId="22">
    <w:name w:val="正文缩进 Char"/>
    <w:basedOn w:val="20"/>
    <w:link w:val="4"/>
    <w:qFormat/>
    <w:uiPriority w:val="0"/>
    <w:rPr>
      <w:rFonts w:eastAsia="宋体"/>
      <w:kern w:val="2"/>
      <w:sz w:val="21"/>
      <w:lang w:val="en-US" w:eastAsia="zh-CN" w:bidi="ar-SA"/>
    </w:rPr>
  </w:style>
  <w:style w:type="character" w:customStyle="1" w:styleId="23">
    <w:name w:val="纯文本 Char"/>
    <w:basedOn w:val="20"/>
    <w:link w:val="13"/>
    <w:qFormat/>
    <w:uiPriority w:val="0"/>
    <w:rPr>
      <w:rFonts w:ascii="宋体" w:hAnsi="Courier New" w:eastAsia="宋体" w:cs="Courier New"/>
      <w:kern w:val="2"/>
      <w:sz w:val="21"/>
      <w:szCs w:val="21"/>
      <w:lang w:val="en-US" w:eastAsia="zh-CN" w:bidi="ar-SA"/>
    </w:rPr>
  </w:style>
  <w:style w:type="character" w:customStyle="1" w:styleId="24">
    <w:name w:val="页脚 Char"/>
    <w:basedOn w:val="20"/>
    <w:link w:val="14"/>
    <w:qFormat/>
    <w:uiPriority w:val="0"/>
    <w:rPr>
      <w:rFonts w:eastAsia="宋体"/>
      <w:kern w:val="2"/>
      <w:sz w:val="18"/>
      <w:szCs w:val="18"/>
      <w:lang w:val="en-US" w:eastAsia="zh-CN" w:bidi="ar-SA"/>
    </w:rPr>
  </w:style>
  <w:style w:type="paragraph" w:customStyle="1" w:styleId="25">
    <w:name w:val="Char Char2 Char"/>
    <w:basedOn w:val="1"/>
    <w:qFormat/>
    <w:uiPriority w:val="0"/>
    <w:rPr>
      <w:rFonts w:ascii="宋体" w:hAnsi="宋体"/>
      <w:b/>
      <w:sz w:val="28"/>
      <w:szCs w:val="28"/>
    </w:rPr>
  </w:style>
  <w:style w:type="paragraph" w:customStyle="1" w:styleId="26">
    <w:name w:val="Char"/>
    <w:basedOn w:val="1"/>
    <w:qFormat/>
    <w:uiPriority w:val="0"/>
    <w:pPr>
      <w:widowControl/>
      <w:spacing w:line="400" w:lineRule="exact"/>
      <w:jc w:val="center"/>
    </w:pPr>
    <w:rPr>
      <w:rFonts w:ascii="Verdana" w:hAnsi="Verdana"/>
      <w:kern w:val="0"/>
      <w:szCs w:val="20"/>
      <w:lang w:eastAsia="en-US"/>
    </w:rPr>
  </w:style>
  <w:style w:type="paragraph" w:customStyle="1" w:styleId="27">
    <w:name w:val="Table Paragraph"/>
    <w:basedOn w:val="1"/>
    <w:qFormat/>
    <w:uiPriority w:val="1"/>
    <w:rPr>
      <w:rFonts w:ascii="宋体" w:hAnsi="宋体" w:cs="宋体"/>
      <w:lang w:val="zh-CN" w:bidi="zh-CN"/>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font41"/>
    <w:qFormat/>
    <w:uiPriority w:val="0"/>
    <w:rPr>
      <w:rFonts w:hint="eastAsia" w:ascii="仿宋" w:hAnsi="仿宋" w:eastAsia="仿宋" w:cs="仿宋"/>
      <w:b/>
      <w:color w:val="000000"/>
      <w:sz w:val="24"/>
      <w:szCs w:val="24"/>
      <w:u w:val="none"/>
    </w:rPr>
  </w:style>
  <w:style w:type="character" w:customStyle="1" w:styleId="31">
    <w:name w:val="采购文件一、 Char Char"/>
    <w:link w:val="32"/>
    <w:qFormat/>
    <w:uiPriority w:val="0"/>
    <w:rPr>
      <w:rFonts w:ascii="Times New Roman" w:hAnsi="宋体" w:eastAsia="仿宋_GB2312" w:cs="Times New Roman"/>
      <w:b/>
      <w:kern w:val="0"/>
      <w:sz w:val="24"/>
      <w:szCs w:val="20"/>
    </w:rPr>
  </w:style>
  <w:style w:type="paragraph" w:customStyle="1" w:styleId="32">
    <w:name w:val="采购文件一、"/>
    <w:basedOn w:val="13"/>
    <w:link w:val="31"/>
    <w:qFormat/>
    <w:uiPriority w:val="0"/>
    <w:pPr>
      <w:spacing w:before="120" w:after="120" w:line="400" w:lineRule="atLeast"/>
      <w:jc w:val="left"/>
    </w:pPr>
    <w:rPr>
      <w:rFonts w:ascii="Times New Roman" w:hAnsi="宋体" w:eastAsia="仿宋_GB2312" w:cs="Times New Roman"/>
      <w:b/>
      <w:kern w:val="0"/>
      <w:sz w:val="24"/>
      <w:szCs w:val="20"/>
    </w:rPr>
  </w:style>
  <w:style w:type="paragraph" w:customStyle="1" w:styleId="33">
    <w:name w:val="采购文件1."/>
    <w:basedOn w:val="6"/>
    <w:next w:val="34"/>
    <w:qFormat/>
    <w:uiPriority w:val="0"/>
    <w:pPr>
      <w:numPr>
        <w:ilvl w:val="0"/>
        <w:numId w:val="2"/>
      </w:numPr>
      <w:spacing w:line="240" w:lineRule="auto"/>
      <w:jc w:val="left"/>
    </w:pPr>
    <w:rPr>
      <w:rFonts w:ascii="仿宋_GB2312" w:hAnsi="仿宋_GB2312" w:eastAsia="仿宋_GB2312"/>
      <w:sz w:val="24"/>
    </w:rPr>
  </w:style>
  <w:style w:type="paragraph" w:customStyle="1" w:styleId="3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采购文件评审1."/>
    <w:basedOn w:val="1"/>
    <w:qFormat/>
    <w:uiPriority w:val="0"/>
    <w:pPr>
      <w:numPr>
        <w:ilvl w:val="0"/>
        <w:numId w:val="3"/>
      </w:numPr>
      <w:spacing w:before="20" w:after="20" w:line="400" w:lineRule="exact"/>
      <w:ind w:left="360" w:hanging="360" w:hangingChars="200"/>
      <w:jc w:val="left"/>
    </w:pPr>
    <w:rPr>
      <w:rFonts w:eastAsia="仿宋_GB2312"/>
      <w:sz w:val="24"/>
    </w:rPr>
  </w:style>
  <w:style w:type="character" w:customStyle="1" w:styleId="36">
    <w:name w:val="font31"/>
    <w:basedOn w:val="20"/>
    <w:qFormat/>
    <w:uiPriority w:val="0"/>
    <w:rPr>
      <w:rFonts w:ascii="Arial" w:hAnsi="Arial" w:cs="Arial"/>
      <w:color w:val="000000"/>
      <w:sz w:val="24"/>
      <w:szCs w:val="24"/>
      <w:u w:val="none"/>
    </w:rPr>
  </w:style>
  <w:style w:type="character" w:customStyle="1" w:styleId="37">
    <w:name w:val="font11"/>
    <w:basedOn w:val="20"/>
    <w:qFormat/>
    <w:uiPriority w:val="0"/>
    <w:rPr>
      <w:rFonts w:hint="eastAsia" w:ascii="宋体" w:hAnsi="宋体" w:eastAsia="宋体" w:cs="宋体"/>
      <w:color w:val="000000"/>
      <w:sz w:val="24"/>
      <w:szCs w:val="24"/>
      <w:u w:val="none"/>
    </w:rPr>
  </w:style>
  <w:style w:type="paragraph" w:styleId="38">
    <w:name w:val="List Paragraph"/>
    <w:basedOn w:val="1"/>
    <w:qFormat/>
    <w:uiPriority w:val="34"/>
    <w:pPr>
      <w:ind w:firstLine="420" w:firstLineChars="200"/>
    </w:p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01"/>
    <w:basedOn w:val="20"/>
    <w:qFormat/>
    <w:uiPriority w:val="0"/>
    <w:rPr>
      <w:rFonts w:hint="eastAsia" w:ascii="宋体" w:hAnsi="宋体" w:eastAsia="宋体" w:cs="宋体"/>
      <w:color w:val="FF0000"/>
      <w:sz w:val="20"/>
      <w:szCs w:val="20"/>
      <w:u w:val="none"/>
    </w:rPr>
  </w:style>
  <w:style w:type="character" w:customStyle="1" w:styleId="41">
    <w:name w:val="font61"/>
    <w:basedOn w:val="20"/>
    <w:qFormat/>
    <w:uiPriority w:val="0"/>
    <w:rPr>
      <w:rFonts w:hint="eastAsia" w:ascii="宋体" w:hAnsi="宋体" w:eastAsia="宋体" w:cs="宋体"/>
      <w:color w:val="000000"/>
      <w:sz w:val="20"/>
      <w:szCs w:val="20"/>
      <w:u w:val="none"/>
    </w:rPr>
  </w:style>
  <w:style w:type="character" w:customStyle="1" w:styleId="42">
    <w:name w:val="font01"/>
    <w:qFormat/>
    <w:uiPriority w:val="0"/>
    <w:rPr>
      <w:rFonts w:hint="default" w:ascii="Wingdings 2" w:hAnsi="Wingdings 2" w:eastAsia="Wingdings 2" w:cs="Wingdings 2"/>
      <w:color w:val="000000"/>
      <w:sz w:val="24"/>
      <w:szCs w:val="24"/>
      <w:u w:val="none"/>
    </w:rPr>
  </w:style>
  <w:style w:type="character" w:customStyle="1" w:styleId="43">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6172</Words>
  <Characters>6370</Characters>
  <Lines>52</Lines>
  <Paragraphs>14</Paragraphs>
  <TotalTime>9</TotalTime>
  <ScaleCrop>false</ScaleCrop>
  <LinksUpToDate>false</LinksUpToDate>
  <CharactersWithSpaces>7027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2022-06-14T03:05:00Z</dcterms:created>
  <dc:creator>又中</dc:creator>
  <cp:lastModifiedBy>小容</cp:lastModifiedBy>
  <cp:lastPrinted>2021-07-07T05:35:00Z</cp:lastPrinted>
  <dcterms:modified xsi:type="dcterms:W3CDTF">2022-06-17T09:20:03Z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1B229F955D394E4A8088241AE5E5DD9F</vt:lpwstr>
  </property>
</Properties>
</file>