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内部评审项目评分表</w:t>
      </w:r>
    </w:p>
    <w:p>
      <w:pPr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项目名称：</w:t>
      </w:r>
      <w:r>
        <w:rPr>
          <w:rFonts w:hint="eastAsia" w:ascii="黑体" w:eastAsia="黑体"/>
          <w:sz w:val="28"/>
          <w:szCs w:val="28"/>
          <w:u w:val="single"/>
        </w:rPr>
        <w:t>202</w:t>
      </w:r>
      <w:r>
        <w:rPr>
          <w:rFonts w:hint="eastAsia" w:ascii="黑体" w:eastAsia="黑体"/>
          <w:sz w:val="28"/>
          <w:szCs w:val="28"/>
          <w:u w:val="single"/>
          <w:lang w:val="en-US" w:eastAsia="zh-CN"/>
        </w:rPr>
        <w:t>2</w:t>
      </w:r>
      <w:r>
        <w:rPr>
          <w:rFonts w:hint="eastAsia" w:ascii="黑体" w:eastAsia="黑体"/>
          <w:sz w:val="28"/>
          <w:szCs w:val="28"/>
          <w:u w:val="single"/>
        </w:rPr>
        <w:t>年</w:t>
      </w:r>
      <w:r>
        <w:rPr>
          <w:rFonts w:hint="eastAsia" w:ascii="黑体" w:eastAsia="黑体"/>
          <w:sz w:val="28"/>
          <w:szCs w:val="28"/>
          <w:u w:val="single"/>
          <w:lang w:eastAsia="zh-CN"/>
        </w:rPr>
        <w:t>深圳市</w:t>
      </w:r>
      <w:r>
        <w:rPr>
          <w:rFonts w:hint="eastAsia" w:ascii="黑体" w:eastAsia="黑体"/>
          <w:sz w:val="28"/>
          <w:szCs w:val="28"/>
          <w:u w:val="single"/>
        </w:rPr>
        <w:t>文化产业园区运营管理</w:t>
      </w:r>
      <w:r>
        <w:rPr>
          <w:rFonts w:hint="eastAsia" w:ascii="黑体" w:eastAsia="黑体"/>
          <w:sz w:val="28"/>
          <w:szCs w:val="28"/>
          <w:u w:val="single"/>
          <w:lang w:eastAsia="zh-CN"/>
        </w:rPr>
        <w:t>培训（第一期</w:t>
      </w:r>
      <w:bookmarkStart w:id="0" w:name="_GoBack"/>
      <w:bookmarkEnd w:id="0"/>
      <w:r>
        <w:rPr>
          <w:rFonts w:hint="eastAsia" w:ascii="黑体" w:eastAsia="黑体"/>
          <w:sz w:val="28"/>
          <w:szCs w:val="28"/>
          <w:u w:val="single"/>
          <w:lang w:eastAsia="zh-CN"/>
        </w:rPr>
        <w:t>）</w:t>
      </w:r>
    </w:p>
    <w:tbl>
      <w:tblPr>
        <w:tblStyle w:val="6"/>
        <w:tblW w:w="4952" w:type="pct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6"/>
        <w:gridCol w:w="1225"/>
        <w:gridCol w:w="1095"/>
        <w:gridCol w:w="6957"/>
        <w:gridCol w:w="1334"/>
        <w:gridCol w:w="1362"/>
        <w:gridCol w:w="134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tblHeader/>
        </w:trPr>
        <w:tc>
          <w:tcPr>
            <w:tcW w:w="25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3F3F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类别</w:t>
            </w:r>
          </w:p>
        </w:tc>
        <w:tc>
          <w:tcPr>
            <w:tcW w:w="43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3F3F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评分项目</w:t>
            </w:r>
          </w:p>
        </w:tc>
        <w:tc>
          <w:tcPr>
            <w:tcW w:w="39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3F3F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权重分值</w:t>
            </w:r>
          </w:p>
        </w:tc>
        <w:tc>
          <w:tcPr>
            <w:tcW w:w="247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3F3F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评 分 参 考 及 范 围</w:t>
            </w:r>
          </w:p>
        </w:tc>
        <w:tc>
          <w:tcPr>
            <w:tcW w:w="47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3F3F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48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3F3F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48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3F3F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tblHeader/>
        </w:trPr>
        <w:tc>
          <w:tcPr>
            <w:tcW w:w="255" w:type="pct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价格</w:t>
            </w:r>
          </w:p>
        </w:tc>
        <w:tc>
          <w:tcPr>
            <w:tcW w:w="436" w:type="pct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投标总价</w:t>
            </w:r>
          </w:p>
        </w:tc>
        <w:tc>
          <w:tcPr>
            <w:tcW w:w="390" w:type="pct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30</w:t>
            </w:r>
          </w:p>
        </w:tc>
        <w:tc>
          <w:tcPr>
            <w:tcW w:w="2477" w:type="pct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统一采用低价优先法计算，即满足招标文件要求且投标价格最低的投标报价为评标基准价，其价格分为满分。其他投标人的价格分统一按照下列公式计算：</w:t>
            </w:r>
          </w:p>
          <w:p>
            <w:pPr>
              <w:tabs>
                <w:tab w:val="left" w:pos="4995"/>
              </w:tabs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投标报价得分=（评标基准价/投标报价）×权重分值</w:t>
            </w:r>
          </w:p>
        </w:tc>
        <w:tc>
          <w:tcPr>
            <w:tcW w:w="47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4995"/>
              </w:tabs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48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4995"/>
              </w:tabs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48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4995"/>
              </w:tabs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tblHeader/>
        </w:trPr>
        <w:tc>
          <w:tcPr>
            <w:tcW w:w="255" w:type="pct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36" w:type="pct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0" w:type="pct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77" w:type="pct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4995"/>
              </w:tabs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7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4995"/>
              </w:tabs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8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4995"/>
              </w:tabs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8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4995"/>
              </w:tabs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tblHeader/>
        </w:trPr>
        <w:tc>
          <w:tcPr>
            <w:tcW w:w="255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综合</w:t>
            </w:r>
          </w:p>
        </w:tc>
        <w:tc>
          <w:tcPr>
            <w:tcW w:w="436" w:type="pct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培训资源</w:t>
            </w:r>
          </w:p>
        </w:tc>
        <w:tc>
          <w:tcPr>
            <w:tcW w:w="390" w:type="pct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2477" w:type="pct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宋体" w:hAnsi="宋体" w:eastAsia="宋体" w:cs="宋体"/>
                <w:sz w:val="21"/>
                <w:szCs w:val="21"/>
                <w:lang w:val="en-US" w:eastAsia="zh-CN" w:bidi="th-TH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bidi="th-TH"/>
              </w:rPr>
              <w:t>投标人对</w:t>
            </w:r>
            <w:r>
              <w:rPr>
                <w:rFonts w:hint="eastAsia" w:ascii="宋体" w:hAnsi="宋体" w:cs="宋体"/>
                <w:sz w:val="21"/>
                <w:szCs w:val="21"/>
                <w:lang w:eastAsia="zh-CN" w:bidi="th-TH"/>
              </w:rPr>
              <w:t>授课专家的安排情况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 w:bidi="th-TH"/>
              </w:rPr>
              <w:t>，最高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 w:bidi="th-TH"/>
              </w:rPr>
              <w:t>5分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 w:bidi="th-TH"/>
              </w:rPr>
              <w:t>：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 w:bidi="th-TH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 w:bidi="th-TH"/>
              </w:rPr>
              <w:t>安排文化及相关产业专家供我局备选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 w:bidi="th-TH"/>
              </w:rPr>
              <w:t>，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 w:bidi="th-TH"/>
              </w:rPr>
              <w:t>要求副教授及以上职称或在业内知名企业担任中层及以上管理者，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 w:bidi="th-TH"/>
              </w:rPr>
              <w:t>每名得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 w:bidi="th-TH"/>
              </w:rPr>
              <w:t>0.5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 w:bidi="th-TH"/>
              </w:rPr>
              <w:t>分，最高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 w:bidi="th-TH"/>
              </w:rPr>
              <w:t>5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 w:bidi="th-TH"/>
              </w:rPr>
              <w:t>分；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 w:ascii="宋体" w:hAnsi="宋体" w:eastAsia="宋体" w:cs="宋体"/>
                <w:sz w:val="21"/>
                <w:szCs w:val="21"/>
                <w:lang w:val="en-US" w:eastAsia="zh-CN" w:bidi="th-TH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bidi="th-TH"/>
              </w:rPr>
              <w:t>投标人对</w:t>
            </w:r>
            <w:r>
              <w:rPr>
                <w:rFonts w:hint="eastAsia" w:ascii="宋体" w:hAnsi="宋体" w:cs="宋体"/>
                <w:sz w:val="21"/>
                <w:szCs w:val="21"/>
                <w:lang w:eastAsia="zh-CN" w:bidi="th-TH"/>
              </w:rPr>
              <w:t>现场考察点的安排情况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 w:bidi="th-TH"/>
              </w:rPr>
              <w:t>，最高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 w:bidi="th-TH"/>
              </w:rPr>
              <w:t>5分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 w:bidi="th-TH"/>
              </w:rPr>
              <w:t>：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 w:bidi="th-TH"/>
              </w:rPr>
              <w:t>安排省级以上文化产业园/夜间文化和旅游消费集聚区/文旅融合示范区作为</w:t>
            </w:r>
            <w:r>
              <w:rPr>
                <w:rFonts w:hint="eastAsia" w:ascii="宋体" w:hAnsi="宋体" w:cs="宋体"/>
                <w:sz w:val="21"/>
                <w:szCs w:val="21"/>
                <w:lang w:eastAsia="zh-CN" w:bidi="th-TH"/>
              </w:rPr>
              <w:t>现场考察点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 w:bidi="th-TH"/>
              </w:rPr>
              <w:t>供我局备选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 w:bidi="th-TH"/>
              </w:rPr>
              <w:t>，每个得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 w:bidi="th-TH"/>
              </w:rPr>
              <w:t>0.5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 w:bidi="th-TH"/>
              </w:rPr>
              <w:t>分，最高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 w:bidi="th-TH"/>
              </w:rPr>
              <w:t>5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 w:bidi="th-TH"/>
              </w:rPr>
              <w:t>分。</w:t>
            </w:r>
          </w:p>
        </w:tc>
        <w:tc>
          <w:tcPr>
            <w:tcW w:w="475" w:type="pct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 w:bidi="th-TH"/>
              </w:rPr>
            </w:pPr>
          </w:p>
        </w:tc>
        <w:tc>
          <w:tcPr>
            <w:tcW w:w="485" w:type="pct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 w:bidi="th-TH"/>
              </w:rPr>
            </w:pPr>
          </w:p>
        </w:tc>
        <w:tc>
          <w:tcPr>
            <w:tcW w:w="480" w:type="pct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 w:bidi="th-TH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atLeast"/>
          <w:tblHeader/>
        </w:trPr>
        <w:tc>
          <w:tcPr>
            <w:tcW w:w="255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36" w:type="pct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工作方案</w:t>
            </w:r>
          </w:p>
        </w:tc>
        <w:tc>
          <w:tcPr>
            <w:tcW w:w="390" w:type="pct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2477" w:type="pct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hd w:val="clear" w:fill="FFFFFF"/>
              <w:wordWrap/>
              <w:spacing w:before="0" w:beforeAutospacing="0" w:after="0" w:afterAutospacing="0"/>
              <w:ind w:left="0" w:right="0" w:firstLine="0"/>
              <w:jc w:val="left"/>
              <w:rPr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</w:pPr>
            <w:r>
              <w:rPr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按投标文件提供的</w:t>
            </w:r>
            <w:r>
              <w:rPr>
                <w:rFonts w:hint="eastAsia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eastAsia="zh-CN"/>
              </w:rPr>
              <w:t>工作</w:t>
            </w:r>
            <w:r>
              <w:rPr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方案进行评分：</w:t>
            </w:r>
            <w:r>
              <w:rPr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br w:type="textWrapping"/>
            </w:r>
            <w:r>
              <w:rPr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（1）项目实施方案满足</w:t>
            </w: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eastAsia="zh-CN"/>
              </w:rPr>
              <w:t>招标文件需求，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 w:bidi="th-TH"/>
              </w:rPr>
              <w:t>总时长控制在4天3晚，全部培训内容不少于24学时</w:t>
            </w:r>
            <w:r>
              <w:rPr>
                <w:rFonts w:hint="eastAsia" w:cs="宋体"/>
                <w:sz w:val="21"/>
                <w:szCs w:val="21"/>
                <w:lang w:val="en-US" w:eastAsia="zh-CN" w:bidi="th-TH"/>
              </w:rPr>
              <w:t>，并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 w:bidi="th-TH"/>
              </w:rPr>
              <w:t>提供培训课程安排表</w:t>
            </w:r>
            <w:r>
              <w:rPr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；</w:t>
            </w:r>
          </w:p>
          <w:p>
            <w:pPr>
              <w:pStyle w:val="5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hd w:val="clear" w:fill="FFFFFF"/>
              <w:wordWrap/>
              <w:spacing w:before="0" w:beforeAutospacing="0" w:after="0" w:afterAutospacing="0"/>
              <w:ind w:leftChars="0" w:right="0" w:rightChars="0"/>
              <w:jc w:val="left"/>
              <w:rPr>
                <w:rFonts w:hint="eastAsia" w:cs="宋体"/>
                <w:sz w:val="21"/>
                <w:szCs w:val="21"/>
                <w:lang w:val="en-US" w:eastAsia="zh-CN" w:bidi="th-TH"/>
              </w:rPr>
            </w:pPr>
            <w:r>
              <w:rPr>
                <w:rFonts w:hint="eastAsia" w:cs="宋体"/>
                <w:sz w:val="21"/>
                <w:szCs w:val="21"/>
                <w:lang w:val="en-US" w:eastAsia="zh-CN" w:bidi="th-TH"/>
              </w:rPr>
              <w:t>（2）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 w:bidi="th-TH"/>
              </w:rPr>
              <w:t>培训讲座内容能够抓住文化产业及园区发展的重点、痛点、热点</w:t>
            </w:r>
            <w:r>
              <w:rPr>
                <w:rFonts w:hint="eastAsia" w:cs="宋体"/>
                <w:sz w:val="21"/>
                <w:szCs w:val="21"/>
                <w:lang w:val="en-US" w:eastAsia="zh-CN" w:bidi="th-TH"/>
              </w:rPr>
              <w:t>，内容充实丰富，安排主题讲座不少于3场；</w:t>
            </w:r>
          </w:p>
          <w:p>
            <w:pPr>
              <w:pStyle w:val="5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hd w:val="clear" w:fill="FFFFFF"/>
              <w:wordWrap/>
              <w:spacing w:before="0" w:beforeAutospacing="0" w:after="0" w:afterAutospacing="0"/>
              <w:ind w:leftChars="0" w:right="0" w:rightChars="0"/>
              <w:jc w:val="left"/>
              <w:rPr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  <w:lang w:val="en-US" w:eastAsia="zh-CN" w:bidi="th-TH"/>
              </w:rPr>
              <w:t>（3）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 w:bidi="th-TH"/>
              </w:rPr>
              <w:t>安排现场教学点</w:t>
            </w:r>
            <w:r>
              <w:rPr>
                <w:rFonts w:hint="eastAsia" w:cs="宋体"/>
                <w:sz w:val="21"/>
                <w:szCs w:val="21"/>
                <w:lang w:val="en-US" w:eastAsia="zh-CN" w:bidi="th-TH"/>
              </w:rPr>
              <w:t>不少于3个，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 w:bidi="th-TH"/>
              </w:rPr>
              <w:t>地点和动线安排合理、内容契合培训需求</w:t>
            </w:r>
            <w:r>
              <w:rPr>
                <w:rFonts w:hint="eastAsia" w:cs="宋体"/>
                <w:sz w:val="21"/>
                <w:szCs w:val="21"/>
                <w:lang w:val="en-US" w:eastAsia="zh-CN" w:bidi="th-TH"/>
              </w:rPr>
              <w:t>；</w:t>
            </w:r>
          </w:p>
          <w:p>
            <w:pPr>
              <w:pStyle w:val="5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hd w:val="clear" w:fill="FFFFFF"/>
              <w:wordWrap/>
              <w:spacing w:before="0" w:beforeAutospacing="0" w:after="0" w:afterAutospacing="0"/>
              <w:ind w:leftChars="0" w:right="0" w:rightChars="0"/>
              <w:jc w:val="left"/>
              <w:rPr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cs="宋体"/>
                <w:sz w:val="21"/>
                <w:szCs w:val="21"/>
                <w:lang w:val="en-US" w:eastAsia="zh-CN" w:bidi="th-TH"/>
              </w:rPr>
              <w:t>（4）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 w:bidi="th-TH"/>
              </w:rPr>
              <w:t>提供后勤保障方案，对住宿、膳食、场地、车辆、防疫等方面作出</w:t>
            </w:r>
            <w:r>
              <w:rPr>
                <w:rFonts w:hint="eastAsia" w:cs="宋体"/>
                <w:sz w:val="21"/>
                <w:szCs w:val="21"/>
                <w:lang w:val="en-US" w:eastAsia="zh-CN" w:bidi="th-TH"/>
              </w:rPr>
              <w:t>详细、合理、合规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 w:bidi="th-TH"/>
              </w:rPr>
              <w:t>安排。</w:t>
            </w:r>
            <w:r>
              <w:rPr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br w:type="textWrapping"/>
            </w:r>
            <w:r>
              <w:rPr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评分依据：</w:t>
            </w:r>
            <w:r>
              <w:rPr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br w:type="textWrapping"/>
            </w: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eastAsia="zh-CN"/>
              </w:rPr>
              <w:t>对培训需求</w:t>
            </w:r>
            <w:r>
              <w:rPr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理解透彻，出具完整可实施方案，</w:t>
            </w: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eastAsia="zh-CN"/>
              </w:rPr>
              <w:t>且</w:t>
            </w:r>
            <w:r>
              <w:rPr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满足以上</w:t>
            </w: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  <w:t>4</w:t>
            </w:r>
            <w:r>
              <w:rPr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项的，得</w:t>
            </w: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  <w:t>35-45</w:t>
            </w:r>
            <w:r>
              <w:rPr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分。</w:t>
            </w:r>
            <w:r>
              <w:rPr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br w:type="textWrapping"/>
            </w: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eastAsia="zh-CN"/>
              </w:rPr>
              <w:t>对培训需求</w:t>
            </w:r>
            <w:r>
              <w:rPr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理解比较透彻，出具完整方案，</w:t>
            </w: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eastAsia="zh-CN"/>
              </w:rPr>
              <w:t>且</w:t>
            </w:r>
            <w:r>
              <w:rPr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满足以上任意</w:t>
            </w: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  <w:t>3</w:t>
            </w:r>
            <w:r>
              <w:rPr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项的，得</w:t>
            </w: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  <w:t>25-34</w:t>
            </w:r>
            <w:r>
              <w:rPr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分。</w:t>
            </w:r>
            <w:r>
              <w:rPr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br w:type="textWrapping"/>
            </w: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eastAsia="zh-CN"/>
              </w:rPr>
              <w:t>对培训需求</w:t>
            </w:r>
            <w:r>
              <w:rPr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理解一般透彻，出具</w:t>
            </w: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eastAsia="zh-CN"/>
              </w:rPr>
              <w:t>较完整</w:t>
            </w:r>
            <w:r>
              <w:rPr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方案，</w:t>
            </w: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eastAsia="zh-CN"/>
              </w:rPr>
              <w:t>且</w:t>
            </w:r>
            <w:r>
              <w:rPr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满足以上任意</w:t>
            </w: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  <w:t>2</w:t>
            </w:r>
            <w:r>
              <w:rPr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项</w:t>
            </w: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eastAsia="zh-CN"/>
              </w:rPr>
              <w:t>的</w:t>
            </w:r>
            <w:r>
              <w:rPr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，得</w:t>
            </w: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  <w:t>15-24</w:t>
            </w:r>
            <w:r>
              <w:rPr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分。</w:t>
            </w:r>
          </w:p>
          <w:p>
            <w:pPr>
              <w:pStyle w:val="5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hd w:val="clear" w:fill="FFFFFF"/>
              <w:wordWrap/>
              <w:spacing w:before="0" w:beforeAutospacing="0" w:after="0" w:afterAutospacing="0"/>
              <w:ind w:leftChars="0" w:right="0" w:rightChars="0"/>
              <w:jc w:val="left"/>
              <w:rPr>
                <w:rFonts w:hint="default" w:ascii="宋体" w:hAnsi="宋体" w:cs="宋体"/>
                <w:sz w:val="21"/>
                <w:szCs w:val="21"/>
                <w:lang w:val="en-US" w:eastAsia="zh-CN" w:bidi="th-TH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eastAsia="zh-CN"/>
              </w:rPr>
              <w:t>对培训需求没有完全理解</w:t>
            </w:r>
            <w:r>
              <w:rPr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eastAsia="zh-CN"/>
              </w:rPr>
              <w:t>或</w:t>
            </w:r>
            <w:r>
              <w:rPr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出具</w:t>
            </w: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eastAsia="zh-CN"/>
              </w:rPr>
              <w:t>的</w:t>
            </w:r>
            <w:r>
              <w:rPr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方案</w:t>
            </w: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eastAsia="zh-CN"/>
              </w:rPr>
              <w:t>完整度和可行性不高</w:t>
            </w:r>
            <w:r>
              <w:rPr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eastAsia="zh-CN"/>
              </w:rPr>
              <w:t>或只</w:t>
            </w:r>
            <w:r>
              <w:rPr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满足以上</w:t>
            </w: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  <w:t>1</w:t>
            </w:r>
            <w:r>
              <w:rPr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项</w:t>
            </w: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eastAsia="zh-CN"/>
              </w:rPr>
              <w:t>的</w:t>
            </w:r>
            <w:r>
              <w:rPr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，得</w:t>
            </w: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  <w:t>15-24</w:t>
            </w:r>
            <w:r>
              <w:rPr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分。</w:t>
            </w:r>
            <w:r>
              <w:rPr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br w:type="textWrapping"/>
            </w: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eastAsia="zh-CN"/>
              </w:rPr>
              <w:t>对培训需求理解较差，或出具的方案完整的和可行性很低，或</w:t>
            </w:r>
            <w:r>
              <w:rPr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不满足以上任意一项</w:t>
            </w: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eastAsia="zh-CN"/>
              </w:rPr>
              <w:t>的</w:t>
            </w:r>
            <w:r>
              <w:rPr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，得</w:t>
            </w: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  <w:t>0-14</w:t>
            </w:r>
            <w:r>
              <w:rPr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分。</w:t>
            </w:r>
          </w:p>
        </w:tc>
        <w:tc>
          <w:tcPr>
            <w:tcW w:w="475" w:type="pct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lang w:bidi="th-TH"/>
              </w:rPr>
            </w:pPr>
          </w:p>
        </w:tc>
        <w:tc>
          <w:tcPr>
            <w:tcW w:w="485" w:type="pct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lang w:bidi="th-TH"/>
              </w:rPr>
            </w:pPr>
          </w:p>
        </w:tc>
        <w:tc>
          <w:tcPr>
            <w:tcW w:w="480" w:type="pct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lang w:bidi="th-TH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  <w:tblHeader/>
        </w:trPr>
        <w:tc>
          <w:tcPr>
            <w:tcW w:w="255" w:type="pct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3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同类项目工作经验</w:t>
            </w:r>
          </w:p>
        </w:tc>
        <w:tc>
          <w:tcPr>
            <w:tcW w:w="39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15</w:t>
            </w:r>
          </w:p>
        </w:tc>
        <w:tc>
          <w:tcPr>
            <w:tcW w:w="247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lang w:bidi="th-TH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bidi="th-TH"/>
              </w:rPr>
              <w:t>近3年（自20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 w:bidi="th-TH"/>
              </w:rPr>
              <w:t>1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 w:bidi="th-TH"/>
              </w:rPr>
              <w:t>9</w:t>
            </w:r>
            <w:r>
              <w:rPr>
                <w:rFonts w:hint="eastAsia" w:ascii="宋体" w:hAnsi="宋体" w:eastAsia="宋体" w:cs="宋体"/>
                <w:sz w:val="21"/>
                <w:szCs w:val="21"/>
                <w:lang w:bidi="th-TH"/>
              </w:rPr>
              <w:t>年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 w:bidi="th-TH"/>
              </w:rPr>
              <w:t>8</w:t>
            </w:r>
            <w:r>
              <w:rPr>
                <w:rFonts w:hint="eastAsia" w:ascii="宋体" w:hAnsi="宋体" w:eastAsia="宋体" w:cs="宋体"/>
                <w:sz w:val="21"/>
                <w:szCs w:val="21"/>
                <w:lang w:bidi="th-TH"/>
              </w:rPr>
              <w:t>月起）从事过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 w:bidi="th-TH"/>
              </w:rPr>
              <w:t>相关工作的经验</w:t>
            </w:r>
            <w:r>
              <w:rPr>
                <w:rFonts w:hint="eastAsia" w:ascii="宋体" w:hAnsi="宋体" w:eastAsia="宋体" w:cs="宋体"/>
                <w:sz w:val="21"/>
                <w:szCs w:val="21"/>
                <w:lang w:bidi="th-TH"/>
              </w:rPr>
              <w:t>：提供具体实例</w:t>
            </w:r>
            <w:r>
              <w:rPr>
                <w:rFonts w:hint="eastAsia" w:ascii="宋体" w:hAnsi="宋体" w:cs="宋体"/>
                <w:sz w:val="21"/>
                <w:szCs w:val="21"/>
                <w:lang w:eastAsia="zh-CN" w:bidi="th-TH"/>
              </w:rPr>
              <w:t>，</w:t>
            </w:r>
            <w:r>
              <w:rPr>
                <w:rFonts w:hint="eastAsia" w:ascii="宋体" w:hAnsi="宋体" w:eastAsia="宋体" w:cs="宋体"/>
                <w:sz w:val="21"/>
                <w:szCs w:val="21"/>
                <w:lang w:bidi="th-TH"/>
              </w:rPr>
              <w:t>每项5分，最高得15分(需提供相关证明资料)</w:t>
            </w:r>
          </w:p>
        </w:tc>
        <w:tc>
          <w:tcPr>
            <w:tcW w:w="47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lang w:bidi="th-TH"/>
              </w:rPr>
            </w:pPr>
          </w:p>
        </w:tc>
        <w:tc>
          <w:tcPr>
            <w:tcW w:w="48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lang w:bidi="th-TH"/>
              </w:rPr>
            </w:pPr>
          </w:p>
        </w:tc>
        <w:tc>
          <w:tcPr>
            <w:tcW w:w="48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lang w:bidi="th-TH"/>
              </w:rPr>
            </w:pPr>
          </w:p>
        </w:tc>
      </w:tr>
    </w:tbl>
    <w:p>
      <w:pPr>
        <w:wordWrap w:val="0"/>
        <w:ind w:right="420"/>
        <w:jc w:val="right"/>
        <w:rPr>
          <w:rFonts w:hint="eastAsia"/>
          <w:b/>
          <w:sz w:val="24"/>
        </w:rPr>
      </w:pPr>
    </w:p>
    <w:p>
      <w:pPr>
        <w:ind w:right="420"/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谈判小组评分员签名：                               日期：</w:t>
      </w:r>
    </w:p>
    <w:sectPr>
      <w:pgSz w:w="16838" w:h="11906" w:orient="landscape"/>
      <w:pgMar w:top="851" w:right="1440" w:bottom="156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E737D4"/>
    <w:rsid w:val="0003073F"/>
    <w:rsid w:val="00032217"/>
    <w:rsid w:val="000329D3"/>
    <w:rsid w:val="00043F7E"/>
    <w:rsid w:val="000C5EFA"/>
    <w:rsid w:val="001154E1"/>
    <w:rsid w:val="00145E28"/>
    <w:rsid w:val="0015371E"/>
    <w:rsid w:val="0019607D"/>
    <w:rsid w:val="001B13A0"/>
    <w:rsid w:val="001F0AD6"/>
    <w:rsid w:val="00234574"/>
    <w:rsid w:val="002720FA"/>
    <w:rsid w:val="002844CB"/>
    <w:rsid w:val="002C091A"/>
    <w:rsid w:val="002C15B2"/>
    <w:rsid w:val="002F5F65"/>
    <w:rsid w:val="00304766"/>
    <w:rsid w:val="003069DB"/>
    <w:rsid w:val="0033255C"/>
    <w:rsid w:val="003B76B8"/>
    <w:rsid w:val="003D3200"/>
    <w:rsid w:val="004A6B7F"/>
    <w:rsid w:val="004C7867"/>
    <w:rsid w:val="004E5155"/>
    <w:rsid w:val="00540A6B"/>
    <w:rsid w:val="00557CA6"/>
    <w:rsid w:val="00566423"/>
    <w:rsid w:val="005708E5"/>
    <w:rsid w:val="0057592C"/>
    <w:rsid w:val="00594FD0"/>
    <w:rsid w:val="005D51CF"/>
    <w:rsid w:val="00636170"/>
    <w:rsid w:val="00636E75"/>
    <w:rsid w:val="00642D2D"/>
    <w:rsid w:val="00645449"/>
    <w:rsid w:val="0079789F"/>
    <w:rsid w:val="007A2570"/>
    <w:rsid w:val="007B31C7"/>
    <w:rsid w:val="007B7B10"/>
    <w:rsid w:val="007C27A3"/>
    <w:rsid w:val="007E32C1"/>
    <w:rsid w:val="007F4FFF"/>
    <w:rsid w:val="00821C50"/>
    <w:rsid w:val="00822E85"/>
    <w:rsid w:val="00836506"/>
    <w:rsid w:val="008D3A59"/>
    <w:rsid w:val="008F779E"/>
    <w:rsid w:val="00954E87"/>
    <w:rsid w:val="00960C9A"/>
    <w:rsid w:val="0096254A"/>
    <w:rsid w:val="009649FC"/>
    <w:rsid w:val="009A4202"/>
    <w:rsid w:val="009D0294"/>
    <w:rsid w:val="009E09D6"/>
    <w:rsid w:val="009F6F58"/>
    <w:rsid w:val="00A9573A"/>
    <w:rsid w:val="00AA1F22"/>
    <w:rsid w:val="00AC2668"/>
    <w:rsid w:val="00AC375E"/>
    <w:rsid w:val="00B11699"/>
    <w:rsid w:val="00B13334"/>
    <w:rsid w:val="00B322FB"/>
    <w:rsid w:val="00B47CD9"/>
    <w:rsid w:val="00B549B8"/>
    <w:rsid w:val="00B82281"/>
    <w:rsid w:val="00B87BDB"/>
    <w:rsid w:val="00B9205E"/>
    <w:rsid w:val="00BF1079"/>
    <w:rsid w:val="00C432A3"/>
    <w:rsid w:val="00C615BF"/>
    <w:rsid w:val="00C92741"/>
    <w:rsid w:val="00CE6856"/>
    <w:rsid w:val="00D1604D"/>
    <w:rsid w:val="00DA2841"/>
    <w:rsid w:val="00DF0E24"/>
    <w:rsid w:val="00DF6A98"/>
    <w:rsid w:val="00E42999"/>
    <w:rsid w:val="00E70ADE"/>
    <w:rsid w:val="00E737D4"/>
    <w:rsid w:val="00E8732D"/>
    <w:rsid w:val="00EA62B9"/>
    <w:rsid w:val="00ED170A"/>
    <w:rsid w:val="00ED5ECF"/>
    <w:rsid w:val="00EE75F1"/>
    <w:rsid w:val="00F11786"/>
    <w:rsid w:val="00F40B53"/>
    <w:rsid w:val="00F503D2"/>
    <w:rsid w:val="00F721CD"/>
    <w:rsid w:val="00FA0DE8"/>
    <w:rsid w:val="00FB4E43"/>
    <w:rsid w:val="00FC521E"/>
    <w:rsid w:val="00FD2E0D"/>
    <w:rsid w:val="00FF5D04"/>
    <w:rsid w:val="08E42C95"/>
    <w:rsid w:val="09CD1701"/>
    <w:rsid w:val="15F21286"/>
    <w:rsid w:val="1AD5753C"/>
    <w:rsid w:val="2A7B2A15"/>
    <w:rsid w:val="2EEE64AF"/>
    <w:rsid w:val="32F96A85"/>
    <w:rsid w:val="337D0DFB"/>
    <w:rsid w:val="39EE6C6B"/>
    <w:rsid w:val="443607EC"/>
    <w:rsid w:val="4A5B4C3E"/>
    <w:rsid w:val="4EA9729B"/>
    <w:rsid w:val="529412C8"/>
    <w:rsid w:val="5A6437AF"/>
    <w:rsid w:val="5FB524D8"/>
    <w:rsid w:val="62FB2F04"/>
    <w:rsid w:val="66DE488E"/>
    <w:rsid w:val="6AFB137F"/>
    <w:rsid w:val="6BDF1559"/>
    <w:rsid w:val="6DFD6FE5"/>
    <w:rsid w:val="6F3F7908"/>
    <w:rsid w:val="7677282C"/>
    <w:rsid w:val="77DF4028"/>
    <w:rsid w:val="7BE62C36"/>
    <w:rsid w:val="7F1603C6"/>
    <w:rsid w:val="7FCFAFB4"/>
    <w:rsid w:val="7FEF2A50"/>
    <w:rsid w:val="7FEFFA91"/>
    <w:rsid w:val="7FFF876D"/>
    <w:rsid w:val="8ED97342"/>
    <w:rsid w:val="A6FFC083"/>
    <w:rsid w:val="CFEF7C58"/>
    <w:rsid w:val="DF7EEF15"/>
    <w:rsid w:val="F2F7105E"/>
    <w:rsid w:val="F5F9C7C4"/>
    <w:rsid w:val="FEFBA9C6"/>
    <w:rsid w:val="FF5F394D"/>
    <w:rsid w:val="FFFE3DF8"/>
    <w:rsid w:val="FFFF9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109</Words>
  <Characters>627</Characters>
  <Lines>5</Lines>
  <Paragraphs>1</Paragraphs>
  <TotalTime>5</TotalTime>
  <ScaleCrop>false</ScaleCrop>
  <LinksUpToDate>false</LinksUpToDate>
  <CharactersWithSpaces>735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2020-06-11T14:56:00Z</dcterms:created>
  <dc:creator>微软中国</dc:creator>
  <cp:lastModifiedBy>wtjxdn</cp:lastModifiedBy>
  <cp:lastPrinted>2019-04-20T10:27:00Z</cp:lastPrinted>
  <dcterms:modified xsi:type="dcterms:W3CDTF">2022-08-15T14:17:35Z</dcterms:modified>
  <dc:title>内部评审项目评分表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6B70BAC426014F8096002F7FE8891FCA</vt:lpwstr>
  </property>
</Properties>
</file>