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hAnsi="仿宋_GB2312" w:eastAsia="仿宋_GB2312" w:cs="仿宋_GB2312"/>
          <w:b/>
          <w:sz w:val="32"/>
          <w:szCs w:val="32"/>
        </w:rPr>
      </w:pPr>
    </w:p>
    <w:p>
      <w:pPr>
        <w:spacing w:line="560" w:lineRule="exact"/>
        <w:jc w:val="center"/>
        <w:rPr>
          <w:rFonts w:ascii="仿宋_GB2312" w:hAnsi="仿宋_GB2312" w:eastAsia="仿宋_GB2312" w:cs="仿宋_GB2312"/>
          <w:b/>
          <w:sz w:val="32"/>
          <w:szCs w:val="32"/>
        </w:rPr>
      </w:pPr>
    </w:p>
    <w:p>
      <w:pPr>
        <w:spacing w:line="560" w:lineRule="exact"/>
        <w:jc w:val="center"/>
        <w:rPr>
          <w:rFonts w:ascii="仿宋_GB2312" w:hAnsi="仿宋_GB2312" w:eastAsia="仿宋_GB2312" w:cs="仿宋_GB2312"/>
          <w:b/>
          <w:sz w:val="32"/>
          <w:szCs w:val="32"/>
        </w:rPr>
      </w:pPr>
    </w:p>
    <w:p>
      <w:pPr>
        <w:spacing w:line="560" w:lineRule="exact"/>
        <w:jc w:val="center"/>
        <w:rPr>
          <w:rFonts w:ascii="仿宋_GB2312" w:hAnsi="仿宋_GB2312" w:eastAsia="仿宋_GB2312" w:cs="仿宋_GB2312"/>
          <w:b/>
          <w:sz w:val="32"/>
          <w:szCs w:val="32"/>
        </w:rPr>
      </w:pPr>
    </w:p>
    <w:p>
      <w:pPr>
        <w:spacing w:line="560" w:lineRule="exact"/>
        <w:jc w:val="center"/>
        <w:rPr>
          <w:rFonts w:ascii="仿宋_GB2312" w:hAnsi="仿宋_GB2312" w:eastAsia="仿宋_GB2312" w:cs="仿宋_GB2312"/>
          <w:b/>
          <w:sz w:val="32"/>
          <w:szCs w:val="32"/>
        </w:rPr>
      </w:pPr>
    </w:p>
    <w:p>
      <w:pPr>
        <w:spacing w:line="560" w:lineRule="exact"/>
        <w:jc w:val="center"/>
        <w:rPr>
          <w:rFonts w:ascii="方正小标宋简体" w:hAnsi="方正小标宋简体" w:eastAsia="方正小标宋简体" w:cs="方正小标宋简体"/>
          <w:bCs/>
          <w:sz w:val="48"/>
          <w:szCs w:val="48"/>
        </w:rPr>
      </w:pPr>
      <w:r>
        <w:rPr>
          <w:rFonts w:hint="eastAsia" w:ascii="方正小标宋简体" w:hAnsi="方正小标宋简体" w:eastAsia="方正小标宋简体" w:cs="方正小标宋简体"/>
          <w:bCs/>
          <w:sz w:val="48"/>
          <w:szCs w:val="48"/>
        </w:rPr>
        <w:t>202</w:t>
      </w:r>
      <w:r>
        <w:rPr>
          <w:rFonts w:ascii="方正小标宋简体" w:hAnsi="方正小标宋简体" w:eastAsia="方正小标宋简体" w:cs="方正小标宋简体"/>
          <w:bCs/>
          <w:sz w:val="48"/>
          <w:szCs w:val="48"/>
          <w:lang w:val="en"/>
        </w:rPr>
        <w:t>2</w:t>
      </w:r>
      <w:r>
        <w:rPr>
          <w:rFonts w:hint="eastAsia" w:ascii="方正小标宋简体" w:hAnsi="方正小标宋简体" w:eastAsia="方正小标宋简体" w:cs="方正小标宋简体"/>
          <w:bCs/>
          <w:sz w:val="48"/>
          <w:szCs w:val="48"/>
        </w:rPr>
        <w:t>年度深圳市市民体育消费</w:t>
      </w:r>
    </w:p>
    <w:p>
      <w:pPr>
        <w:spacing w:line="560" w:lineRule="exact"/>
        <w:jc w:val="center"/>
        <w:rPr>
          <w:rFonts w:ascii="方正小标宋简体" w:hAnsi="方正小标宋简体" w:eastAsia="方正小标宋简体" w:cs="方正小标宋简体"/>
          <w:bCs/>
          <w:sz w:val="48"/>
          <w:szCs w:val="48"/>
        </w:rPr>
      </w:pPr>
      <w:r>
        <w:rPr>
          <w:rFonts w:hint="eastAsia" w:ascii="方正小标宋简体" w:hAnsi="方正小标宋简体" w:eastAsia="方正小标宋简体" w:cs="方正小标宋简体"/>
          <w:bCs/>
          <w:sz w:val="48"/>
          <w:szCs w:val="48"/>
        </w:rPr>
        <w:t>调查招标需求</w:t>
      </w:r>
      <w:bookmarkStart w:id="12" w:name="_GoBack"/>
      <w:bookmarkEnd w:id="12"/>
    </w:p>
    <w:p>
      <w:pPr>
        <w:spacing w:line="560" w:lineRule="exact"/>
        <w:jc w:val="center"/>
        <w:rPr>
          <w:rFonts w:ascii="仿宋_GB2312" w:hAnsi="仿宋_GB2312" w:eastAsia="仿宋_GB2312" w:cs="仿宋_GB2312"/>
          <w:b/>
          <w:sz w:val="36"/>
          <w:szCs w:val="36"/>
        </w:rPr>
      </w:pPr>
    </w:p>
    <w:p>
      <w:pPr>
        <w:spacing w:line="560" w:lineRule="exact"/>
        <w:jc w:val="center"/>
        <w:rPr>
          <w:rFonts w:ascii="仿宋_GB2312" w:hAnsi="仿宋_GB2312" w:eastAsia="仿宋_GB2312" w:cs="仿宋_GB2312"/>
          <w:b/>
          <w:sz w:val="32"/>
          <w:szCs w:val="32"/>
        </w:rPr>
      </w:pPr>
    </w:p>
    <w:p>
      <w:pPr>
        <w:spacing w:line="560" w:lineRule="exact"/>
        <w:jc w:val="center"/>
        <w:rPr>
          <w:rFonts w:ascii="仿宋_GB2312" w:hAnsi="仿宋_GB2312" w:eastAsia="仿宋_GB2312" w:cs="仿宋_GB2312"/>
          <w:b/>
          <w:sz w:val="32"/>
          <w:szCs w:val="32"/>
        </w:rPr>
      </w:pPr>
    </w:p>
    <w:p>
      <w:pPr>
        <w:spacing w:line="560" w:lineRule="exact"/>
        <w:jc w:val="center"/>
        <w:rPr>
          <w:rFonts w:ascii="仿宋_GB2312" w:hAnsi="仿宋_GB2312" w:eastAsia="仿宋_GB2312" w:cs="仿宋_GB2312"/>
          <w:b/>
          <w:sz w:val="32"/>
          <w:szCs w:val="32"/>
        </w:rPr>
      </w:pPr>
    </w:p>
    <w:p>
      <w:pPr>
        <w:spacing w:line="560" w:lineRule="exact"/>
        <w:jc w:val="center"/>
        <w:rPr>
          <w:rFonts w:ascii="仿宋_GB2312" w:hAnsi="仿宋_GB2312" w:eastAsia="仿宋_GB2312" w:cs="仿宋_GB2312"/>
          <w:b/>
          <w:sz w:val="32"/>
          <w:szCs w:val="32"/>
        </w:rPr>
      </w:pPr>
    </w:p>
    <w:p>
      <w:pPr>
        <w:spacing w:line="560" w:lineRule="exact"/>
        <w:jc w:val="center"/>
        <w:rPr>
          <w:rFonts w:ascii="仿宋_GB2312" w:hAnsi="仿宋_GB2312" w:eastAsia="仿宋_GB2312" w:cs="仿宋_GB2312"/>
          <w:b/>
          <w:sz w:val="32"/>
          <w:szCs w:val="32"/>
        </w:rPr>
      </w:pPr>
    </w:p>
    <w:p>
      <w:pPr>
        <w:spacing w:line="560" w:lineRule="exact"/>
        <w:jc w:val="center"/>
        <w:rPr>
          <w:rFonts w:ascii="仿宋_GB2312" w:hAnsi="仿宋_GB2312" w:eastAsia="仿宋_GB2312" w:cs="仿宋_GB2312"/>
          <w:b/>
          <w:sz w:val="32"/>
          <w:szCs w:val="32"/>
        </w:rPr>
      </w:pPr>
    </w:p>
    <w:p>
      <w:pPr>
        <w:spacing w:line="560" w:lineRule="exact"/>
        <w:jc w:val="center"/>
        <w:rPr>
          <w:rFonts w:ascii="仿宋_GB2312" w:hAnsi="仿宋_GB2312" w:eastAsia="仿宋_GB2312" w:cs="仿宋_GB2312"/>
          <w:b/>
          <w:sz w:val="32"/>
          <w:szCs w:val="32"/>
        </w:rPr>
      </w:pPr>
    </w:p>
    <w:p>
      <w:pPr>
        <w:spacing w:line="560" w:lineRule="exact"/>
        <w:jc w:val="center"/>
        <w:rPr>
          <w:rFonts w:ascii="仿宋_GB2312" w:hAnsi="仿宋_GB2312" w:eastAsia="仿宋_GB2312" w:cs="仿宋_GB2312"/>
          <w:b/>
          <w:sz w:val="32"/>
          <w:szCs w:val="32"/>
        </w:rPr>
      </w:pPr>
    </w:p>
    <w:p>
      <w:pPr>
        <w:spacing w:line="560" w:lineRule="exact"/>
        <w:jc w:val="center"/>
        <w:rPr>
          <w:rFonts w:ascii="仿宋_GB2312" w:hAnsi="仿宋_GB2312" w:eastAsia="仿宋_GB2312" w:cs="仿宋_GB2312"/>
          <w:b/>
          <w:sz w:val="32"/>
          <w:szCs w:val="32"/>
        </w:rPr>
      </w:pPr>
    </w:p>
    <w:p>
      <w:pPr>
        <w:spacing w:line="560" w:lineRule="exact"/>
        <w:jc w:val="center"/>
        <w:rPr>
          <w:rFonts w:ascii="仿宋_GB2312" w:hAnsi="仿宋_GB2312" w:eastAsia="仿宋_GB2312" w:cs="仿宋_GB2312"/>
          <w:b/>
          <w:sz w:val="32"/>
          <w:szCs w:val="32"/>
        </w:rPr>
      </w:pPr>
    </w:p>
    <w:p>
      <w:pPr>
        <w:tabs>
          <w:tab w:val="left" w:pos="8105"/>
        </w:tabs>
        <w:spacing w:line="5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ab/>
      </w:r>
    </w:p>
    <w:p>
      <w:pPr>
        <w:widowControl/>
        <w:spacing w:line="560" w:lineRule="exact"/>
        <w:jc w:val="left"/>
        <w:rPr>
          <w:rFonts w:ascii="仿宋_GB2312" w:hAnsi="仿宋_GB2312" w:eastAsia="仿宋_GB2312" w:cs="仿宋_GB2312"/>
          <w:sz w:val="32"/>
          <w:szCs w:val="32"/>
        </w:rPr>
      </w:pPr>
    </w:p>
    <w:p>
      <w:pPr>
        <w:widowControl/>
        <w:spacing w:line="560" w:lineRule="exact"/>
        <w:jc w:val="left"/>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p>
    <w:p>
      <w:pPr>
        <w:spacing w:line="560" w:lineRule="exact"/>
        <w:jc w:val="center"/>
        <w:rPr>
          <w:rFonts w:ascii="黑体" w:hAnsi="黑体" w:eastAsia="黑体" w:cs="黑体"/>
          <w:bCs/>
          <w:sz w:val="32"/>
          <w:szCs w:val="32"/>
        </w:rPr>
      </w:pPr>
      <w:r>
        <w:rPr>
          <w:rFonts w:hint="eastAsia" w:ascii="黑体" w:hAnsi="黑体" w:eastAsia="黑体" w:cs="黑体"/>
          <w:bCs/>
          <w:sz w:val="32"/>
          <w:szCs w:val="32"/>
        </w:rPr>
        <w:t>202</w:t>
      </w:r>
      <w:r>
        <w:rPr>
          <w:rFonts w:ascii="黑体" w:hAnsi="黑体" w:eastAsia="黑体" w:cs="黑体"/>
          <w:bCs/>
          <w:sz w:val="32"/>
          <w:szCs w:val="32"/>
          <w:lang w:val="en"/>
        </w:rPr>
        <w:t>3</w:t>
      </w:r>
      <w:r>
        <w:rPr>
          <w:rFonts w:hint="eastAsia" w:ascii="黑体" w:hAnsi="黑体" w:eastAsia="黑体" w:cs="黑体"/>
          <w:bCs/>
          <w:sz w:val="32"/>
          <w:szCs w:val="32"/>
        </w:rPr>
        <w:t>年2月</w:t>
      </w:r>
    </w:p>
    <w:p>
      <w:pPr>
        <w:spacing w:line="560" w:lineRule="exact"/>
        <w:jc w:val="center"/>
        <w:rPr>
          <w:rFonts w:ascii="仿宋_GB2312" w:hAnsi="仿宋_GB2312" w:eastAsia="仿宋_GB2312" w:cs="仿宋_GB2312"/>
          <w:b/>
          <w:sz w:val="32"/>
          <w:szCs w:val="32"/>
        </w:rPr>
      </w:pPr>
    </w:p>
    <w:p>
      <w:pPr>
        <w:pStyle w:val="2"/>
        <w:numPr>
          <w:ilvl w:val="0"/>
          <w:numId w:val="0"/>
        </w:numPr>
        <w:spacing w:line="560" w:lineRule="exact"/>
        <w:ind w:right="240" w:firstLine="640" w:firstLineChars="200"/>
        <w:rPr>
          <w:rFonts w:ascii="黑体" w:hAnsi="黑体" w:cs="黑体"/>
          <w:b w:val="0"/>
          <w:bCs w:val="0"/>
          <w:sz w:val="32"/>
        </w:rPr>
      </w:pPr>
      <w:r>
        <w:rPr>
          <w:rFonts w:hint="eastAsia" w:ascii="黑体" w:hAnsi="黑体" w:cs="黑体"/>
          <w:b w:val="0"/>
          <w:bCs w:val="0"/>
          <w:sz w:val="32"/>
        </w:rPr>
        <w:t>一、调查背景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国家体育总局《促进体育消费试点工作实施方案》，加强体育消费数据的收集、监测和分析，全面了解深圳市居民体育消费状况，按照《中华人民共和国统计法》《国家体育消费试点城市居民体育消费调查方案(试行)》等要求，特组织开展深圳市202</w:t>
      </w:r>
      <w:r>
        <w:rPr>
          <w:rFonts w:ascii="仿宋_GB2312" w:hAnsi="仿宋_GB2312" w:eastAsia="仿宋_GB2312" w:cs="仿宋_GB2312"/>
          <w:sz w:val="32"/>
          <w:szCs w:val="32"/>
          <w:lang w:val="en"/>
        </w:rPr>
        <w:t>2</w:t>
      </w:r>
      <w:r>
        <w:rPr>
          <w:rFonts w:hint="eastAsia" w:ascii="仿宋_GB2312" w:hAnsi="仿宋_GB2312" w:eastAsia="仿宋_GB2312" w:cs="仿宋_GB2312"/>
          <w:sz w:val="32"/>
          <w:szCs w:val="32"/>
        </w:rPr>
        <w:t>年度市民体育消费调查，并制定本方案。</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调查方案的制定与实施旨在摸清深圳市体育消费情况，全面调查我市市民体育消费的总量规模、基本结构和发展趋势，推算我市体育消费总规模，探索建立消费视角下的我市体育产业统计制度和核算方法，进而为供给侧结构性改革提供全面系统、真实可靠的统计信息支撑，也为政府主管部门科学制定中长期体育产业发展规划、社会投资主体创新产品供给提供不同视角下的有力支撑。</w:t>
      </w:r>
    </w:p>
    <w:p>
      <w:pPr>
        <w:pStyle w:val="2"/>
        <w:numPr>
          <w:ilvl w:val="0"/>
          <w:numId w:val="0"/>
        </w:numPr>
        <w:spacing w:line="560" w:lineRule="exact"/>
        <w:ind w:firstLine="640" w:firstLineChars="200"/>
        <w:rPr>
          <w:rFonts w:ascii="黑体" w:hAnsi="黑体" w:cs="黑体"/>
          <w:b w:val="0"/>
          <w:bCs w:val="0"/>
          <w:sz w:val="32"/>
        </w:rPr>
      </w:pPr>
      <w:bookmarkStart w:id="0" w:name="_Toc482102874"/>
      <w:bookmarkStart w:id="1" w:name="_Toc19805735"/>
      <w:r>
        <w:rPr>
          <w:rFonts w:hint="eastAsia" w:ascii="黑体" w:hAnsi="黑体" w:cs="黑体"/>
          <w:b w:val="0"/>
          <w:bCs w:val="0"/>
          <w:sz w:val="32"/>
        </w:rPr>
        <w:t>二、调查范围</w:t>
      </w:r>
      <w:bookmarkEnd w:id="0"/>
      <w:r>
        <w:rPr>
          <w:rFonts w:hint="eastAsia" w:ascii="黑体" w:hAnsi="黑体" w:cs="黑体"/>
          <w:b w:val="0"/>
          <w:bCs w:val="0"/>
          <w:sz w:val="32"/>
        </w:rPr>
        <w:t>和对象</w:t>
      </w:r>
      <w:bookmarkEnd w:id="1"/>
    </w:p>
    <w:p>
      <w:pPr>
        <w:pStyle w:val="11"/>
        <w:spacing w:line="560" w:lineRule="exact"/>
        <w:ind w:firstLine="640"/>
        <w:rPr>
          <w:rFonts w:hAnsi="仿宋_GB2312" w:eastAsia="仿宋_GB2312" w:cs="仿宋_GB2312"/>
          <w:sz w:val="32"/>
          <w:szCs w:val="32"/>
        </w:rPr>
      </w:pPr>
      <w:bookmarkStart w:id="2" w:name="_Toc482102876"/>
      <w:r>
        <w:rPr>
          <w:rFonts w:hint="eastAsia" w:hAnsi="仿宋_GB2312" w:eastAsia="仿宋_GB2312" w:cs="仿宋_GB2312"/>
          <w:sz w:val="32"/>
          <w:szCs w:val="32"/>
        </w:rPr>
        <w:t>调查范围为辖区内全市十一个区常住居民。在常住地参加本调查（在深圳市居住6个月以上的常住居民），包括有体育消费和没有体育消费的居民。样本数量不少于5000份。</w:t>
      </w:r>
    </w:p>
    <w:p>
      <w:pPr>
        <w:pStyle w:val="2"/>
        <w:numPr>
          <w:ilvl w:val="0"/>
          <w:numId w:val="0"/>
        </w:numPr>
        <w:spacing w:line="560" w:lineRule="exact"/>
        <w:ind w:firstLine="640" w:firstLineChars="200"/>
        <w:rPr>
          <w:rFonts w:ascii="黑体" w:hAnsi="黑体" w:cs="黑体"/>
          <w:b w:val="0"/>
          <w:bCs w:val="0"/>
          <w:sz w:val="32"/>
        </w:rPr>
      </w:pPr>
      <w:bookmarkStart w:id="3" w:name="_Toc19805736"/>
      <w:r>
        <w:rPr>
          <w:rFonts w:hint="eastAsia" w:ascii="黑体" w:hAnsi="黑体" w:cs="黑体"/>
          <w:b w:val="0"/>
          <w:bCs w:val="0"/>
          <w:sz w:val="32"/>
        </w:rPr>
        <w:t>三、调查年度</w:t>
      </w:r>
      <w:bookmarkEnd w:id="3"/>
    </w:p>
    <w:p>
      <w:pPr>
        <w:pStyle w:val="11"/>
        <w:spacing w:before="211" w:after="211" w:line="560" w:lineRule="exact"/>
        <w:ind w:firstLine="640"/>
        <w:rPr>
          <w:rFonts w:hAnsi="仿宋_GB2312" w:eastAsia="仿宋_GB2312" w:cs="仿宋_GB2312"/>
          <w:sz w:val="32"/>
          <w:szCs w:val="32"/>
        </w:rPr>
      </w:pPr>
      <w:r>
        <w:rPr>
          <w:rFonts w:hint="eastAsia" w:hAnsi="仿宋_GB2312" w:eastAsia="仿宋_GB2312" w:cs="仿宋_GB2312"/>
          <w:sz w:val="32"/>
          <w:szCs w:val="32"/>
        </w:rPr>
        <w:t>居民体育消费问卷调查以202</w:t>
      </w:r>
      <w:r>
        <w:rPr>
          <w:rFonts w:hAnsi="仿宋_GB2312" w:eastAsia="仿宋_GB2312" w:cs="仿宋_GB2312"/>
          <w:sz w:val="32"/>
          <w:szCs w:val="32"/>
          <w:lang w:val="en"/>
        </w:rPr>
        <w:t>2</w:t>
      </w:r>
      <w:r>
        <w:rPr>
          <w:rFonts w:hint="eastAsia" w:hAnsi="仿宋_GB2312" w:eastAsia="仿宋_GB2312" w:cs="仿宋_GB2312"/>
          <w:sz w:val="32"/>
          <w:szCs w:val="32"/>
        </w:rPr>
        <w:t>年度的消费为调查周期。</w:t>
      </w:r>
    </w:p>
    <w:p>
      <w:pPr>
        <w:pStyle w:val="2"/>
        <w:numPr>
          <w:ilvl w:val="0"/>
          <w:numId w:val="0"/>
        </w:numPr>
        <w:spacing w:line="560" w:lineRule="exact"/>
        <w:ind w:firstLine="640" w:firstLineChars="200"/>
        <w:rPr>
          <w:rFonts w:ascii="黑体" w:hAnsi="黑体" w:cs="黑体"/>
          <w:b w:val="0"/>
          <w:bCs w:val="0"/>
          <w:sz w:val="32"/>
        </w:rPr>
      </w:pPr>
      <w:bookmarkStart w:id="4" w:name="_Toc19805737"/>
      <w:r>
        <w:rPr>
          <w:rFonts w:hint="eastAsia" w:ascii="黑体" w:hAnsi="黑体" w:cs="黑体"/>
          <w:b w:val="0"/>
          <w:bCs w:val="0"/>
          <w:sz w:val="32"/>
        </w:rPr>
        <w:t>.四、调查内容</w:t>
      </w:r>
      <w:bookmarkEnd w:id="2"/>
      <w:bookmarkEnd w:id="4"/>
    </w:p>
    <w:p>
      <w:pPr>
        <w:pStyle w:val="11"/>
        <w:spacing w:line="560" w:lineRule="exact"/>
        <w:ind w:firstLine="640"/>
        <w:rPr>
          <w:rFonts w:hAnsi="仿宋_GB2312" w:eastAsia="仿宋_GB2312" w:cs="仿宋_GB2312"/>
          <w:sz w:val="32"/>
          <w:szCs w:val="32"/>
        </w:rPr>
      </w:pPr>
      <w:r>
        <w:rPr>
          <w:rFonts w:hint="eastAsia" w:hAnsi="仿宋_GB2312" w:eastAsia="仿宋_GB2312" w:cs="仿宋_GB2312"/>
          <w:sz w:val="32"/>
          <w:szCs w:val="32"/>
        </w:rPr>
        <w:t>体育消费定义通常指人们用于体育活动及相关方面的消费，主要包括用于购买体育服装以及运动器材，购买体育期刊、书报等实物型支出；用于观看各种体育比赛、表演、展览等所进行的观赏型的消费以及用于参加各种各样的体育活动、健身训练、体育健康医疗等参与型消费，具体包括有：性别、年龄、学历、收入等居民基本特征，以及从事生活性体育消费的消费支出，包括参与型体育消费、实物型体育消费及观赏型体育消费的消费金额等。</w:t>
      </w:r>
    </w:p>
    <w:p>
      <w:pPr>
        <w:pStyle w:val="11"/>
        <w:spacing w:line="560" w:lineRule="exact"/>
        <w:ind w:firstLine="640"/>
        <w:rPr>
          <w:rFonts w:hAnsi="仿宋_GB2312" w:eastAsia="仿宋_GB2312" w:cs="仿宋_GB2312"/>
          <w:b/>
          <w:sz w:val="32"/>
          <w:szCs w:val="32"/>
        </w:rPr>
      </w:pPr>
      <w:r>
        <w:rPr>
          <w:rFonts w:hint="eastAsia" w:hAnsi="仿宋_GB2312" w:eastAsia="仿宋_GB2312" w:cs="仿宋_GB2312"/>
          <w:b/>
          <w:sz w:val="32"/>
          <w:szCs w:val="32"/>
        </w:rPr>
        <w:t>（1）体育消费规模指标</w:t>
      </w:r>
    </w:p>
    <w:tbl>
      <w:tblPr>
        <w:tblStyle w:val="8"/>
        <w:tblW w:w="7959"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99"/>
        <w:gridCol w:w="6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8" w:hRule="atLeast"/>
          <w:tblHeader/>
          <w:jc w:val="center"/>
        </w:trPr>
        <w:tc>
          <w:tcPr>
            <w:tcW w:w="1899" w:type="dxa"/>
          </w:tcPr>
          <w:p>
            <w:pPr>
              <w:spacing w:line="56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序号</w:t>
            </w:r>
          </w:p>
        </w:tc>
        <w:tc>
          <w:tcPr>
            <w:tcW w:w="6060" w:type="dxa"/>
          </w:tcPr>
          <w:p>
            <w:pPr>
              <w:spacing w:line="56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指标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899" w:type="dxa"/>
          </w:tcPr>
          <w:p>
            <w:pPr>
              <w:spacing w:line="560" w:lineRule="exact"/>
              <w:jc w:val="center"/>
              <w:rPr>
                <w:rFonts w:ascii="仿宋_GB2312" w:hAnsi="仿宋_GB2312" w:eastAsia="仿宋_GB2312" w:cs="仿宋_GB2312"/>
                <w:b/>
                <w:sz w:val="32"/>
                <w:szCs w:val="32"/>
              </w:rPr>
            </w:pPr>
            <w:r>
              <w:rPr>
                <w:rFonts w:hint="eastAsia" w:ascii="仿宋_GB2312" w:hAnsi="仿宋_GB2312" w:eastAsia="仿宋_GB2312" w:cs="仿宋_GB2312"/>
                <w:sz w:val="32"/>
                <w:szCs w:val="32"/>
              </w:rPr>
              <w:t>1</w:t>
            </w:r>
          </w:p>
        </w:tc>
        <w:tc>
          <w:tcPr>
            <w:tcW w:w="6060" w:type="dxa"/>
          </w:tcPr>
          <w:p>
            <w:pPr>
              <w:spacing w:line="560" w:lineRule="exact"/>
              <w:jc w:val="center"/>
              <w:rPr>
                <w:rFonts w:ascii="仿宋_GB2312" w:hAnsi="仿宋_GB2312" w:eastAsia="仿宋_GB2312" w:cs="仿宋_GB2312"/>
                <w:b/>
                <w:sz w:val="32"/>
                <w:szCs w:val="32"/>
              </w:rPr>
            </w:pPr>
            <w:r>
              <w:rPr>
                <w:rFonts w:hint="eastAsia" w:ascii="仿宋_GB2312" w:hAnsi="仿宋_GB2312" w:eastAsia="仿宋_GB2312" w:cs="仿宋_GB2312"/>
                <w:sz w:val="32"/>
                <w:szCs w:val="32"/>
              </w:rPr>
              <w:t>居民人均体育消费（元）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899"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6060"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体育消费总额（元）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899"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6060"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实物型体育消费支出（元）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899"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6060"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参与型体育消费支出（元）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899"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6060"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观赏型体育消费支出（元）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99"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6060"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消费支出总额（元）</w:t>
            </w:r>
          </w:p>
        </w:tc>
      </w:tr>
    </w:tbl>
    <w:p>
      <w:pPr>
        <w:pStyle w:val="11"/>
        <w:spacing w:line="560" w:lineRule="exact"/>
        <w:ind w:firstLine="640"/>
        <w:rPr>
          <w:rFonts w:hAnsi="仿宋_GB2312" w:eastAsia="仿宋_GB2312" w:cs="仿宋_GB2312"/>
          <w:b/>
          <w:sz w:val="32"/>
          <w:szCs w:val="32"/>
        </w:rPr>
      </w:pPr>
    </w:p>
    <w:p>
      <w:pPr>
        <w:pStyle w:val="11"/>
        <w:spacing w:line="560" w:lineRule="exact"/>
        <w:ind w:firstLine="640"/>
        <w:rPr>
          <w:rFonts w:hAnsi="仿宋_GB2312" w:eastAsia="仿宋_GB2312" w:cs="仿宋_GB2312"/>
          <w:b/>
          <w:sz w:val="32"/>
          <w:szCs w:val="32"/>
        </w:rPr>
      </w:pPr>
      <w:r>
        <w:rPr>
          <w:rFonts w:hint="eastAsia" w:hAnsi="仿宋_GB2312" w:eastAsia="仿宋_GB2312" w:cs="仿宋_GB2312"/>
          <w:b/>
          <w:sz w:val="32"/>
          <w:szCs w:val="32"/>
        </w:rPr>
        <w:t>（2）体育消费结构指标</w:t>
      </w:r>
    </w:p>
    <w:tbl>
      <w:tblPr>
        <w:tblStyle w:val="8"/>
        <w:tblW w:w="8518" w:type="dxa"/>
        <w:jc w:val="center"/>
        <w:tblBorders>
          <w:top w:val="single" w:color="auto" w:sz="4" w:space="0"/>
          <w:left w:val="none" w:color="auto" w:sz="0" w:space="0"/>
          <w:bottom w:val="single" w:color="auto" w:sz="4" w:space="0"/>
          <w:right w:val="none" w:color="auto" w:sz="0" w:space="0"/>
          <w:insideH w:val="single" w:color="auto" w:sz="4" w:space="0"/>
          <w:insideV w:val="double" w:color="auto" w:sz="4" w:space="0"/>
        </w:tblBorders>
        <w:tblLayout w:type="fixed"/>
        <w:tblCellMar>
          <w:top w:w="0" w:type="dxa"/>
          <w:left w:w="108" w:type="dxa"/>
          <w:bottom w:w="0" w:type="dxa"/>
          <w:right w:w="108" w:type="dxa"/>
        </w:tblCellMar>
      </w:tblPr>
      <w:tblGrid>
        <w:gridCol w:w="3228"/>
        <w:gridCol w:w="1690"/>
        <w:gridCol w:w="2410"/>
        <w:gridCol w:w="1190"/>
      </w:tblGrid>
      <w:tr>
        <w:tblPrEx>
          <w:tblBorders>
            <w:top w:val="single" w:color="auto" w:sz="4" w:space="0"/>
            <w:left w:val="none" w:color="auto" w:sz="0" w:space="0"/>
            <w:bottom w:val="single" w:color="auto" w:sz="4" w:space="0"/>
            <w:right w:val="none" w:color="auto" w:sz="0" w:space="0"/>
            <w:insideH w:val="single" w:color="auto" w:sz="4" w:space="0"/>
            <w:insideV w:val="double" w:color="auto" w:sz="4" w:space="0"/>
          </w:tblBorders>
          <w:tblCellMar>
            <w:top w:w="0" w:type="dxa"/>
            <w:left w:w="108" w:type="dxa"/>
            <w:bottom w:w="0" w:type="dxa"/>
            <w:right w:w="108" w:type="dxa"/>
          </w:tblCellMar>
        </w:tblPrEx>
        <w:trPr>
          <w:trHeight w:val="440" w:hRule="atLeast"/>
          <w:tblHeader/>
          <w:jc w:val="center"/>
        </w:trPr>
        <w:tc>
          <w:tcPr>
            <w:tcW w:w="3228" w:type="dxa"/>
            <w:vAlign w:val="center"/>
          </w:tcPr>
          <w:p>
            <w:pPr>
              <w:widowControl/>
              <w:spacing w:line="560" w:lineRule="exact"/>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消费项目</w:t>
            </w:r>
          </w:p>
        </w:tc>
        <w:tc>
          <w:tcPr>
            <w:tcW w:w="1690" w:type="dxa"/>
            <w:vAlign w:val="center"/>
          </w:tcPr>
          <w:p>
            <w:pPr>
              <w:widowControl/>
              <w:spacing w:line="560" w:lineRule="exact"/>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消费金额（元）</w:t>
            </w:r>
          </w:p>
        </w:tc>
        <w:tc>
          <w:tcPr>
            <w:tcW w:w="2410" w:type="dxa"/>
            <w:vAlign w:val="center"/>
          </w:tcPr>
          <w:p>
            <w:pPr>
              <w:widowControl/>
              <w:spacing w:line="560" w:lineRule="exact"/>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人均消费金额（元）</w:t>
            </w:r>
          </w:p>
        </w:tc>
        <w:tc>
          <w:tcPr>
            <w:tcW w:w="1190" w:type="dxa"/>
            <w:vAlign w:val="center"/>
          </w:tcPr>
          <w:p>
            <w:pPr>
              <w:widowControl/>
              <w:spacing w:line="560" w:lineRule="exact"/>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比例（%）</w:t>
            </w:r>
          </w:p>
        </w:tc>
      </w:tr>
      <w:tr>
        <w:tblPrEx>
          <w:tblBorders>
            <w:top w:val="single" w:color="auto" w:sz="4" w:space="0"/>
            <w:left w:val="none" w:color="auto" w:sz="0" w:space="0"/>
            <w:bottom w:val="single" w:color="auto" w:sz="4" w:space="0"/>
            <w:right w:val="none" w:color="auto" w:sz="0" w:space="0"/>
            <w:insideH w:val="single" w:color="auto" w:sz="4" w:space="0"/>
            <w:insideV w:val="double" w:color="auto" w:sz="4" w:space="0"/>
          </w:tblBorders>
          <w:tblCellMar>
            <w:top w:w="0" w:type="dxa"/>
            <w:left w:w="108" w:type="dxa"/>
            <w:bottom w:w="0" w:type="dxa"/>
            <w:right w:w="108" w:type="dxa"/>
          </w:tblCellMar>
        </w:tblPrEx>
        <w:trPr>
          <w:trHeight w:val="440" w:hRule="atLeast"/>
          <w:jc w:val="center"/>
        </w:trPr>
        <w:tc>
          <w:tcPr>
            <w:tcW w:w="3228" w:type="dxa"/>
            <w:vAlign w:val="center"/>
          </w:tcPr>
          <w:p>
            <w:pPr>
              <w:widowControl/>
              <w:spacing w:line="560" w:lineRule="exact"/>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一、实物型体育消费</w:t>
            </w:r>
          </w:p>
        </w:tc>
        <w:tc>
          <w:tcPr>
            <w:tcW w:w="1690" w:type="dxa"/>
            <w:vAlign w:val="center"/>
          </w:tcPr>
          <w:p>
            <w:pPr>
              <w:widowControl/>
              <w:spacing w:line="560" w:lineRule="exact"/>
              <w:jc w:val="center"/>
              <w:rPr>
                <w:rFonts w:ascii="仿宋_GB2312" w:hAnsi="仿宋_GB2312" w:eastAsia="仿宋_GB2312" w:cs="仿宋_GB2312"/>
                <w:kern w:val="0"/>
                <w:sz w:val="32"/>
                <w:szCs w:val="32"/>
              </w:rPr>
            </w:pPr>
          </w:p>
        </w:tc>
        <w:tc>
          <w:tcPr>
            <w:tcW w:w="2410" w:type="dxa"/>
            <w:vAlign w:val="center"/>
          </w:tcPr>
          <w:p>
            <w:pPr>
              <w:widowControl/>
              <w:spacing w:line="560" w:lineRule="exact"/>
              <w:jc w:val="center"/>
              <w:rPr>
                <w:rFonts w:ascii="仿宋_GB2312" w:hAnsi="仿宋_GB2312" w:eastAsia="仿宋_GB2312" w:cs="仿宋_GB2312"/>
                <w:kern w:val="0"/>
                <w:sz w:val="32"/>
                <w:szCs w:val="32"/>
              </w:rPr>
            </w:pPr>
          </w:p>
        </w:tc>
        <w:tc>
          <w:tcPr>
            <w:tcW w:w="1190" w:type="dxa"/>
            <w:vAlign w:val="center"/>
          </w:tcPr>
          <w:p>
            <w:pPr>
              <w:widowControl/>
              <w:spacing w:line="560" w:lineRule="exact"/>
              <w:jc w:val="center"/>
              <w:rPr>
                <w:rFonts w:ascii="仿宋_GB2312" w:hAnsi="仿宋_GB2312" w:eastAsia="仿宋_GB2312" w:cs="仿宋_GB2312"/>
                <w:kern w:val="0"/>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double" w:color="auto" w:sz="4" w:space="0"/>
          </w:tblBorders>
          <w:tblCellMar>
            <w:top w:w="0" w:type="dxa"/>
            <w:left w:w="108" w:type="dxa"/>
            <w:bottom w:w="0" w:type="dxa"/>
            <w:right w:w="108" w:type="dxa"/>
          </w:tblCellMar>
        </w:tblPrEx>
        <w:trPr>
          <w:trHeight w:val="440" w:hRule="atLeast"/>
          <w:jc w:val="center"/>
        </w:trPr>
        <w:tc>
          <w:tcPr>
            <w:tcW w:w="3228" w:type="dxa"/>
            <w:vAlign w:val="center"/>
          </w:tcPr>
          <w:p>
            <w:pPr>
              <w:widowControl/>
              <w:spacing w:line="560" w:lineRule="exact"/>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二、参与型体育消费</w:t>
            </w:r>
          </w:p>
        </w:tc>
        <w:tc>
          <w:tcPr>
            <w:tcW w:w="1690" w:type="dxa"/>
            <w:vAlign w:val="center"/>
          </w:tcPr>
          <w:p>
            <w:pPr>
              <w:widowControl/>
              <w:spacing w:line="560" w:lineRule="exact"/>
              <w:jc w:val="center"/>
              <w:rPr>
                <w:rFonts w:ascii="仿宋_GB2312" w:hAnsi="仿宋_GB2312" w:eastAsia="仿宋_GB2312" w:cs="仿宋_GB2312"/>
                <w:kern w:val="0"/>
                <w:sz w:val="32"/>
                <w:szCs w:val="32"/>
              </w:rPr>
            </w:pPr>
          </w:p>
        </w:tc>
        <w:tc>
          <w:tcPr>
            <w:tcW w:w="2410" w:type="dxa"/>
            <w:vAlign w:val="center"/>
          </w:tcPr>
          <w:p>
            <w:pPr>
              <w:widowControl/>
              <w:spacing w:line="560" w:lineRule="exact"/>
              <w:jc w:val="center"/>
              <w:rPr>
                <w:rFonts w:ascii="仿宋_GB2312" w:hAnsi="仿宋_GB2312" w:eastAsia="仿宋_GB2312" w:cs="仿宋_GB2312"/>
                <w:kern w:val="0"/>
                <w:sz w:val="32"/>
                <w:szCs w:val="32"/>
              </w:rPr>
            </w:pPr>
          </w:p>
        </w:tc>
        <w:tc>
          <w:tcPr>
            <w:tcW w:w="1190" w:type="dxa"/>
            <w:vAlign w:val="center"/>
          </w:tcPr>
          <w:p>
            <w:pPr>
              <w:widowControl/>
              <w:spacing w:line="560" w:lineRule="exact"/>
              <w:jc w:val="center"/>
              <w:rPr>
                <w:rFonts w:ascii="仿宋_GB2312" w:hAnsi="仿宋_GB2312" w:eastAsia="仿宋_GB2312" w:cs="仿宋_GB2312"/>
                <w:kern w:val="0"/>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double" w:color="auto" w:sz="4" w:space="0"/>
          </w:tblBorders>
          <w:tblCellMar>
            <w:top w:w="0" w:type="dxa"/>
            <w:left w:w="108" w:type="dxa"/>
            <w:bottom w:w="0" w:type="dxa"/>
            <w:right w:w="108" w:type="dxa"/>
          </w:tblCellMar>
        </w:tblPrEx>
        <w:trPr>
          <w:trHeight w:val="448" w:hRule="atLeast"/>
          <w:jc w:val="center"/>
        </w:trPr>
        <w:tc>
          <w:tcPr>
            <w:tcW w:w="3228" w:type="dxa"/>
            <w:vAlign w:val="center"/>
          </w:tcPr>
          <w:p>
            <w:pPr>
              <w:widowControl/>
              <w:spacing w:line="560" w:lineRule="exact"/>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三、观赏型体育消费</w:t>
            </w:r>
          </w:p>
        </w:tc>
        <w:tc>
          <w:tcPr>
            <w:tcW w:w="1690" w:type="dxa"/>
            <w:vAlign w:val="center"/>
          </w:tcPr>
          <w:p>
            <w:pPr>
              <w:widowControl/>
              <w:spacing w:line="560" w:lineRule="exact"/>
              <w:jc w:val="center"/>
              <w:rPr>
                <w:rFonts w:ascii="仿宋_GB2312" w:hAnsi="仿宋_GB2312" w:eastAsia="仿宋_GB2312" w:cs="仿宋_GB2312"/>
                <w:kern w:val="0"/>
                <w:sz w:val="32"/>
                <w:szCs w:val="32"/>
              </w:rPr>
            </w:pPr>
          </w:p>
        </w:tc>
        <w:tc>
          <w:tcPr>
            <w:tcW w:w="2410" w:type="dxa"/>
            <w:vAlign w:val="center"/>
          </w:tcPr>
          <w:p>
            <w:pPr>
              <w:widowControl/>
              <w:spacing w:line="560" w:lineRule="exact"/>
              <w:jc w:val="center"/>
              <w:rPr>
                <w:rFonts w:ascii="仿宋_GB2312" w:hAnsi="仿宋_GB2312" w:eastAsia="仿宋_GB2312" w:cs="仿宋_GB2312"/>
                <w:kern w:val="0"/>
                <w:sz w:val="32"/>
                <w:szCs w:val="32"/>
              </w:rPr>
            </w:pPr>
          </w:p>
        </w:tc>
        <w:tc>
          <w:tcPr>
            <w:tcW w:w="1190" w:type="dxa"/>
            <w:vAlign w:val="center"/>
          </w:tcPr>
          <w:p>
            <w:pPr>
              <w:widowControl/>
              <w:spacing w:line="560" w:lineRule="exact"/>
              <w:jc w:val="center"/>
              <w:rPr>
                <w:rFonts w:ascii="仿宋_GB2312" w:hAnsi="仿宋_GB2312" w:eastAsia="仿宋_GB2312" w:cs="仿宋_GB2312"/>
                <w:kern w:val="0"/>
                <w:sz w:val="32"/>
                <w:szCs w:val="32"/>
              </w:rPr>
            </w:pPr>
          </w:p>
        </w:tc>
      </w:tr>
    </w:tbl>
    <w:p>
      <w:pPr>
        <w:pStyle w:val="2"/>
        <w:numPr>
          <w:ilvl w:val="0"/>
          <w:numId w:val="0"/>
        </w:numPr>
        <w:spacing w:line="560" w:lineRule="exact"/>
        <w:ind w:firstLine="640" w:firstLineChars="200"/>
        <w:rPr>
          <w:rFonts w:ascii="黑体" w:hAnsi="黑体" w:cs="黑体"/>
          <w:b w:val="0"/>
          <w:bCs w:val="0"/>
          <w:sz w:val="32"/>
        </w:rPr>
      </w:pPr>
      <w:bookmarkStart w:id="5" w:name="_Toc19805742"/>
      <w:bookmarkStart w:id="6" w:name="_Toc484090780"/>
      <w:r>
        <w:rPr>
          <w:rFonts w:hint="eastAsia" w:ascii="黑体" w:hAnsi="黑体" w:cs="黑体"/>
          <w:b w:val="0"/>
          <w:bCs w:val="0"/>
          <w:sz w:val="32"/>
        </w:rPr>
        <w:t>五、调查形式</w:t>
      </w:r>
      <w:bookmarkEnd w:id="5"/>
      <w:bookmarkEnd w:id="6"/>
    </w:p>
    <w:p>
      <w:pPr>
        <w:pStyle w:val="11"/>
        <w:spacing w:line="560" w:lineRule="exact"/>
        <w:ind w:firstLine="640"/>
        <w:rPr>
          <w:rFonts w:hAnsi="仿宋_GB2312" w:eastAsia="仿宋_GB2312" w:cs="仿宋_GB2312"/>
          <w:sz w:val="32"/>
          <w:szCs w:val="32"/>
        </w:rPr>
      </w:pPr>
      <w:r>
        <w:rPr>
          <w:rFonts w:hint="eastAsia" w:hAnsi="仿宋_GB2312" w:eastAsia="仿宋_GB2312" w:cs="仿宋_GB2312"/>
          <w:sz w:val="32"/>
          <w:szCs w:val="32"/>
        </w:rPr>
        <w:t>应标供应商需在调研居民体育消费调查中应采用抽样调查方法，统一设计抽样调查方案，并确定样本量，以满足全市抽样推断的需要。</w:t>
      </w:r>
    </w:p>
    <w:p>
      <w:pPr>
        <w:pStyle w:val="11"/>
        <w:spacing w:line="560" w:lineRule="exact"/>
        <w:ind w:firstLine="640"/>
        <w:rPr>
          <w:rFonts w:hAnsi="仿宋_GB2312" w:eastAsia="仿宋_GB2312" w:cs="仿宋_GB2312"/>
          <w:sz w:val="32"/>
          <w:szCs w:val="32"/>
        </w:rPr>
      </w:pPr>
      <w:r>
        <w:rPr>
          <w:rFonts w:hint="eastAsia" w:hAnsi="仿宋_GB2312" w:eastAsia="仿宋_GB2312" w:cs="仿宋_GB2312"/>
          <w:b/>
          <w:sz w:val="32"/>
          <w:szCs w:val="32"/>
        </w:rPr>
        <w:t>注：</w:t>
      </w:r>
      <w:r>
        <w:rPr>
          <w:rFonts w:hint="eastAsia" w:hAnsi="仿宋_GB2312" w:eastAsia="仿宋_GB2312" w:cs="仿宋_GB2312"/>
          <w:sz w:val="32"/>
          <w:szCs w:val="32"/>
        </w:rPr>
        <w:t>为确保调查的顺利进行，需保证各样本分布的科学性和合理性。</w:t>
      </w:r>
    </w:p>
    <w:p>
      <w:pPr>
        <w:pStyle w:val="2"/>
        <w:numPr>
          <w:ilvl w:val="0"/>
          <w:numId w:val="0"/>
        </w:numPr>
        <w:spacing w:line="560" w:lineRule="exact"/>
        <w:ind w:firstLine="640" w:firstLineChars="200"/>
        <w:rPr>
          <w:rFonts w:ascii="黑体" w:hAnsi="黑体" w:cs="黑体"/>
          <w:b w:val="0"/>
          <w:bCs w:val="0"/>
          <w:sz w:val="32"/>
        </w:rPr>
      </w:pPr>
      <w:bookmarkStart w:id="7" w:name="_Toc515698882"/>
      <w:bookmarkStart w:id="8" w:name="_Toc19805743"/>
      <w:r>
        <w:rPr>
          <w:rFonts w:hint="eastAsia" w:ascii="黑体" w:hAnsi="黑体" w:cs="黑体"/>
          <w:b w:val="0"/>
          <w:bCs w:val="0"/>
          <w:sz w:val="32"/>
        </w:rPr>
        <w:t>六、项目进度安排</w:t>
      </w:r>
      <w:bookmarkEnd w:id="7"/>
      <w:bookmarkEnd w:id="8"/>
    </w:p>
    <w:p>
      <w:pPr>
        <w:pStyle w:val="11"/>
        <w:spacing w:line="560" w:lineRule="exact"/>
        <w:ind w:firstLine="640"/>
        <w:rPr>
          <w:rFonts w:hAnsi="仿宋_GB2312" w:eastAsia="仿宋_GB2312" w:cs="仿宋_GB2312"/>
          <w:sz w:val="32"/>
          <w:szCs w:val="32"/>
        </w:rPr>
      </w:pPr>
      <w:bookmarkStart w:id="9" w:name="_Toc19805744"/>
      <w:bookmarkStart w:id="10" w:name="_Toc515698883"/>
      <w:r>
        <w:rPr>
          <w:rFonts w:hint="eastAsia" w:hAnsi="仿宋_GB2312" w:eastAsia="仿宋_GB2312" w:cs="仿宋_GB2312"/>
          <w:sz w:val="32"/>
          <w:szCs w:val="32"/>
        </w:rPr>
        <w:t>投标供应商需按照项目需求在标书中明确工作流程</w:t>
      </w:r>
      <w:bookmarkEnd w:id="9"/>
      <w:bookmarkEnd w:id="10"/>
      <w:r>
        <w:rPr>
          <w:rFonts w:hint="eastAsia" w:hAnsi="仿宋_GB2312" w:eastAsia="仿宋_GB2312" w:cs="仿宋_GB2312"/>
          <w:sz w:val="32"/>
          <w:szCs w:val="32"/>
        </w:rPr>
        <w:t>并确保可在202</w:t>
      </w:r>
      <w:r>
        <w:rPr>
          <w:rFonts w:hAnsi="仿宋_GB2312" w:eastAsia="仿宋_GB2312" w:cs="仿宋_GB2312"/>
          <w:sz w:val="32"/>
          <w:szCs w:val="32"/>
          <w:lang w:val="en"/>
        </w:rPr>
        <w:t>3</w:t>
      </w:r>
      <w:r>
        <w:rPr>
          <w:rFonts w:hint="eastAsia" w:hAnsi="仿宋_GB2312" w:eastAsia="仿宋_GB2312" w:cs="仿宋_GB2312"/>
          <w:sz w:val="32"/>
          <w:szCs w:val="32"/>
        </w:rPr>
        <w:t>年6月前完成。</w:t>
      </w:r>
    </w:p>
    <w:p>
      <w:pPr>
        <w:pStyle w:val="11"/>
        <w:spacing w:line="560" w:lineRule="exact"/>
        <w:ind w:firstLine="640"/>
        <w:rPr>
          <w:rFonts w:hAnsi="仿宋_GB2312" w:eastAsia="仿宋_GB2312" w:cs="仿宋_GB2312"/>
          <w:b/>
          <w:bCs/>
          <w:sz w:val="32"/>
          <w:szCs w:val="32"/>
        </w:rPr>
      </w:pPr>
      <w:r>
        <w:rPr>
          <w:rFonts w:hint="eastAsia" w:hAnsi="仿宋_GB2312" w:eastAsia="仿宋_GB2312" w:cs="仿宋_GB2312"/>
          <w:b/>
          <w:bCs/>
          <w:sz w:val="32"/>
          <w:szCs w:val="32"/>
        </w:rPr>
        <w:t>1、开标与评标</w:t>
      </w:r>
    </w:p>
    <w:p>
      <w:pPr>
        <w:pStyle w:val="11"/>
        <w:spacing w:line="560" w:lineRule="exact"/>
        <w:ind w:firstLine="640"/>
        <w:rPr>
          <w:rFonts w:hAnsi="仿宋_GB2312" w:eastAsia="仿宋_GB2312" w:cs="仿宋_GB2312"/>
          <w:sz w:val="32"/>
          <w:szCs w:val="32"/>
        </w:rPr>
      </w:pPr>
      <w:r>
        <w:rPr>
          <w:rFonts w:hint="eastAsia" w:hAnsi="仿宋_GB2312" w:eastAsia="仿宋_GB2312" w:cs="仿宋_GB2312"/>
          <w:sz w:val="32"/>
          <w:szCs w:val="32"/>
        </w:rPr>
        <w:t>（1）评标小组</w:t>
      </w:r>
    </w:p>
    <w:p>
      <w:pPr>
        <w:pStyle w:val="11"/>
        <w:spacing w:line="560" w:lineRule="exact"/>
        <w:ind w:firstLine="640"/>
        <w:rPr>
          <w:rFonts w:hAnsi="仿宋_GB2312" w:eastAsia="仿宋_GB2312" w:cs="仿宋_GB2312"/>
          <w:sz w:val="32"/>
          <w:szCs w:val="32"/>
        </w:rPr>
      </w:pPr>
      <w:r>
        <w:rPr>
          <w:rFonts w:hint="eastAsia" w:hAnsi="仿宋_GB2312" w:eastAsia="仿宋_GB2312" w:cs="仿宋_GB2312"/>
          <w:sz w:val="32"/>
          <w:szCs w:val="32"/>
        </w:rPr>
        <w:t>本次招标由我局自行采购评审人进行现场评标。</w:t>
      </w:r>
    </w:p>
    <w:p>
      <w:pPr>
        <w:pStyle w:val="11"/>
        <w:spacing w:line="560" w:lineRule="exact"/>
        <w:ind w:firstLine="640"/>
        <w:rPr>
          <w:rFonts w:hAnsi="仿宋_GB2312" w:eastAsia="仿宋_GB2312" w:cs="仿宋_GB2312"/>
          <w:sz w:val="32"/>
          <w:szCs w:val="32"/>
        </w:rPr>
      </w:pPr>
      <w:r>
        <w:rPr>
          <w:rFonts w:hint="eastAsia" w:hAnsi="仿宋_GB2312" w:eastAsia="仿宋_GB2312" w:cs="仿宋_GB2312"/>
          <w:sz w:val="32"/>
          <w:szCs w:val="32"/>
        </w:rPr>
        <w:t>（2）评标方法及评分标准</w:t>
      </w:r>
    </w:p>
    <w:p>
      <w:pPr>
        <w:pStyle w:val="11"/>
        <w:spacing w:line="560" w:lineRule="exact"/>
        <w:ind w:firstLine="640"/>
        <w:rPr>
          <w:rFonts w:hAnsi="仿宋_GB2312" w:eastAsia="仿宋_GB2312" w:cs="仿宋_GB2312"/>
          <w:sz w:val="32"/>
          <w:szCs w:val="32"/>
        </w:rPr>
      </w:pPr>
      <w:r>
        <w:rPr>
          <w:rFonts w:hint="eastAsia" w:hAnsi="仿宋_GB2312" w:eastAsia="仿宋_GB2312" w:cs="仿宋_GB2312"/>
          <w:sz w:val="32"/>
          <w:szCs w:val="32"/>
        </w:rPr>
        <w:t>采购评标小组对每个投标人的资料进行评议和比较，以总评分最高者确定中标候选人。本次评标方法采用综合评分法，具体评分标准如下:</w:t>
      </w:r>
    </w:p>
    <w:tbl>
      <w:tblPr>
        <w:tblStyle w:val="9"/>
        <w:tblW w:w="0" w:type="auto"/>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5"/>
        <w:gridCol w:w="1701"/>
        <w:gridCol w:w="939"/>
        <w:gridCol w:w="4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75" w:type="dxa"/>
            <w:vAlign w:val="center"/>
          </w:tcPr>
          <w:p>
            <w:pPr>
              <w:pStyle w:val="11"/>
              <w:spacing w:line="400" w:lineRule="exact"/>
              <w:ind w:firstLine="0" w:firstLineChars="0"/>
              <w:jc w:val="center"/>
              <w:rPr>
                <w:rFonts w:hAnsi="仿宋_GB2312" w:eastAsia="仿宋_GB2312" w:cs="仿宋_GB2312"/>
                <w:b/>
                <w:bCs/>
                <w:sz w:val="24"/>
                <w:szCs w:val="24"/>
              </w:rPr>
            </w:pPr>
            <w:r>
              <w:rPr>
                <w:rFonts w:hint="eastAsia" w:hAnsi="仿宋_GB2312" w:eastAsia="仿宋_GB2312" w:cs="仿宋_GB2312"/>
                <w:b/>
                <w:bCs/>
                <w:sz w:val="24"/>
                <w:szCs w:val="24"/>
              </w:rPr>
              <w:t>评分项目</w:t>
            </w:r>
          </w:p>
        </w:tc>
        <w:tc>
          <w:tcPr>
            <w:tcW w:w="1701" w:type="dxa"/>
            <w:vAlign w:val="center"/>
          </w:tcPr>
          <w:p>
            <w:pPr>
              <w:pStyle w:val="11"/>
              <w:spacing w:line="400" w:lineRule="exact"/>
              <w:ind w:firstLine="0" w:firstLineChars="0"/>
              <w:jc w:val="center"/>
              <w:rPr>
                <w:rFonts w:hAnsi="仿宋_GB2312" w:eastAsia="仿宋_GB2312" w:cs="仿宋_GB2312"/>
                <w:b/>
                <w:bCs/>
                <w:sz w:val="24"/>
                <w:szCs w:val="24"/>
              </w:rPr>
            </w:pPr>
            <w:r>
              <w:rPr>
                <w:rFonts w:hint="eastAsia" w:hAnsi="仿宋_GB2312" w:eastAsia="仿宋_GB2312" w:cs="仿宋_GB2312"/>
                <w:b/>
                <w:bCs/>
                <w:sz w:val="24"/>
                <w:szCs w:val="24"/>
              </w:rPr>
              <w:t>评审内容</w:t>
            </w:r>
          </w:p>
        </w:tc>
        <w:tc>
          <w:tcPr>
            <w:tcW w:w="939" w:type="dxa"/>
            <w:vAlign w:val="center"/>
          </w:tcPr>
          <w:p>
            <w:pPr>
              <w:pStyle w:val="11"/>
              <w:spacing w:line="400" w:lineRule="exact"/>
              <w:ind w:firstLine="0" w:firstLineChars="0"/>
              <w:jc w:val="center"/>
              <w:rPr>
                <w:rFonts w:hAnsi="仿宋_GB2312" w:eastAsia="仿宋_GB2312" w:cs="仿宋_GB2312"/>
                <w:b/>
                <w:bCs/>
                <w:sz w:val="24"/>
                <w:szCs w:val="24"/>
              </w:rPr>
            </w:pPr>
            <w:r>
              <w:rPr>
                <w:rFonts w:hint="eastAsia" w:hAnsi="仿宋_GB2312" w:eastAsia="仿宋_GB2312" w:cs="仿宋_GB2312"/>
                <w:b/>
                <w:bCs/>
                <w:sz w:val="24"/>
                <w:szCs w:val="24"/>
              </w:rPr>
              <w:t>分值</w:t>
            </w:r>
          </w:p>
        </w:tc>
        <w:tc>
          <w:tcPr>
            <w:tcW w:w="4128" w:type="dxa"/>
            <w:vAlign w:val="center"/>
          </w:tcPr>
          <w:p>
            <w:pPr>
              <w:pStyle w:val="11"/>
              <w:spacing w:line="400" w:lineRule="exact"/>
              <w:ind w:firstLine="0" w:firstLineChars="0"/>
              <w:jc w:val="center"/>
              <w:rPr>
                <w:rFonts w:hAnsi="仿宋_GB2312" w:eastAsia="仿宋_GB2312" w:cs="仿宋_GB2312"/>
                <w:b/>
                <w:bCs/>
                <w:sz w:val="24"/>
                <w:szCs w:val="24"/>
              </w:rPr>
            </w:pPr>
            <w:r>
              <w:rPr>
                <w:rFonts w:hint="eastAsia" w:hAnsi="仿宋_GB2312" w:eastAsia="仿宋_GB2312" w:cs="仿宋_GB2312"/>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75" w:type="dxa"/>
            <w:vAlign w:val="center"/>
          </w:tcPr>
          <w:p>
            <w:pPr>
              <w:pStyle w:val="11"/>
              <w:spacing w:line="400" w:lineRule="exact"/>
              <w:ind w:firstLine="0" w:firstLineChars="0"/>
              <w:jc w:val="center"/>
              <w:rPr>
                <w:rFonts w:hAnsi="仿宋_GB2312" w:eastAsia="仿宋_GB2312" w:cs="仿宋_GB2312"/>
                <w:sz w:val="24"/>
                <w:szCs w:val="24"/>
              </w:rPr>
            </w:pPr>
            <w:r>
              <w:rPr>
                <w:rFonts w:hint="eastAsia" w:hAnsi="仿宋_GB2312" w:eastAsia="仿宋_GB2312" w:cs="仿宋_GB2312"/>
                <w:sz w:val="24"/>
                <w:szCs w:val="24"/>
              </w:rPr>
              <w:t>价格分</w:t>
            </w:r>
          </w:p>
          <w:p>
            <w:pPr>
              <w:pStyle w:val="11"/>
              <w:spacing w:line="400" w:lineRule="exact"/>
              <w:ind w:firstLine="0" w:firstLineChars="0"/>
              <w:jc w:val="center"/>
              <w:rPr>
                <w:rFonts w:hAnsi="仿宋_GB2312" w:eastAsia="仿宋_GB2312" w:cs="仿宋_GB2312"/>
                <w:sz w:val="24"/>
                <w:szCs w:val="24"/>
              </w:rPr>
            </w:pPr>
            <w:r>
              <w:rPr>
                <w:rFonts w:hint="eastAsia" w:hAnsi="仿宋_GB2312" w:eastAsia="仿宋_GB2312" w:cs="仿宋_GB2312"/>
                <w:sz w:val="24"/>
                <w:szCs w:val="24"/>
              </w:rPr>
              <w:t>（</w:t>
            </w:r>
            <w:r>
              <w:rPr>
                <w:rFonts w:hAnsi="仿宋_GB2312" w:eastAsia="仿宋_GB2312" w:cs="仿宋_GB2312"/>
                <w:sz w:val="24"/>
                <w:szCs w:val="24"/>
              </w:rPr>
              <w:t>15</w:t>
            </w:r>
            <w:r>
              <w:rPr>
                <w:rFonts w:hint="eastAsia" w:hAnsi="仿宋_GB2312" w:eastAsia="仿宋_GB2312" w:cs="仿宋_GB2312"/>
                <w:sz w:val="24"/>
                <w:szCs w:val="24"/>
              </w:rPr>
              <w:t>分）</w:t>
            </w:r>
          </w:p>
        </w:tc>
        <w:tc>
          <w:tcPr>
            <w:tcW w:w="1701" w:type="dxa"/>
            <w:vAlign w:val="center"/>
          </w:tcPr>
          <w:p>
            <w:pPr>
              <w:pStyle w:val="11"/>
              <w:spacing w:line="400" w:lineRule="exact"/>
              <w:ind w:firstLine="0" w:firstLineChars="0"/>
              <w:jc w:val="center"/>
              <w:rPr>
                <w:rFonts w:hAnsi="仿宋_GB2312" w:eastAsia="仿宋_GB2312" w:cs="仿宋_GB2312"/>
                <w:sz w:val="24"/>
                <w:szCs w:val="24"/>
              </w:rPr>
            </w:pPr>
            <w:r>
              <w:rPr>
                <w:rFonts w:hint="eastAsia" w:hAnsi="仿宋_GB2312" w:eastAsia="仿宋_GB2312" w:cs="仿宋_GB2312"/>
                <w:sz w:val="24"/>
                <w:szCs w:val="24"/>
              </w:rPr>
              <w:t>投标供应商价格指标</w:t>
            </w:r>
          </w:p>
        </w:tc>
        <w:tc>
          <w:tcPr>
            <w:tcW w:w="939" w:type="dxa"/>
            <w:vAlign w:val="center"/>
          </w:tcPr>
          <w:p>
            <w:pPr>
              <w:pStyle w:val="11"/>
              <w:spacing w:line="400" w:lineRule="exact"/>
              <w:ind w:firstLine="0" w:firstLineChars="0"/>
              <w:jc w:val="center"/>
              <w:rPr>
                <w:rFonts w:hAnsi="仿宋_GB2312" w:eastAsia="仿宋_GB2312" w:cs="仿宋_GB2312"/>
                <w:sz w:val="24"/>
                <w:szCs w:val="24"/>
              </w:rPr>
            </w:pPr>
            <w:r>
              <w:rPr>
                <w:rFonts w:hAnsi="仿宋_GB2312" w:eastAsia="仿宋_GB2312" w:cs="仿宋_GB2312"/>
                <w:sz w:val="24"/>
                <w:szCs w:val="24"/>
              </w:rPr>
              <w:t>15</w:t>
            </w:r>
          </w:p>
        </w:tc>
        <w:tc>
          <w:tcPr>
            <w:tcW w:w="4128" w:type="dxa"/>
            <w:vAlign w:val="center"/>
          </w:tcPr>
          <w:p>
            <w:pPr>
              <w:pStyle w:val="11"/>
              <w:spacing w:line="400" w:lineRule="exact"/>
              <w:ind w:firstLine="0" w:firstLineChars="0"/>
              <w:jc w:val="left"/>
              <w:rPr>
                <w:rFonts w:hAnsi="仿宋_GB2312" w:eastAsia="仿宋_GB2312" w:cs="仿宋_GB2312"/>
                <w:sz w:val="24"/>
                <w:szCs w:val="24"/>
              </w:rPr>
            </w:pPr>
            <w:r>
              <w:rPr>
                <w:rFonts w:hint="eastAsia" w:hAnsi="仿宋_GB2312" w:eastAsia="仿宋_GB2312" w:cs="仿宋_GB2312"/>
                <w:sz w:val="24"/>
                <w:szCs w:val="24"/>
              </w:rPr>
              <w:t>满足招标文件要求且投标价格最低的投标报价为评标基准价，其价格分为满分。其他投标人的价格分按照下列公式计算：价格评分=基准价/标准价*</w:t>
            </w:r>
            <w:r>
              <w:rPr>
                <w:rFonts w:hAnsi="仿宋_GB2312" w:eastAsia="仿宋_GB2312" w:cs="仿宋_GB2312"/>
                <w:sz w:val="24"/>
                <w:szCs w:val="24"/>
              </w:rPr>
              <w:t>15</w:t>
            </w:r>
            <w:r>
              <w:rPr>
                <w:rFonts w:hint="eastAsia"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restart"/>
            <w:vAlign w:val="center"/>
          </w:tcPr>
          <w:p>
            <w:pPr>
              <w:pStyle w:val="11"/>
              <w:spacing w:line="400" w:lineRule="exact"/>
              <w:ind w:firstLine="0" w:firstLineChars="0"/>
              <w:jc w:val="center"/>
              <w:rPr>
                <w:rFonts w:hAnsi="仿宋_GB2312" w:eastAsia="仿宋_GB2312" w:cs="仿宋_GB2312"/>
                <w:sz w:val="24"/>
                <w:szCs w:val="24"/>
              </w:rPr>
            </w:pPr>
            <w:r>
              <w:rPr>
                <w:rFonts w:hint="eastAsia" w:hAnsi="仿宋_GB2312" w:eastAsia="仿宋_GB2312" w:cs="仿宋_GB2312"/>
                <w:sz w:val="24"/>
                <w:szCs w:val="24"/>
              </w:rPr>
              <w:t>技术分</w:t>
            </w:r>
          </w:p>
          <w:p>
            <w:pPr>
              <w:pStyle w:val="11"/>
              <w:spacing w:line="400" w:lineRule="exact"/>
              <w:ind w:firstLine="0" w:firstLineChars="0"/>
              <w:jc w:val="both"/>
              <w:rPr>
                <w:rFonts w:hAnsi="仿宋_GB2312" w:eastAsia="仿宋_GB2312" w:cs="仿宋_GB2312"/>
                <w:sz w:val="24"/>
                <w:szCs w:val="24"/>
              </w:rPr>
            </w:pPr>
            <w:r>
              <w:rPr>
                <w:rFonts w:hint="eastAsia" w:hAnsi="仿宋_GB2312" w:eastAsia="仿宋_GB2312" w:cs="仿宋_GB2312"/>
                <w:sz w:val="24"/>
                <w:szCs w:val="24"/>
              </w:rPr>
              <w:t>（</w:t>
            </w:r>
            <w:r>
              <w:rPr>
                <w:rFonts w:hAnsi="仿宋_GB2312" w:eastAsia="仿宋_GB2312" w:cs="仿宋_GB2312"/>
                <w:sz w:val="24"/>
                <w:szCs w:val="24"/>
              </w:rPr>
              <w:t>6</w:t>
            </w:r>
            <w:r>
              <w:rPr>
                <w:rFonts w:hint="eastAsia" w:hAnsi="仿宋_GB2312" w:eastAsia="仿宋_GB2312" w:cs="仿宋_GB2312"/>
                <w:sz w:val="24"/>
                <w:szCs w:val="24"/>
              </w:rPr>
              <w:t>0分）</w:t>
            </w:r>
          </w:p>
        </w:tc>
        <w:tc>
          <w:tcPr>
            <w:tcW w:w="1701" w:type="dxa"/>
            <w:vAlign w:val="center"/>
          </w:tcPr>
          <w:p>
            <w:pPr>
              <w:pStyle w:val="11"/>
              <w:spacing w:line="400" w:lineRule="exact"/>
              <w:ind w:firstLine="0" w:firstLineChars="0"/>
              <w:jc w:val="center"/>
              <w:rPr>
                <w:rFonts w:hAnsi="仿宋_GB2312" w:eastAsia="仿宋_GB2312" w:cs="仿宋_GB2312"/>
                <w:sz w:val="24"/>
                <w:szCs w:val="24"/>
              </w:rPr>
            </w:pPr>
            <w:r>
              <w:rPr>
                <w:rFonts w:hint="eastAsia" w:hAnsi="仿宋_GB2312" w:eastAsia="仿宋_GB2312" w:cs="仿宋_GB2312"/>
                <w:sz w:val="24"/>
                <w:szCs w:val="24"/>
              </w:rPr>
              <w:t>项目负责人资质要求</w:t>
            </w:r>
          </w:p>
        </w:tc>
        <w:tc>
          <w:tcPr>
            <w:tcW w:w="939" w:type="dxa"/>
            <w:vAlign w:val="center"/>
          </w:tcPr>
          <w:p>
            <w:pPr>
              <w:pStyle w:val="11"/>
              <w:spacing w:line="400" w:lineRule="exact"/>
              <w:ind w:firstLine="0" w:firstLineChars="0"/>
              <w:jc w:val="center"/>
              <w:rPr>
                <w:rFonts w:hAnsi="仿宋_GB2312" w:eastAsia="仿宋_GB2312" w:cs="仿宋_GB2312"/>
                <w:sz w:val="24"/>
                <w:szCs w:val="24"/>
              </w:rPr>
            </w:pPr>
            <w:r>
              <w:rPr>
                <w:rFonts w:hint="eastAsia" w:hAnsi="仿宋_GB2312" w:eastAsia="仿宋_GB2312" w:cs="仿宋_GB2312"/>
                <w:sz w:val="24"/>
                <w:szCs w:val="24"/>
              </w:rPr>
              <w:t>10</w:t>
            </w:r>
          </w:p>
        </w:tc>
        <w:tc>
          <w:tcPr>
            <w:tcW w:w="4128" w:type="dxa"/>
            <w:vAlign w:val="center"/>
          </w:tcPr>
          <w:p>
            <w:pPr>
              <w:pStyle w:val="11"/>
              <w:spacing w:line="400" w:lineRule="exact"/>
              <w:ind w:firstLine="0" w:firstLineChars="0"/>
              <w:jc w:val="left"/>
              <w:rPr>
                <w:rFonts w:hAnsi="仿宋_GB2312" w:eastAsia="仿宋_GB2312" w:cs="仿宋_GB2312"/>
                <w:sz w:val="24"/>
                <w:szCs w:val="24"/>
              </w:rPr>
            </w:pPr>
            <w:r>
              <w:rPr>
                <w:rFonts w:hint="eastAsia" w:hAnsi="仿宋_GB2312" w:eastAsia="仿宋_GB2312" w:cs="仿宋_GB2312"/>
                <w:sz w:val="24"/>
                <w:szCs w:val="24"/>
              </w:rPr>
              <w:t>拟安排项目负责人为投标人正式员工，在此基础上：</w:t>
            </w:r>
          </w:p>
          <w:p>
            <w:pPr>
              <w:pStyle w:val="11"/>
              <w:spacing w:line="400" w:lineRule="exact"/>
              <w:ind w:firstLine="0" w:firstLineChars="0"/>
              <w:jc w:val="left"/>
              <w:rPr>
                <w:rFonts w:hAnsi="仿宋_GB2312" w:eastAsia="仿宋_GB2312" w:cs="仿宋_GB2312"/>
                <w:sz w:val="24"/>
                <w:szCs w:val="24"/>
              </w:rPr>
            </w:pPr>
            <w:r>
              <w:rPr>
                <w:rFonts w:hint="eastAsia" w:hAnsi="仿宋_GB2312" w:eastAsia="仿宋_GB2312" w:cs="仿宋_GB2312"/>
                <w:sz w:val="24"/>
                <w:szCs w:val="24"/>
              </w:rPr>
              <w:t>1.具有统计学类、经济学类、管理学类、社会学相关专业学历，研究生或以上学历得3分，本科学历得1分，其他情况不得分；</w:t>
            </w:r>
          </w:p>
          <w:p>
            <w:pPr>
              <w:pStyle w:val="11"/>
              <w:spacing w:line="400" w:lineRule="exact"/>
              <w:ind w:firstLine="0" w:firstLineChars="0"/>
              <w:jc w:val="left"/>
              <w:rPr>
                <w:rFonts w:hAnsi="仿宋_GB2312" w:eastAsia="仿宋_GB2312" w:cs="仿宋_GB2312"/>
                <w:sz w:val="24"/>
                <w:szCs w:val="24"/>
              </w:rPr>
            </w:pPr>
            <w:r>
              <w:rPr>
                <w:rFonts w:hint="eastAsia" w:hAnsi="仿宋_GB2312" w:eastAsia="仿宋_GB2312" w:cs="仿宋_GB2312"/>
                <w:sz w:val="24"/>
                <w:szCs w:val="24"/>
              </w:rPr>
              <w:t>2. 具有统计类副高级及以上职称的得3分，中级职称得1分，其他情况不得分；</w:t>
            </w:r>
          </w:p>
          <w:p>
            <w:pPr>
              <w:pStyle w:val="11"/>
              <w:spacing w:line="400" w:lineRule="exact"/>
              <w:ind w:firstLine="0" w:firstLineChars="0"/>
              <w:jc w:val="left"/>
              <w:rPr>
                <w:rFonts w:hAnsi="仿宋_GB2312" w:eastAsia="仿宋_GB2312" w:cs="仿宋_GB2312"/>
                <w:sz w:val="24"/>
                <w:szCs w:val="24"/>
              </w:rPr>
            </w:pPr>
            <w:r>
              <w:rPr>
                <w:rFonts w:hint="eastAsia" w:hAnsi="仿宋_GB2312" w:eastAsia="仿宋_GB2312" w:cs="仿宋_GB2312"/>
                <w:sz w:val="24"/>
                <w:szCs w:val="24"/>
              </w:rPr>
              <w:t>3.具有市级（或以上）体育消费统计调查类项目经验的，每提供一项得2分，本小项最高4分。</w:t>
            </w:r>
          </w:p>
          <w:p>
            <w:pPr>
              <w:pStyle w:val="11"/>
              <w:spacing w:line="400" w:lineRule="exact"/>
              <w:ind w:firstLine="0" w:firstLineChars="0"/>
              <w:jc w:val="left"/>
              <w:rPr>
                <w:rFonts w:hAnsi="仿宋_GB2312" w:eastAsia="仿宋_GB2312" w:cs="仿宋_GB2312"/>
                <w:sz w:val="24"/>
                <w:szCs w:val="24"/>
              </w:rPr>
            </w:pPr>
            <w:r>
              <w:rPr>
                <w:rFonts w:hint="eastAsia" w:hAnsi="仿宋_GB2312" w:eastAsia="仿宋_GB2312" w:cs="仿宋_GB2312"/>
                <w:sz w:val="24"/>
                <w:szCs w:val="24"/>
              </w:rPr>
              <w:t>（二）评分依据：</w:t>
            </w:r>
          </w:p>
          <w:p>
            <w:pPr>
              <w:pStyle w:val="11"/>
              <w:spacing w:line="400" w:lineRule="exact"/>
              <w:ind w:firstLine="0" w:firstLineChars="0"/>
              <w:jc w:val="left"/>
              <w:rPr>
                <w:rFonts w:hAnsi="仿宋_GB2312" w:eastAsia="仿宋_GB2312" w:cs="仿宋_GB2312"/>
                <w:sz w:val="24"/>
                <w:szCs w:val="24"/>
              </w:rPr>
            </w:pPr>
            <w:r>
              <w:rPr>
                <w:rFonts w:hint="eastAsia" w:hAnsi="仿宋_GB2312" w:eastAsia="仿宋_GB2312" w:cs="仿宋_GB2312"/>
                <w:sz w:val="24"/>
                <w:szCs w:val="24"/>
              </w:rPr>
              <w:t>1.要求提供通过投标人购买的项目负责人近三个月社保证明（2022年11月至2023年1月）及学历证书、职称证书、项目经验证明（由委托方盖章出具的项目验收证明材料）作为得分依据。</w:t>
            </w:r>
          </w:p>
          <w:p>
            <w:pPr>
              <w:pStyle w:val="11"/>
              <w:spacing w:line="400" w:lineRule="exact"/>
              <w:ind w:firstLine="0" w:firstLineChars="0"/>
              <w:jc w:val="left"/>
              <w:rPr>
                <w:rFonts w:hAnsi="仿宋_GB2312" w:eastAsia="仿宋_GB2312" w:cs="仿宋_GB2312"/>
                <w:sz w:val="24"/>
                <w:szCs w:val="24"/>
              </w:rPr>
            </w:pPr>
            <w:r>
              <w:rPr>
                <w:rFonts w:hint="eastAsia" w:hAnsi="仿宋_GB2312" w:eastAsia="仿宋_GB2312" w:cs="仿宋_GB2312"/>
                <w:sz w:val="24"/>
                <w:szCs w:val="24"/>
              </w:rPr>
              <w:t>2.以上资料均要求提供扫描件。评分中出现无证明资料或专家无法凭所提供资料判断是否得分的情况，一律作不得分处理。</w:t>
            </w:r>
          </w:p>
          <w:p>
            <w:pPr>
              <w:pStyle w:val="11"/>
              <w:spacing w:line="400" w:lineRule="exact"/>
              <w:ind w:firstLine="0" w:firstLineChars="0"/>
              <w:jc w:val="left"/>
              <w:rPr>
                <w:rFonts w:hAnsi="仿宋_GB2312" w:eastAsia="仿宋_GB2312" w:cs="仿宋_GB2312"/>
                <w:sz w:val="24"/>
                <w:szCs w:val="24"/>
                <w:lang w:val="en"/>
              </w:rPr>
            </w:pPr>
            <w:r>
              <w:rPr>
                <w:rFonts w:hint="eastAsia" w:hAnsi="仿宋_GB2312" w:eastAsia="仿宋_GB2312" w:cs="仿宋_GB2312"/>
                <w:sz w:val="24"/>
                <w:szCs w:val="24"/>
              </w:rPr>
              <w:t>3.社保证明资料应当至少包含养老保险或医疗保险（补缴的社保不予计算)，证明资料可为社保收缴部门盖章证明资料。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vAlign w:val="center"/>
          </w:tcPr>
          <w:p>
            <w:pPr>
              <w:pStyle w:val="11"/>
              <w:spacing w:line="400" w:lineRule="exact"/>
              <w:ind w:firstLine="480"/>
              <w:jc w:val="center"/>
              <w:rPr>
                <w:rFonts w:hAnsi="仿宋_GB2312" w:eastAsia="仿宋_GB2312" w:cs="仿宋_GB2312"/>
                <w:sz w:val="24"/>
                <w:szCs w:val="24"/>
              </w:rPr>
            </w:pPr>
          </w:p>
        </w:tc>
        <w:tc>
          <w:tcPr>
            <w:tcW w:w="1701" w:type="dxa"/>
            <w:vAlign w:val="center"/>
          </w:tcPr>
          <w:p>
            <w:pPr>
              <w:pStyle w:val="11"/>
              <w:spacing w:line="400" w:lineRule="exact"/>
              <w:ind w:firstLine="0" w:firstLineChars="0"/>
              <w:jc w:val="center"/>
              <w:rPr>
                <w:rFonts w:hAnsi="仿宋_GB2312" w:eastAsia="仿宋_GB2312" w:cs="仿宋_GB2312"/>
                <w:sz w:val="24"/>
                <w:szCs w:val="24"/>
              </w:rPr>
            </w:pPr>
            <w:r>
              <w:rPr>
                <w:rFonts w:hint="eastAsia" w:hAnsi="仿宋_GB2312" w:eastAsia="仿宋_GB2312" w:cs="仿宋_GB2312"/>
                <w:sz w:val="24"/>
                <w:szCs w:val="24"/>
              </w:rPr>
              <w:t>项目技术支持团队资质要求（项目负责人除外）</w:t>
            </w:r>
          </w:p>
        </w:tc>
        <w:tc>
          <w:tcPr>
            <w:tcW w:w="939" w:type="dxa"/>
            <w:vAlign w:val="center"/>
          </w:tcPr>
          <w:p>
            <w:pPr>
              <w:pStyle w:val="11"/>
              <w:spacing w:line="400" w:lineRule="exact"/>
              <w:ind w:firstLine="0" w:firstLineChars="0"/>
              <w:jc w:val="center"/>
              <w:rPr>
                <w:rFonts w:hAnsi="仿宋_GB2312" w:eastAsia="仿宋_GB2312" w:cs="仿宋_GB2312"/>
                <w:sz w:val="24"/>
                <w:szCs w:val="24"/>
              </w:rPr>
            </w:pPr>
            <w:r>
              <w:rPr>
                <w:rFonts w:hAnsi="仿宋_GB2312" w:eastAsia="仿宋_GB2312" w:cs="仿宋_GB2312"/>
                <w:sz w:val="24"/>
                <w:szCs w:val="24"/>
              </w:rPr>
              <w:t>20</w:t>
            </w:r>
          </w:p>
        </w:tc>
        <w:tc>
          <w:tcPr>
            <w:tcW w:w="4128" w:type="dxa"/>
            <w:vAlign w:val="center"/>
          </w:tcPr>
          <w:p>
            <w:pPr>
              <w:pStyle w:val="11"/>
              <w:spacing w:line="400" w:lineRule="exact"/>
              <w:ind w:firstLine="0" w:firstLineChars="0"/>
              <w:jc w:val="both"/>
              <w:rPr>
                <w:rFonts w:hAnsi="仿宋_GB2312" w:eastAsia="仿宋_GB2312" w:cs="仿宋_GB2312"/>
                <w:sz w:val="24"/>
                <w:szCs w:val="24"/>
              </w:rPr>
            </w:pPr>
            <w:r>
              <w:rPr>
                <w:rFonts w:hint="eastAsia" w:hAnsi="仿宋_GB2312" w:eastAsia="仿宋_GB2312" w:cs="仿宋_GB2312"/>
                <w:sz w:val="24"/>
                <w:szCs w:val="24"/>
              </w:rPr>
              <w:t>拟安排项目技术支持人员为投标人在职员工，且具有市级（或以上）体育消费统计调查类项目经验的在此基础上：</w:t>
            </w:r>
          </w:p>
          <w:p>
            <w:pPr>
              <w:pStyle w:val="11"/>
              <w:spacing w:line="400" w:lineRule="exact"/>
              <w:ind w:firstLine="0" w:firstLineChars="0"/>
              <w:jc w:val="both"/>
              <w:rPr>
                <w:rFonts w:hAnsi="仿宋_GB2312" w:eastAsia="仿宋_GB2312" w:cs="仿宋_GB2312"/>
                <w:sz w:val="24"/>
                <w:szCs w:val="24"/>
              </w:rPr>
            </w:pPr>
            <w:r>
              <w:rPr>
                <w:rFonts w:hint="eastAsia" w:hAnsi="仿宋_GB2312" w:eastAsia="仿宋_GB2312" w:cs="仿宋_GB2312"/>
                <w:sz w:val="24"/>
                <w:szCs w:val="24"/>
              </w:rPr>
              <w:t>1.具有副高级及以上统计师职称，每提供一人得</w:t>
            </w:r>
            <w:r>
              <w:rPr>
                <w:rFonts w:hAnsi="仿宋_GB2312" w:eastAsia="仿宋_GB2312" w:cs="仿宋_GB2312"/>
                <w:sz w:val="24"/>
                <w:szCs w:val="24"/>
              </w:rPr>
              <w:t>2</w:t>
            </w:r>
            <w:r>
              <w:rPr>
                <w:rFonts w:hint="eastAsia" w:hAnsi="仿宋_GB2312" w:eastAsia="仿宋_GB2312" w:cs="仿宋_GB2312"/>
                <w:sz w:val="24"/>
                <w:szCs w:val="24"/>
              </w:rPr>
              <w:t>分，本小项最高</w:t>
            </w:r>
            <w:r>
              <w:rPr>
                <w:rFonts w:hAnsi="仿宋_GB2312" w:eastAsia="仿宋_GB2312" w:cs="仿宋_GB2312"/>
                <w:sz w:val="24"/>
                <w:szCs w:val="24"/>
              </w:rPr>
              <w:t>10</w:t>
            </w:r>
            <w:r>
              <w:rPr>
                <w:rFonts w:hint="eastAsia" w:hAnsi="仿宋_GB2312" w:eastAsia="仿宋_GB2312" w:cs="仿宋_GB2312"/>
                <w:sz w:val="24"/>
                <w:szCs w:val="24"/>
              </w:rPr>
              <w:t>分。</w:t>
            </w:r>
          </w:p>
          <w:p>
            <w:pPr>
              <w:pStyle w:val="11"/>
              <w:spacing w:line="400" w:lineRule="exact"/>
              <w:ind w:firstLine="0" w:firstLineChars="0"/>
              <w:rPr>
                <w:rFonts w:hint="eastAsia" w:hAnsi="仿宋_GB2312" w:eastAsia="仿宋_GB2312" w:cs="仿宋_GB2312"/>
                <w:sz w:val="24"/>
                <w:szCs w:val="24"/>
              </w:rPr>
            </w:pPr>
            <w:r>
              <w:rPr>
                <w:rFonts w:hint="eastAsia" w:hAnsi="仿宋_GB2312" w:eastAsia="仿宋_GB2312" w:cs="仿宋_GB2312"/>
                <w:sz w:val="24"/>
                <w:szCs w:val="24"/>
              </w:rPr>
              <w:t>2..获得市级（或以上）政府部门颁发的统计调查类荣誉或奖项的，每提供一人得</w:t>
            </w:r>
            <w:r>
              <w:rPr>
                <w:rFonts w:hAnsi="仿宋_GB2312" w:eastAsia="仿宋_GB2312" w:cs="仿宋_GB2312"/>
                <w:sz w:val="24"/>
                <w:szCs w:val="24"/>
              </w:rPr>
              <w:t>1</w:t>
            </w:r>
            <w:r>
              <w:rPr>
                <w:rFonts w:hint="eastAsia" w:hAnsi="仿宋_GB2312" w:eastAsia="仿宋_GB2312" w:cs="仿宋_GB2312"/>
                <w:sz w:val="24"/>
                <w:szCs w:val="24"/>
              </w:rPr>
              <w:t>分，本小项最高</w:t>
            </w:r>
            <w:r>
              <w:rPr>
                <w:rFonts w:hAnsi="仿宋_GB2312" w:eastAsia="仿宋_GB2312" w:cs="仿宋_GB2312"/>
                <w:sz w:val="24"/>
                <w:szCs w:val="24"/>
              </w:rPr>
              <w:t>10</w:t>
            </w:r>
            <w:r>
              <w:rPr>
                <w:rFonts w:hint="eastAsia" w:hAnsi="仿宋_GB2312" w:eastAsia="仿宋_GB2312" w:cs="仿宋_GB2312"/>
                <w:sz w:val="24"/>
                <w:szCs w:val="24"/>
              </w:rPr>
              <w:t>分。</w:t>
            </w:r>
          </w:p>
          <w:p>
            <w:pPr>
              <w:pStyle w:val="11"/>
              <w:spacing w:line="400" w:lineRule="exact"/>
              <w:ind w:firstLine="0" w:firstLineChars="0"/>
              <w:jc w:val="both"/>
              <w:rPr>
                <w:rFonts w:hAnsi="仿宋_GB2312" w:eastAsia="仿宋_GB2312" w:cs="仿宋_GB2312"/>
                <w:sz w:val="24"/>
                <w:szCs w:val="24"/>
              </w:rPr>
            </w:pPr>
            <w:r>
              <w:rPr>
                <w:rFonts w:hint="eastAsia" w:hAnsi="仿宋_GB2312" w:eastAsia="仿宋_GB2312" w:cs="仿宋_GB2312"/>
                <w:sz w:val="24"/>
                <w:szCs w:val="24"/>
              </w:rPr>
              <w:t>同一人不重复计算分数。</w:t>
            </w:r>
          </w:p>
          <w:p>
            <w:pPr>
              <w:pStyle w:val="11"/>
              <w:spacing w:line="400" w:lineRule="exact"/>
              <w:ind w:firstLine="0" w:firstLineChars="0"/>
              <w:jc w:val="both"/>
              <w:rPr>
                <w:rFonts w:hAnsi="仿宋_GB2312" w:eastAsia="仿宋_GB2312" w:cs="仿宋_GB2312"/>
                <w:sz w:val="24"/>
                <w:szCs w:val="24"/>
              </w:rPr>
            </w:pPr>
            <w:r>
              <w:rPr>
                <w:rFonts w:hint="eastAsia" w:hAnsi="仿宋_GB2312" w:eastAsia="仿宋_GB2312" w:cs="仿宋_GB2312"/>
                <w:sz w:val="24"/>
                <w:szCs w:val="24"/>
              </w:rPr>
              <w:t>（二）评分依据：</w:t>
            </w:r>
          </w:p>
          <w:p>
            <w:pPr>
              <w:pStyle w:val="11"/>
              <w:spacing w:line="400" w:lineRule="exact"/>
              <w:ind w:firstLine="0" w:firstLineChars="0"/>
              <w:jc w:val="both"/>
              <w:rPr>
                <w:rFonts w:hAnsi="仿宋_GB2312" w:eastAsia="仿宋_GB2312" w:cs="仿宋_GB2312"/>
                <w:sz w:val="24"/>
                <w:szCs w:val="24"/>
              </w:rPr>
            </w:pPr>
            <w:r>
              <w:rPr>
                <w:rFonts w:hint="eastAsia" w:hAnsi="仿宋_GB2312" w:eastAsia="仿宋_GB2312" w:cs="仿宋_GB2312"/>
                <w:sz w:val="24"/>
                <w:szCs w:val="24"/>
              </w:rPr>
              <w:t>1. 要求提供通过投标人购买的项目技术支持人员（项目负责人除外）近三个月社保证明（2022年11月至2023年1月）及职称证书、项目经验证明（由委托方盖章出具的项目验收证明材料）及荣誉或获奖证明材料作为得分依据。</w:t>
            </w:r>
          </w:p>
          <w:p>
            <w:pPr>
              <w:pStyle w:val="11"/>
              <w:spacing w:line="400" w:lineRule="exact"/>
              <w:ind w:firstLine="0" w:firstLineChars="0"/>
              <w:jc w:val="both"/>
              <w:rPr>
                <w:rFonts w:hAnsi="仿宋_GB2312" w:eastAsia="仿宋_GB2312" w:cs="仿宋_GB2312"/>
                <w:sz w:val="24"/>
                <w:szCs w:val="24"/>
              </w:rPr>
            </w:pPr>
            <w:r>
              <w:rPr>
                <w:rFonts w:hint="eastAsia" w:hAnsi="仿宋_GB2312" w:eastAsia="仿宋_GB2312" w:cs="仿宋_GB2312"/>
                <w:sz w:val="24"/>
                <w:szCs w:val="24"/>
              </w:rPr>
              <w:t>2.以上资料均要求提供扫描件。评分中出现无证明资料或专家无法凭所提供资料判断是否得分的情况，一律作不得分处理。</w:t>
            </w:r>
          </w:p>
          <w:p>
            <w:pPr>
              <w:pStyle w:val="11"/>
              <w:spacing w:line="400" w:lineRule="exact"/>
              <w:ind w:firstLine="0" w:firstLineChars="0"/>
              <w:jc w:val="both"/>
              <w:rPr>
                <w:rFonts w:hAnsi="仿宋_GB2312" w:eastAsia="仿宋_GB2312" w:cs="仿宋_GB2312"/>
                <w:sz w:val="24"/>
                <w:szCs w:val="24"/>
              </w:rPr>
            </w:pPr>
            <w:r>
              <w:rPr>
                <w:rFonts w:hint="eastAsia" w:hAnsi="仿宋_GB2312" w:eastAsia="仿宋_GB2312" w:cs="仿宋_GB2312"/>
                <w:sz w:val="24"/>
                <w:szCs w:val="24"/>
              </w:rPr>
              <w:t>3.社保证明资料应当至少包含养老保险或医疗保险（补缴的社保不予计算)，证明资料可为社保收缴部门盖章证明资料。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vAlign w:val="center"/>
          </w:tcPr>
          <w:p>
            <w:pPr>
              <w:pStyle w:val="11"/>
              <w:spacing w:line="400" w:lineRule="exact"/>
              <w:ind w:firstLine="0" w:firstLineChars="0"/>
              <w:jc w:val="center"/>
              <w:rPr>
                <w:rFonts w:hAnsi="仿宋_GB2312" w:eastAsia="仿宋_GB2312" w:cs="仿宋_GB2312"/>
                <w:sz w:val="24"/>
                <w:szCs w:val="24"/>
              </w:rPr>
            </w:pPr>
          </w:p>
        </w:tc>
        <w:tc>
          <w:tcPr>
            <w:tcW w:w="1701" w:type="dxa"/>
            <w:vAlign w:val="center"/>
          </w:tcPr>
          <w:p>
            <w:pPr>
              <w:pStyle w:val="11"/>
              <w:spacing w:line="400" w:lineRule="exact"/>
              <w:ind w:firstLine="0" w:firstLineChars="0"/>
              <w:jc w:val="center"/>
              <w:rPr>
                <w:rFonts w:hAnsi="仿宋_GB2312" w:eastAsia="仿宋_GB2312" w:cs="仿宋_GB2312"/>
                <w:sz w:val="24"/>
                <w:szCs w:val="24"/>
              </w:rPr>
            </w:pPr>
            <w:r>
              <w:rPr>
                <w:rFonts w:hint="eastAsia" w:hAnsi="仿宋_GB2312" w:eastAsia="仿宋_GB2312" w:cs="仿宋_GB2312"/>
                <w:sz w:val="24"/>
                <w:szCs w:val="24"/>
              </w:rPr>
              <w:t>综合测评</w:t>
            </w:r>
          </w:p>
        </w:tc>
        <w:tc>
          <w:tcPr>
            <w:tcW w:w="939" w:type="dxa"/>
            <w:vAlign w:val="center"/>
          </w:tcPr>
          <w:p>
            <w:pPr>
              <w:pStyle w:val="11"/>
              <w:spacing w:line="400" w:lineRule="exact"/>
              <w:ind w:firstLine="0" w:firstLineChars="0"/>
              <w:jc w:val="center"/>
              <w:rPr>
                <w:rFonts w:hAnsi="仿宋_GB2312" w:eastAsia="仿宋_GB2312" w:cs="仿宋_GB2312"/>
                <w:sz w:val="24"/>
                <w:szCs w:val="24"/>
              </w:rPr>
            </w:pPr>
            <w:r>
              <w:rPr>
                <w:rFonts w:hint="eastAsia" w:hAnsi="仿宋_GB2312" w:eastAsia="仿宋_GB2312" w:cs="仿宋_GB2312"/>
                <w:sz w:val="24"/>
                <w:szCs w:val="24"/>
              </w:rPr>
              <w:t>30</w:t>
            </w:r>
          </w:p>
        </w:tc>
        <w:tc>
          <w:tcPr>
            <w:tcW w:w="4128" w:type="dxa"/>
            <w:vAlign w:val="center"/>
          </w:tcPr>
          <w:p>
            <w:pPr>
              <w:widowControl/>
              <w:shd w:val="clear" w:color="auto" w:fill="FFFFFF"/>
              <w:spacing w:line="400" w:lineRule="exact"/>
              <w:jc w:val="left"/>
              <w:rPr>
                <w:rFonts w:ascii="仿宋_GB2312" w:hAnsi="仿宋_GB2312" w:eastAsia="仿宋_GB2312" w:cs="仿宋_GB2312"/>
              </w:rPr>
            </w:pPr>
            <w:r>
              <w:rPr>
                <w:rFonts w:hint="eastAsia" w:ascii="仿宋_GB2312" w:hAnsi="仿宋_GB2312" w:eastAsia="仿宋_GB2312" w:cs="仿宋_GB2312"/>
              </w:rPr>
              <w:t>1.对本项目内容制定实施方案，内容包括但不限于：项目需求的理解及认识、初步的服务方案等。优良中差评分标准：</w:t>
            </w:r>
          </w:p>
          <w:p>
            <w:pPr>
              <w:widowControl/>
              <w:shd w:val="clear" w:color="auto" w:fill="FFFFFF"/>
              <w:spacing w:line="400" w:lineRule="exact"/>
              <w:jc w:val="left"/>
              <w:rPr>
                <w:rFonts w:ascii="仿宋_GB2312" w:hAnsi="仿宋_GB2312" w:eastAsia="仿宋_GB2312" w:cs="仿宋_GB2312"/>
              </w:rPr>
            </w:pPr>
            <w:r>
              <w:rPr>
                <w:rFonts w:hint="eastAsia" w:ascii="仿宋_GB2312" w:hAnsi="仿宋_GB2312" w:eastAsia="仿宋_GB2312" w:cs="仿宋_GB2312"/>
              </w:rPr>
              <w:t>（1）实施方案内容全面；</w:t>
            </w:r>
          </w:p>
          <w:p>
            <w:pPr>
              <w:widowControl/>
              <w:shd w:val="clear" w:color="auto" w:fill="FFFFFF"/>
              <w:spacing w:line="400" w:lineRule="exact"/>
              <w:jc w:val="left"/>
              <w:rPr>
                <w:rFonts w:ascii="仿宋_GB2312" w:hAnsi="仿宋_GB2312" w:eastAsia="仿宋_GB2312" w:cs="仿宋_GB2312"/>
              </w:rPr>
            </w:pPr>
            <w:r>
              <w:rPr>
                <w:rFonts w:hint="eastAsia" w:ascii="仿宋_GB2312" w:hAnsi="仿宋_GB2312" w:eastAsia="仿宋_GB2312" w:cs="仿宋_GB2312"/>
              </w:rPr>
              <w:t>（2）实施方案内容具体；</w:t>
            </w:r>
          </w:p>
          <w:p>
            <w:pPr>
              <w:widowControl/>
              <w:shd w:val="clear" w:color="auto" w:fill="FFFFFF"/>
              <w:spacing w:line="400" w:lineRule="exact"/>
              <w:jc w:val="left"/>
              <w:rPr>
                <w:rFonts w:ascii="仿宋_GB2312" w:hAnsi="仿宋_GB2312" w:eastAsia="仿宋_GB2312" w:cs="仿宋_GB2312"/>
              </w:rPr>
            </w:pPr>
            <w:r>
              <w:rPr>
                <w:rFonts w:hint="eastAsia" w:ascii="仿宋_GB2312" w:hAnsi="仿宋_GB2312" w:eastAsia="仿宋_GB2312" w:cs="仿宋_GB2312"/>
              </w:rPr>
              <w:t>（3）实施方案内容针对性强；</w:t>
            </w:r>
          </w:p>
          <w:p>
            <w:pPr>
              <w:widowControl/>
              <w:shd w:val="clear" w:color="auto" w:fill="FFFFFF"/>
              <w:spacing w:line="400" w:lineRule="exact"/>
              <w:jc w:val="left"/>
              <w:rPr>
                <w:rFonts w:ascii="仿宋_GB2312" w:hAnsi="仿宋_GB2312" w:eastAsia="仿宋_GB2312" w:cs="仿宋_GB2312"/>
              </w:rPr>
            </w:pPr>
            <w:r>
              <w:rPr>
                <w:rFonts w:hint="eastAsia" w:ascii="仿宋_GB2312" w:hAnsi="仿宋_GB2312" w:eastAsia="仿宋_GB2312" w:cs="仿宋_GB2312"/>
              </w:rPr>
              <w:t>（4）实施方案科学合理；</w:t>
            </w:r>
          </w:p>
          <w:p>
            <w:pPr>
              <w:widowControl/>
              <w:shd w:val="clear" w:color="auto" w:fill="FFFFFF"/>
              <w:spacing w:line="400" w:lineRule="exact"/>
              <w:jc w:val="left"/>
              <w:rPr>
                <w:rFonts w:ascii="仿宋_GB2312" w:hAnsi="仿宋_GB2312" w:eastAsia="仿宋_GB2312" w:cs="仿宋_GB2312"/>
              </w:rPr>
            </w:pPr>
            <w:r>
              <w:rPr>
                <w:rFonts w:hint="eastAsia" w:ascii="仿宋_GB2312" w:hAnsi="仿宋_GB2312" w:eastAsia="仿宋_GB2312" w:cs="仿宋_GB2312"/>
              </w:rPr>
              <w:t>（5）实施方案内容可操作性强。</w:t>
            </w:r>
          </w:p>
          <w:p>
            <w:pPr>
              <w:widowControl/>
              <w:shd w:val="clear" w:color="auto" w:fill="FFFFFF"/>
              <w:spacing w:line="400" w:lineRule="exact"/>
              <w:jc w:val="left"/>
              <w:rPr>
                <w:rFonts w:ascii="仿宋_GB2312" w:hAnsi="仿宋_GB2312" w:eastAsia="仿宋_GB2312" w:cs="仿宋_GB2312"/>
              </w:rPr>
            </w:pPr>
            <w:r>
              <w:rPr>
                <w:rFonts w:hint="eastAsia" w:ascii="仿宋_GB2312" w:hAnsi="仿宋_GB2312" w:eastAsia="仿宋_GB2312" w:cs="仿宋_GB2312"/>
              </w:rPr>
              <w:t>满足以上四项要求的评价为优，得10分；</w:t>
            </w:r>
          </w:p>
          <w:p>
            <w:pPr>
              <w:widowControl/>
              <w:shd w:val="clear" w:color="auto" w:fill="FFFFFF"/>
              <w:spacing w:line="400" w:lineRule="exact"/>
              <w:jc w:val="left"/>
              <w:rPr>
                <w:rFonts w:ascii="仿宋_GB2312" w:hAnsi="仿宋_GB2312" w:eastAsia="仿宋_GB2312" w:cs="仿宋_GB2312"/>
              </w:rPr>
            </w:pPr>
            <w:r>
              <w:rPr>
                <w:rFonts w:hint="eastAsia" w:ascii="仿宋_GB2312" w:hAnsi="仿宋_GB2312" w:eastAsia="仿宋_GB2312" w:cs="仿宋_GB2312"/>
              </w:rPr>
              <w:t>满足以上三项要求的评价为良，得8分；</w:t>
            </w:r>
          </w:p>
          <w:p>
            <w:pPr>
              <w:widowControl/>
              <w:shd w:val="clear" w:color="auto" w:fill="FFFFFF"/>
              <w:spacing w:line="400" w:lineRule="exact"/>
              <w:jc w:val="left"/>
              <w:rPr>
                <w:rFonts w:ascii="仿宋_GB2312" w:hAnsi="仿宋_GB2312" w:eastAsia="仿宋_GB2312" w:cs="仿宋_GB2312"/>
              </w:rPr>
            </w:pPr>
            <w:r>
              <w:rPr>
                <w:rFonts w:hint="eastAsia" w:ascii="仿宋_GB2312" w:hAnsi="仿宋_GB2312" w:eastAsia="仿宋_GB2312" w:cs="仿宋_GB2312"/>
              </w:rPr>
              <w:t>满足以上一项要求的评价为中，得6分；</w:t>
            </w:r>
          </w:p>
          <w:p>
            <w:pPr>
              <w:widowControl/>
              <w:shd w:val="clear" w:color="auto" w:fill="FFFFFF"/>
              <w:spacing w:line="400" w:lineRule="exact"/>
              <w:jc w:val="left"/>
              <w:rPr>
                <w:rFonts w:ascii="仿宋_GB2312" w:hAnsi="仿宋_GB2312" w:eastAsia="仿宋_GB2312" w:cs="仿宋_GB2312"/>
              </w:rPr>
            </w:pPr>
            <w:r>
              <w:rPr>
                <w:rFonts w:hint="eastAsia" w:ascii="仿宋_GB2312" w:hAnsi="仿宋_GB2312" w:eastAsia="仿宋_GB2312" w:cs="仿宋_GB2312"/>
              </w:rPr>
              <w:t>其它情况的评价为差，不得分。</w:t>
            </w:r>
          </w:p>
          <w:p>
            <w:pPr>
              <w:widowControl/>
              <w:shd w:val="clear" w:color="auto" w:fill="FFFFFF"/>
              <w:spacing w:line="400" w:lineRule="exact"/>
              <w:jc w:val="left"/>
              <w:rPr>
                <w:rFonts w:ascii="仿宋_GB2312" w:hAnsi="仿宋_GB2312" w:eastAsia="仿宋_GB2312" w:cs="仿宋_GB2312"/>
              </w:rPr>
            </w:pPr>
            <w:r>
              <w:rPr>
                <w:rFonts w:hint="eastAsia" w:ascii="仿宋_GB2312" w:hAnsi="仿宋_GB2312" w:eastAsia="仿宋_GB2312" w:cs="仿宋_GB2312"/>
              </w:rPr>
              <w:t>2.对本项目的质量控制措施的可行性、科学合理性等。优良中差评分标准：</w:t>
            </w:r>
          </w:p>
          <w:p>
            <w:pPr>
              <w:widowControl/>
              <w:shd w:val="clear" w:color="auto" w:fill="FFFFFF"/>
              <w:spacing w:line="400" w:lineRule="exact"/>
              <w:jc w:val="left"/>
              <w:rPr>
                <w:rFonts w:ascii="仿宋_GB2312" w:hAnsi="仿宋_GB2312" w:eastAsia="仿宋_GB2312" w:cs="仿宋_GB2312"/>
              </w:rPr>
            </w:pPr>
            <w:r>
              <w:rPr>
                <w:rFonts w:hint="eastAsia" w:ascii="仿宋_GB2312" w:hAnsi="仿宋_GB2312" w:eastAsia="仿宋_GB2312" w:cs="仿宋_GB2312"/>
              </w:rPr>
              <w:t>（1）保障措施方案全面完整；</w:t>
            </w:r>
          </w:p>
          <w:p>
            <w:pPr>
              <w:widowControl/>
              <w:shd w:val="clear" w:color="auto" w:fill="FFFFFF"/>
              <w:spacing w:line="400" w:lineRule="exact"/>
              <w:jc w:val="left"/>
              <w:rPr>
                <w:rFonts w:ascii="仿宋_GB2312" w:hAnsi="仿宋_GB2312" w:eastAsia="仿宋_GB2312" w:cs="仿宋_GB2312"/>
              </w:rPr>
            </w:pPr>
            <w:r>
              <w:rPr>
                <w:rFonts w:hint="eastAsia" w:ascii="仿宋_GB2312" w:hAnsi="仿宋_GB2312" w:eastAsia="仿宋_GB2312" w:cs="仿宋_GB2312"/>
              </w:rPr>
              <w:t>（2）保障措施方案具体有效；</w:t>
            </w:r>
          </w:p>
          <w:p>
            <w:pPr>
              <w:widowControl/>
              <w:shd w:val="clear" w:color="auto" w:fill="FFFFFF"/>
              <w:spacing w:line="400" w:lineRule="exact"/>
              <w:jc w:val="left"/>
              <w:rPr>
                <w:rFonts w:ascii="仿宋_GB2312" w:hAnsi="仿宋_GB2312" w:eastAsia="仿宋_GB2312" w:cs="仿宋_GB2312"/>
              </w:rPr>
            </w:pPr>
            <w:r>
              <w:rPr>
                <w:rFonts w:hint="eastAsia" w:ascii="仿宋_GB2312" w:hAnsi="仿宋_GB2312" w:eastAsia="仿宋_GB2312" w:cs="仿宋_GB2312"/>
              </w:rPr>
              <w:t>（3）保障措施方案可操作性强；</w:t>
            </w:r>
          </w:p>
          <w:p>
            <w:pPr>
              <w:widowControl/>
              <w:shd w:val="clear" w:color="auto" w:fill="FFFFFF"/>
              <w:spacing w:line="400" w:lineRule="exact"/>
              <w:jc w:val="left"/>
              <w:rPr>
                <w:rFonts w:ascii="仿宋_GB2312" w:hAnsi="仿宋_GB2312" w:eastAsia="仿宋_GB2312" w:cs="仿宋_GB2312"/>
              </w:rPr>
            </w:pPr>
            <w:r>
              <w:rPr>
                <w:rFonts w:hint="eastAsia" w:ascii="仿宋_GB2312" w:hAnsi="仿宋_GB2312" w:eastAsia="仿宋_GB2312" w:cs="仿宋_GB2312"/>
              </w:rPr>
              <w:t>（4）保障措施方案科学合理；</w:t>
            </w:r>
          </w:p>
          <w:p>
            <w:pPr>
              <w:widowControl/>
              <w:shd w:val="clear" w:color="auto" w:fill="FFFFFF"/>
              <w:spacing w:line="400" w:lineRule="exact"/>
              <w:jc w:val="left"/>
              <w:rPr>
                <w:rFonts w:ascii="仿宋_GB2312" w:hAnsi="仿宋_GB2312" w:eastAsia="仿宋_GB2312" w:cs="仿宋_GB2312"/>
              </w:rPr>
            </w:pPr>
            <w:r>
              <w:rPr>
                <w:rFonts w:hint="eastAsia" w:ascii="仿宋_GB2312" w:hAnsi="仿宋_GB2312" w:eastAsia="仿宋_GB2312" w:cs="仿宋_GB2312"/>
              </w:rPr>
              <w:t>满足以上四项要求的评价为优，得10分；</w:t>
            </w:r>
          </w:p>
          <w:p>
            <w:pPr>
              <w:widowControl/>
              <w:shd w:val="clear" w:color="auto" w:fill="FFFFFF"/>
              <w:spacing w:line="400" w:lineRule="exact"/>
              <w:jc w:val="left"/>
              <w:rPr>
                <w:rFonts w:ascii="仿宋_GB2312" w:hAnsi="仿宋_GB2312" w:eastAsia="仿宋_GB2312" w:cs="仿宋_GB2312"/>
              </w:rPr>
            </w:pPr>
            <w:r>
              <w:rPr>
                <w:rFonts w:hint="eastAsia" w:ascii="仿宋_GB2312" w:hAnsi="仿宋_GB2312" w:eastAsia="仿宋_GB2312" w:cs="仿宋_GB2312"/>
              </w:rPr>
              <w:t>满足以上三项要求的评价为良，得8分；</w:t>
            </w:r>
          </w:p>
          <w:p>
            <w:pPr>
              <w:widowControl/>
              <w:shd w:val="clear" w:color="auto" w:fill="FFFFFF"/>
              <w:spacing w:line="400" w:lineRule="exact"/>
              <w:jc w:val="left"/>
              <w:rPr>
                <w:rFonts w:ascii="仿宋_GB2312" w:hAnsi="仿宋_GB2312" w:eastAsia="仿宋_GB2312" w:cs="仿宋_GB2312"/>
              </w:rPr>
            </w:pPr>
            <w:r>
              <w:rPr>
                <w:rFonts w:hint="eastAsia" w:ascii="仿宋_GB2312" w:hAnsi="仿宋_GB2312" w:eastAsia="仿宋_GB2312" w:cs="仿宋_GB2312"/>
              </w:rPr>
              <w:t>满足以上一项要求的评价为中，得6分；</w:t>
            </w:r>
          </w:p>
          <w:p>
            <w:pPr>
              <w:widowControl/>
              <w:shd w:val="clear" w:color="auto" w:fill="FFFFFF"/>
              <w:spacing w:line="400" w:lineRule="exact"/>
              <w:jc w:val="left"/>
              <w:rPr>
                <w:rFonts w:ascii="仿宋_GB2312" w:hAnsi="仿宋_GB2312" w:eastAsia="仿宋_GB2312" w:cs="仿宋_GB2312"/>
              </w:rPr>
            </w:pPr>
            <w:r>
              <w:rPr>
                <w:rFonts w:hint="eastAsia" w:ascii="仿宋_GB2312" w:hAnsi="仿宋_GB2312" w:eastAsia="仿宋_GB2312" w:cs="仿宋_GB2312"/>
              </w:rPr>
              <w:t>其它情况的评价为差，不得分。</w:t>
            </w:r>
          </w:p>
          <w:p>
            <w:pPr>
              <w:widowControl/>
              <w:shd w:val="clear" w:color="auto" w:fill="FFFFFF"/>
              <w:spacing w:line="400" w:lineRule="exact"/>
              <w:jc w:val="left"/>
              <w:rPr>
                <w:rFonts w:ascii="仿宋_GB2312" w:hAnsi="仿宋_GB2312" w:eastAsia="仿宋_GB2312" w:cs="仿宋_GB2312"/>
              </w:rPr>
            </w:pPr>
            <w:r>
              <w:rPr>
                <w:rFonts w:hint="eastAsia" w:ascii="仿宋_GB2312" w:hAnsi="仿宋_GB2312" w:eastAsia="仿宋_GB2312" w:cs="仿宋_GB2312"/>
              </w:rPr>
              <w:t>3.对本项目提供合理准确的重点难点分析，并提供应对措施及相关的合理化建议。</w:t>
            </w:r>
          </w:p>
          <w:p>
            <w:pPr>
              <w:widowControl/>
              <w:shd w:val="clear" w:color="auto" w:fill="FFFFFF"/>
              <w:spacing w:line="400" w:lineRule="exact"/>
              <w:jc w:val="left"/>
              <w:rPr>
                <w:rFonts w:ascii="仿宋_GB2312" w:hAnsi="仿宋_GB2312" w:eastAsia="仿宋_GB2312" w:cs="仿宋_GB2312"/>
              </w:rPr>
            </w:pPr>
            <w:r>
              <w:rPr>
                <w:rFonts w:hint="eastAsia" w:ascii="仿宋_GB2312" w:hAnsi="仿宋_GB2312" w:eastAsia="仿宋_GB2312" w:cs="仿宋_GB2312"/>
              </w:rPr>
              <w:t>优良中差评分标准：</w:t>
            </w:r>
          </w:p>
          <w:p>
            <w:pPr>
              <w:widowControl/>
              <w:shd w:val="clear" w:color="auto" w:fill="FFFFFF"/>
              <w:spacing w:line="400" w:lineRule="exact"/>
              <w:jc w:val="left"/>
              <w:rPr>
                <w:rFonts w:ascii="仿宋_GB2312" w:hAnsi="仿宋_GB2312" w:eastAsia="仿宋_GB2312" w:cs="仿宋_GB2312"/>
              </w:rPr>
            </w:pPr>
            <w:r>
              <w:rPr>
                <w:rFonts w:hint="eastAsia" w:ascii="仿宋_GB2312" w:hAnsi="仿宋_GB2312" w:eastAsia="仿宋_GB2312" w:cs="仿宋_GB2312"/>
              </w:rPr>
              <w:t>（1）重点难点分析全面完整；</w:t>
            </w:r>
          </w:p>
          <w:p>
            <w:pPr>
              <w:widowControl/>
              <w:shd w:val="clear" w:color="auto" w:fill="FFFFFF"/>
              <w:spacing w:line="400" w:lineRule="exact"/>
              <w:jc w:val="left"/>
              <w:rPr>
                <w:rFonts w:ascii="仿宋_GB2312" w:hAnsi="仿宋_GB2312" w:eastAsia="仿宋_GB2312" w:cs="仿宋_GB2312"/>
              </w:rPr>
            </w:pPr>
            <w:r>
              <w:rPr>
                <w:rFonts w:hint="eastAsia" w:ascii="仿宋_GB2312" w:hAnsi="仿宋_GB2312" w:eastAsia="仿宋_GB2312" w:cs="仿宋_GB2312"/>
              </w:rPr>
              <w:t>（2）重点难点分析具体；</w:t>
            </w:r>
          </w:p>
          <w:p>
            <w:pPr>
              <w:widowControl/>
              <w:shd w:val="clear" w:color="auto" w:fill="FFFFFF"/>
              <w:spacing w:line="400" w:lineRule="exact"/>
              <w:jc w:val="left"/>
              <w:rPr>
                <w:rFonts w:ascii="仿宋_GB2312" w:hAnsi="仿宋_GB2312" w:eastAsia="仿宋_GB2312" w:cs="仿宋_GB2312"/>
              </w:rPr>
            </w:pPr>
            <w:r>
              <w:rPr>
                <w:rFonts w:hint="eastAsia" w:ascii="仿宋_GB2312" w:hAnsi="仿宋_GB2312" w:eastAsia="仿宋_GB2312" w:cs="仿宋_GB2312"/>
              </w:rPr>
              <w:t>（3）应对措施可操作性强；</w:t>
            </w:r>
          </w:p>
          <w:p>
            <w:pPr>
              <w:widowControl/>
              <w:shd w:val="clear" w:color="auto" w:fill="FFFFFF"/>
              <w:spacing w:line="400" w:lineRule="exact"/>
              <w:jc w:val="left"/>
              <w:rPr>
                <w:rFonts w:ascii="仿宋_GB2312" w:hAnsi="仿宋_GB2312" w:eastAsia="仿宋_GB2312" w:cs="仿宋_GB2312"/>
              </w:rPr>
            </w:pPr>
            <w:r>
              <w:rPr>
                <w:rFonts w:hint="eastAsia" w:ascii="仿宋_GB2312" w:hAnsi="仿宋_GB2312" w:eastAsia="仿宋_GB2312" w:cs="仿宋_GB2312"/>
              </w:rPr>
              <w:t>（4）合理化建议科学合理；</w:t>
            </w:r>
          </w:p>
          <w:p>
            <w:pPr>
              <w:widowControl/>
              <w:shd w:val="clear" w:color="auto" w:fill="FFFFFF"/>
              <w:spacing w:line="400" w:lineRule="exact"/>
              <w:jc w:val="left"/>
              <w:rPr>
                <w:rFonts w:ascii="仿宋_GB2312" w:hAnsi="仿宋_GB2312" w:eastAsia="仿宋_GB2312" w:cs="仿宋_GB2312"/>
              </w:rPr>
            </w:pPr>
            <w:r>
              <w:rPr>
                <w:rFonts w:hint="eastAsia" w:ascii="仿宋_GB2312" w:hAnsi="仿宋_GB2312" w:eastAsia="仿宋_GB2312" w:cs="仿宋_GB2312"/>
              </w:rPr>
              <w:t>满足以上四项要求的评价为优，得10分；</w:t>
            </w:r>
          </w:p>
          <w:p>
            <w:pPr>
              <w:widowControl/>
              <w:shd w:val="clear" w:color="auto" w:fill="FFFFFF"/>
              <w:spacing w:line="400" w:lineRule="exact"/>
              <w:jc w:val="left"/>
              <w:rPr>
                <w:rFonts w:ascii="仿宋_GB2312" w:hAnsi="仿宋_GB2312" w:eastAsia="仿宋_GB2312" w:cs="仿宋_GB2312"/>
              </w:rPr>
            </w:pPr>
            <w:r>
              <w:rPr>
                <w:rFonts w:hint="eastAsia" w:ascii="仿宋_GB2312" w:hAnsi="仿宋_GB2312" w:eastAsia="仿宋_GB2312" w:cs="仿宋_GB2312"/>
              </w:rPr>
              <w:t>满足以上三项要求的评价为良，得8分；</w:t>
            </w:r>
          </w:p>
          <w:p>
            <w:pPr>
              <w:widowControl/>
              <w:shd w:val="clear" w:color="auto" w:fill="FFFFFF"/>
              <w:spacing w:line="400" w:lineRule="exact"/>
              <w:jc w:val="left"/>
              <w:rPr>
                <w:rFonts w:ascii="仿宋_GB2312" w:hAnsi="仿宋_GB2312" w:eastAsia="仿宋_GB2312" w:cs="仿宋_GB2312"/>
              </w:rPr>
            </w:pPr>
            <w:r>
              <w:rPr>
                <w:rFonts w:hint="eastAsia" w:ascii="仿宋_GB2312" w:hAnsi="仿宋_GB2312" w:eastAsia="仿宋_GB2312" w:cs="仿宋_GB2312"/>
              </w:rPr>
              <w:t>满足以上一项要求的评价为中，得6分</w:t>
            </w:r>
          </w:p>
          <w:p>
            <w:pPr>
              <w:widowControl/>
              <w:shd w:val="clear" w:color="auto" w:fill="FFFFFF"/>
              <w:spacing w:line="400" w:lineRule="exact"/>
              <w:jc w:val="left"/>
              <w:rPr>
                <w:rFonts w:ascii="仿宋_GB2312" w:hAnsi="仿宋_GB2312" w:eastAsia="仿宋_GB2312" w:cs="仿宋_GB2312"/>
              </w:rPr>
            </w:pPr>
            <w:r>
              <w:rPr>
                <w:rFonts w:hint="eastAsia" w:ascii="仿宋_GB2312" w:hAnsi="仿宋_GB2312" w:eastAsia="仿宋_GB2312" w:cs="仿宋_GB2312"/>
              </w:rPr>
              <w:t>其它情况的评价为差，不得分。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75" w:type="dxa"/>
            <w:vMerge w:val="restart"/>
            <w:vAlign w:val="center"/>
          </w:tcPr>
          <w:p>
            <w:pPr>
              <w:pStyle w:val="11"/>
              <w:spacing w:line="400" w:lineRule="exact"/>
              <w:ind w:firstLine="0" w:firstLineChars="0"/>
              <w:jc w:val="center"/>
              <w:rPr>
                <w:rFonts w:hAnsi="仿宋_GB2312" w:eastAsia="仿宋_GB2312" w:cs="仿宋_GB2312"/>
                <w:sz w:val="24"/>
                <w:szCs w:val="24"/>
              </w:rPr>
            </w:pPr>
            <w:r>
              <w:rPr>
                <w:rFonts w:hint="eastAsia" w:hAnsi="仿宋_GB2312" w:eastAsia="仿宋_GB2312" w:cs="仿宋_GB2312"/>
                <w:sz w:val="24"/>
                <w:szCs w:val="24"/>
              </w:rPr>
              <w:t>综合分</w:t>
            </w:r>
          </w:p>
          <w:p>
            <w:pPr>
              <w:pStyle w:val="11"/>
              <w:spacing w:line="400" w:lineRule="exact"/>
              <w:ind w:firstLine="0" w:firstLineChars="0"/>
              <w:jc w:val="center"/>
              <w:rPr>
                <w:rFonts w:hAnsi="仿宋_GB2312" w:eastAsia="仿宋_GB2312" w:cs="仿宋_GB2312"/>
                <w:sz w:val="24"/>
                <w:szCs w:val="24"/>
              </w:rPr>
            </w:pPr>
            <w:r>
              <w:rPr>
                <w:rFonts w:hint="eastAsia" w:hAnsi="仿宋_GB2312" w:eastAsia="仿宋_GB2312" w:cs="仿宋_GB2312"/>
                <w:sz w:val="24"/>
                <w:szCs w:val="24"/>
              </w:rPr>
              <w:t>（2</w:t>
            </w:r>
            <w:r>
              <w:rPr>
                <w:rFonts w:hAnsi="仿宋_GB2312" w:eastAsia="仿宋_GB2312" w:cs="仿宋_GB2312"/>
                <w:sz w:val="24"/>
                <w:szCs w:val="24"/>
              </w:rPr>
              <w:t>5</w:t>
            </w:r>
            <w:r>
              <w:rPr>
                <w:rFonts w:hint="eastAsia" w:hAnsi="仿宋_GB2312" w:eastAsia="仿宋_GB2312" w:cs="仿宋_GB2312"/>
                <w:sz w:val="24"/>
                <w:szCs w:val="24"/>
              </w:rPr>
              <w:t>分）</w:t>
            </w:r>
          </w:p>
        </w:tc>
        <w:tc>
          <w:tcPr>
            <w:tcW w:w="1701" w:type="dxa"/>
            <w:vAlign w:val="center"/>
          </w:tcPr>
          <w:p>
            <w:pPr>
              <w:pStyle w:val="11"/>
              <w:spacing w:line="400" w:lineRule="exact"/>
              <w:ind w:firstLine="0" w:firstLineChars="0"/>
              <w:jc w:val="center"/>
              <w:rPr>
                <w:rFonts w:hAnsi="仿宋_GB2312" w:eastAsia="仿宋_GB2312" w:cs="仿宋_GB2312"/>
                <w:sz w:val="24"/>
                <w:szCs w:val="24"/>
              </w:rPr>
            </w:pPr>
            <w:r>
              <w:rPr>
                <w:rFonts w:hint="eastAsia" w:hAnsi="仿宋_GB2312" w:eastAsia="仿宋_GB2312" w:cs="仿宋_GB2312"/>
                <w:sz w:val="24"/>
                <w:szCs w:val="24"/>
              </w:rPr>
              <w:t>企业认证情况及创新能力</w:t>
            </w:r>
          </w:p>
        </w:tc>
        <w:tc>
          <w:tcPr>
            <w:tcW w:w="939" w:type="dxa"/>
            <w:vAlign w:val="center"/>
          </w:tcPr>
          <w:p>
            <w:pPr>
              <w:pStyle w:val="11"/>
              <w:spacing w:line="400" w:lineRule="exact"/>
              <w:ind w:firstLine="0" w:firstLineChars="0"/>
              <w:jc w:val="center"/>
              <w:rPr>
                <w:rFonts w:hAnsi="仿宋_GB2312" w:eastAsia="仿宋_GB2312" w:cs="仿宋_GB2312"/>
                <w:sz w:val="24"/>
                <w:szCs w:val="24"/>
              </w:rPr>
            </w:pPr>
            <w:r>
              <w:rPr>
                <w:rFonts w:hAnsi="仿宋_GB2312" w:eastAsia="仿宋_GB2312" w:cs="仿宋_GB2312"/>
                <w:sz w:val="24"/>
                <w:szCs w:val="24"/>
              </w:rPr>
              <w:t>18</w:t>
            </w:r>
          </w:p>
        </w:tc>
        <w:tc>
          <w:tcPr>
            <w:tcW w:w="4128" w:type="dxa"/>
            <w:vAlign w:val="center"/>
          </w:tcPr>
          <w:p>
            <w:pPr>
              <w:widowControl/>
              <w:shd w:val="clear" w:color="auto" w:fill="FFFFFF"/>
              <w:spacing w:line="400" w:lineRule="exact"/>
              <w:jc w:val="left"/>
              <w:rPr>
                <w:rFonts w:ascii="仿宋_GB2312" w:hAnsi="仿宋_GB2312" w:eastAsia="仿宋_GB2312" w:cs="仿宋_GB2312"/>
              </w:rPr>
            </w:pPr>
            <w:r>
              <w:rPr>
                <w:rFonts w:hint="eastAsia" w:ascii="仿宋_GB2312" w:hAnsi="仿宋_GB2312" w:eastAsia="仿宋_GB2312" w:cs="仿宋_GB2312"/>
              </w:rPr>
              <w:t>1.通过质量管理体系认证、环境管理体系认证及职业健康安全管理体系认证，且认证范围包含“市场调查研究、统计调查、统计分析”的，每个得</w:t>
            </w:r>
            <w:r>
              <w:rPr>
                <w:rFonts w:ascii="仿宋_GB2312" w:hAnsi="仿宋_GB2312" w:eastAsia="仿宋_GB2312" w:cs="仿宋_GB2312"/>
              </w:rPr>
              <w:t>2</w:t>
            </w:r>
            <w:r>
              <w:rPr>
                <w:rFonts w:hint="eastAsia" w:ascii="仿宋_GB2312" w:hAnsi="仿宋_GB2312" w:eastAsia="仿宋_GB2312" w:cs="仿宋_GB2312"/>
              </w:rPr>
              <w:t>分，本小项最高</w:t>
            </w:r>
            <w:r>
              <w:rPr>
                <w:rFonts w:ascii="仿宋_GB2312" w:hAnsi="仿宋_GB2312" w:eastAsia="仿宋_GB2312" w:cs="仿宋_GB2312"/>
              </w:rPr>
              <w:t>6</w:t>
            </w:r>
            <w:r>
              <w:rPr>
                <w:rFonts w:hint="eastAsia" w:ascii="仿宋_GB2312" w:hAnsi="仿宋_GB2312" w:eastAsia="仿宋_GB2312" w:cs="仿宋_GB2312"/>
              </w:rPr>
              <w:t>分。</w:t>
            </w:r>
          </w:p>
          <w:p>
            <w:pPr>
              <w:widowControl/>
              <w:shd w:val="clear" w:color="auto" w:fill="FFFFFF"/>
              <w:spacing w:line="400" w:lineRule="exact"/>
              <w:jc w:val="left"/>
              <w:rPr>
                <w:rFonts w:hint="eastAsia" w:ascii="仿宋_GB2312" w:hAnsi="仿宋_GB2312" w:eastAsia="仿宋_GB2312" w:cs="仿宋_GB2312"/>
              </w:rPr>
            </w:pPr>
            <w:r>
              <w:rPr>
                <w:rFonts w:hint="eastAsia" w:ascii="仿宋_GB2312" w:hAnsi="仿宋_GB2312" w:eastAsia="仿宋_GB2312" w:cs="仿宋_GB2312"/>
              </w:rPr>
              <w:t>2.具有CMMI能力成熟度等级五级的，得</w:t>
            </w:r>
            <w:r>
              <w:rPr>
                <w:rFonts w:ascii="仿宋_GB2312" w:hAnsi="仿宋_GB2312" w:eastAsia="仿宋_GB2312" w:cs="仿宋_GB2312"/>
              </w:rPr>
              <w:t>3</w:t>
            </w:r>
            <w:r>
              <w:rPr>
                <w:rFonts w:hint="eastAsia" w:ascii="仿宋_GB2312" w:hAnsi="仿宋_GB2312" w:eastAsia="仿宋_GB2312" w:cs="仿宋_GB2312"/>
              </w:rPr>
              <w:t>分，四级的得</w:t>
            </w:r>
            <w:r>
              <w:rPr>
                <w:rFonts w:ascii="仿宋_GB2312" w:hAnsi="仿宋_GB2312" w:eastAsia="仿宋_GB2312" w:cs="仿宋_GB2312"/>
              </w:rPr>
              <w:t>2</w:t>
            </w:r>
            <w:r>
              <w:rPr>
                <w:rFonts w:hint="eastAsia" w:ascii="仿宋_GB2312" w:hAnsi="仿宋_GB2312" w:eastAsia="仿宋_GB2312" w:cs="仿宋_GB2312"/>
              </w:rPr>
              <w:t>分，三级及以下的得1分，没有不得分。</w:t>
            </w:r>
          </w:p>
          <w:p>
            <w:pPr>
              <w:widowControl/>
              <w:shd w:val="clear" w:color="auto" w:fill="FFFFFF"/>
              <w:spacing w:line="400" w:lineRule="exact"/>
              <w:jc w:val="left"/>
              <w:rPr>
                <w:rFonts w:ascii="仿宋_GB2312" w:hAnsi="仿宋_GB2312" w:eastAsia="仿宋_GB2312" w:cs="仿宋_GB2312"/>
              </w:rPr>
            </w:pPr>
            <w:r>
              <w:rPr>
                <w:rFonts w:hint="eastAsia" w:ascii="仿宋_GB2312" w:hAnsi="仿宋_GB2312" w:eastAsia="仿宋_GB2312" w:cs="仿宋_GB2312"/>
              </w:rPr>
              <w:t>3</w:t>
            </w:r>
            <w:r>
              <w:rPr>
                <w:rFonts w:ascii="仿宋_GB2312" w:hAnsi="仿宋_GB2312" w:eastAsia="仿宋_GB2312" w:cs="仿宋_GB2312"/>
              </w:rPr>
              <w:t>.</w:t>
            </w:r>
            <w:r>
              <w:rPr>
                <w:rFonts w:hint="eastAsia"/>
              </w:rPr>
              <w:t xml:space="preserve"> </w:t>
            </w:r>
            <w:r>
              <w:rPr>
                <w:rFonts w:hint="eastAsia" w:ascii="仿宋_GB2312" w:hAnsi="仿宋_GB2312" w:eastAsia="仿宋_GB2312" w:cs="仿宋_GB2312"/>
              </w:rPr>
              <w:t>投标人连续五年及以上获得过市场监督管理部门颁发的守合同重信用企业证书的得</w:t>
            </w:r>
            <w:r>
              <w:rPr>
                <w:rFonts w:ascii="仿宋_GB2312" w:hAnsi="仿宋_GB2312" w:eastAsia="仿宋_GB2312" w:cs="仿宋_GB2312"/>
              </w:rPr>
              <w:t>3</w:t>
            </w:r>
            <w:r>
              <w:rPr>
                <w:rFonts w:hint="eastAsia" w:ascii="仿宋_GB2312" w:hAnsi="仿宋_GB2312" w:eastAsia="仿宋_GB2312" w:cs="仿宋_GB2312"/>
              </w:rPr>
              <w:t>分。</w:t>
            </w:r>
          </w:p>
          <w:p>
            <w:pPr>
              <w:widowControl/>
              <w:shd w:val="clear" w:color="auto" w:fill="FFFFFF"/>
              <w:spacing w:line="400" w:lineRule="exact"/>
              <w:jc w:val="left"/>
              <w:rPr>
                <w:rFonts w:ascii="仿宋_GB2312" w:hAnsi="仿宋_GB2312" w:eastAsia="仿宋_GB2312" w:cs="仿宋_GB2312"/>
              </w:rPr>
            </w:pPr>
            <w:r>
              <w:rPr>
                <w:rFonts w:hint="eastAsia" w:ascii="仿宋_GB2312" w:hAnsi="仿宋_GB2312" w:eastAsia="仿宋_GB2312" w:cs="仿宋_GB2312"/>
              </w:rPr>
              <w:t>4</w:t>
            </w:r>
            <w:r>
              <w:rPr>
                <w:rFonts w:ascii="仿宋_GB2312" w:hAnsi="仿宋_GB2312" w:eastAsia="仿宋_GB2312" w:cs="仿宋_GB2312"/>
              </w:rPr>
              <w:t>.</w:t>
            </w:r>
            <w:r>
              <w:rPr>
                <w:rFonts w:hint="eastAsia"/>
              </w:rPr>
              <w:t xml:space="preserve"> </w:t>
            </w:r>
            <w:r>
              <w:rPr>
                <w:rFonts w:hint="eastAsia" w:ascii="仿宋_GB2312" w:hAnsi="仿宋_GB2312" w:eastAsia="仿宋_GB2312" w:cs="仿宋_GB2312"/>
              </w:rPr>
              <w:t>投标人具备国家知识产权局颁发的名称包含“数据审核方法”或“数据质量管理方法”字样的专利证书的，每个得3分，最高得6分；没有不得分。</w:t>
            </w:r>
          </w:p>
          <w:p>
            <w:pPr>
              <w:widowControl/>
              <w:shd w:val="clear" w:color="auto" w:fill="FFFFFF"/>
              <w:spacing w:line="400" w:lineRule="exact"/>
              <w:jc w:val="left"/>
              <w:rPr>
                <w:rFonts w:hint="eastAsia" w:ascii="仿宋_GB2312" w:hAnsi="仿宋_GB2312" w:eastAsia="仿宋_GB2312" w:cs="仿宋_GB2312"/>
              </w:rPr>
            </w:pPr>
            <w:r>
              <w:rPr>
                <w:rFonts w:hint="eastAsia" w:hAnsi="仿宋_GB2312" w:eastAsia="仿宋_GB2312" w:cs="仿宋_GB2312"/>
              </w:rPr>
              <w:t>（需提供相关证书扫描件。未提供或提供不清晰导致无法判断的，不得分）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75" w:type="dxa"/>
            <w:vMerge w:val="continue"/>
          </w:tcPr>
          <w:p>
            <w:pPr>
              <w:pStyle w:val="11"/>
              <w:spacing w:line="400" w:lineRule="exact"/>
              <w:ind w:firstLine="480"/>
              <w:rPr>
                <w:rFonts w:hAnsi="仿宋_GB2312" w:eastAsia="仿宋_GB2312" w:cs="仿宋_GB2312"/>
                <w:sz w:val="24"/>
                <w:szCs w:val="24"/>
              </w:rPr>
            </w:pPr>
          </w:p>
        </w:tc>
        <w:tc>
          <w:tcPr>
            <w:tcW w:w="1701" w:type="dxa"/>
            <w:vAlign w:val="center"/>
          </w:tcPr>
          <w:p>
            <w:pPr>
              <w:pStyle w:val="11"/>
              <w:spacing w:line="400" w:lineRule="exact"/>
              <w:ind w:firstLine="0" w:firstLineChars="0"/>
              <w:jc w:val="center"/>
              <w:rPr>
                <w:rFonts w:hAnsi="仿宋_GB2312" w:eastAsia="仿宋_GB2312" w:cs="仿宋_GB2312"/>
                <w:sz w:val="24"/>
                <w:szCs w:val="24"/>
              </w:rPr>
            </w:pPr>
            <w:r>
              <w:rPr>
                <w:rFonts w:hint="eastAsia" w:hAnsi="仿宋_GB2312" w:eastAsia="仿宋_GB2312" w:cs="仿宋_GB2312"/>
                <w:sz w:val="24"/>
                <w:szCs w:val="24"/>
              </w:rPr>
              <w:t>企业相关案例</w:t>
            </w:r>
          </w:p>
        </w:tc>
        <w:tc>
          <w:tcPr>
            <w:tcW w:w="939" w:type="dxa"/>
            <w:vAlign w:val="center"/>
          </w:tcPr>
          <w:p>
            <w:pPr>
              <w:pStyle w:val="11"/>
              <w:spacing w:line="400" w:lineRule="exact"/>
              <w:ind w:firstLine="0" w:firstLineChars="0"/>
              <w:jc w:val="center"/>
              <w:rPr>
                <w:rFonts w:hAnsi="仿宋_GB2312" w:eastAsia="仿宋_GB2312" w:cs="仿宋_GB2312"/>
                <w:sz w:val="24"/>
                <w:szCs w:val="24"/>
              </w:rPr>
            </w:pPr>
            <w:r>
              <w:rPr>
                <w:rFonts w:hAnsi="仿宋_GB2312" w:eastAsia="仿宋_GB2312" w:cs="仿宋_GB2312"/>
                <w:sz w:val="24"/>
                <w:szCs w:val="24"/>
              </w:rPr>
              <w:t>7</w:t>
            </w:r>
          </w:p>
        </w:tc>
        <w:tc>
          <w:tcPr>
            <w:tcW w:w="4128" w:type="dxa"/>
            <w:vAlign w:val="center"/>
          </w:tcPr>
          <w:p>
            <w:pPr>
              <w:pStyle w:val="11"/>
              <w:spacing w:line="400" w:lineRule="exact"/>
              <w:ind w:firstLine="0" w:firstLineChars="0"/>
              <w:jc w:val="left"/>
              <w:rPr>
                <w:rFonts w:hAnsi="仿宋_GB2312" w:eastAsia="仿宋_GB2312" w:cs="仿宋_GB2312"/>
                <w:sz w:val="24"/>
                <w:szCs w:val="24"/>
              </w:rPr>
            </w:pPr>
            <w:r>
              <w:rPr>
                <w:rFonts w:hint="eastAsia" w:hAnsi="仿宋_GB2312" w:eastAsia="仿宋_GB2312" w:cs="仿宋_GB2312"/>
                <w:sz w:val="24"/>
                <w:szCs w:val="24"/>
              </w:rPr>
              <w:t>投标人近五年有相关从业案例和经验，每项得</w:t>
            </w:r>
            <w:r>
              <w:rPr>
                <w:rFonts w:hAnsi="仿宋_GB2312" w:eastAsia="仿宋_GB2312" w:cs="仿宋_GB2312"/>
                <w:sz w:val="24"/>
                <w:szCs w:val="24"/>
              </w:rPr>
              <w:t>1</w:t>
            </w:r>
            <w:r>
              <w:rPr>
                <w:rFonts w:hint="eastAsia" w:hAnsi="仿宋_GB2312" w:eastAsia="仿宋_GB2312" w:cs="仿宋_GB2312"/>
                <w:sz w:val="24"/>
                <w:szCs w:val="24"/>
              </w:rPr>
              <w:t>分，满分</w:t>
            </w:r>
            <w:r>
              <w:rPr>
                <w:rFonts w:hAnsi="仿宋_GB2312" w:eastAsia="仿宋_GB2312" w:cs="仿宋_GB2312"/>
                <w:sz w:val="24"/>
                <w:szCs w:val="24"/>
              </w:rPr>
              <w:t>7</w:t>
            </w:r>
            <w:r>
              <w:rPr>
                <w:rFonts w:hint="eastAsia" w:hAnsi="仿宋_GB2312" w:eastAsia="仿宋_GB2312" w:cs="仿宋_GB2312"/>
                <w:sz w:val="24"/>
                <w:szCs w:val="24"/>
              </w:rPr>
              <w:t>分。（需提供中标通知书或项目业绩合同关键页扫描件。未提供或提供不清晰导致无法判断的，不得分）</w:t>
            </w:r>
          </w:p>
        </w:tc>
      </w:tr>
    </w:tbl>
    <w:p>
      <w:pPr>
        <w:pStyle w:val="2"/>
        <w:numPr>
          <w:ilvl w:val="0"/>
          <w:numId w:val="0"/>
        </w:numPr>
        <w:spacing w:line="560" w:lineRule="exact"/>
        <w:ind w:firstLine="643" w:firstLineChars="200"/>
        <w:rPr>
          <w:rFonts w:ascii="仿宋_GB2312" w:hAnsi="仿宋_GB2312" w:eastAsia="仿宋_GB2312" w:cs="仿宋_GB2312"/>
          <w:sz w:val="32"/>
        </w:rPr>
      </w:pPr>
      <w:bookmarkStart w:id="11" w:name="_Toc19805748"/>
      <w:r>
        <w:rPr>
          <w:rFonts w:hint="eastAsia" w:ascii="仿宋_GB2312" w:hAnsi="仿宋_GB2312" w:eastAsia="仿宋_GB2312" w:cs="仿宋_GB2312"/>
          <w:sz w:val="32"/>
        </w:rPr>
        <w:t>2、经费预算</w:t>
      </w:r>
      <w:bookmarkEnd w:id="11"/>
    </w:p>
    <w:p>
      <w:pPr>
        <w:pStyle w:val="11"/>
        <w:spacing w:line="560" w:lineRule="exact"/>
        <w:ind w:firstLine="640"/>
        <w:rPr>
          <w:rFonts w:hAnsi="仿宋_GB2312" w:eastAsia="仿宋_GB2312" w:cs="仿宋_GB2312"/>
          <w:sz w:val="32"/>
          <w:szCs w:val="32"/>
        </w:rPr>
      </w:pPr>
      <w:r>
        <w:rPr>
          <w:rFonts w:hint="eastAsia" w:hAnsi="仿宋_GB2312" w:eastAsia="仿宋_GB2312" w:cs="仿宋_GB2312"/>
          <w:sz w:val="32"/>
          <w:szCs w:val="32"/>
        </w:rPr>
        <w:t>我局根据市场化服务和调研经费安排，202</w:t>
      </w:r>
      <w:r>
        <w:rPr>
          <w:rFonts w:hAnsi="仿宋_GB2312" w:eastAsia="仿宋_GB2312" w:cs="仿宋_GB2312"/>
          <w:sz w:val="32"/>
          <w:szCs w:val="32"/>
          <w:lang w:val="en"/>
        </w:rPr>
        <w:t>2</w:t>
      </w:r>
      <w:r>
        <w:rPr>
          <w:rFonts w:hint="eastAsia" w:hAnsi="仿宋_GB2312" w:eastAsia="仿宋_GB2312" w:cs="仿宋_GB2312"/>
          <w:sz w:val="32"/>
          <w:szCs w:val="32"/>
        </w:rPr>
        <w:t>年度深圳市市民体育消费调查项目经费：</w:t>
      </w:r>
    </w:p>
    <w:tbl>
      <w:tblPr>
        <w:tblStyle w:val="8"/>
        <w:tblW w:w="9375" w:type="dxa"/>
        <w:jc w:val="center"/>
        <w:tblLayout w:type="fixed"/>
        <w:tblCellMar>
          <w:top w:w="0" w:type="dxa"/>
          <w:left w:w="108" w:type="dxa"/>
          <w:bottom w:w="0" w:type="dxa"/>
          <w:right w:w="108" w:type="dxa"/>
        </w:tblCellMar>
      </w:tblPr>
      <w:tblGrid>
        <w:gridCol w:w="3559"/>
        <w:gridCol w:w="5816"/>
      </w:tblGrid>
      <w:tr>
        <w:tblPrEx>
          <w:tblCellMar>
            <w:top w:w="0" w:type="dxa"/>
            <w:left w:w="108" w:type="dxa"/>
            <w:bottom w:w="0" w:type="dxa"/>
            <w:right w:w="108" w:type="dxa"/>
          </w:tblCellMar>
        </w:tblPrEx>
        <w:trPr>
          <w:trHeight w:val="713" w:hRule="atLeast"/>
          <w:jc w:val="center"/>
        </w:trPr>
        <w:tc>
          <w:tcPr>
            <w:tcW w:w="3559" w:type="dxa"/>
            <w:vMerge w:val="restart"/>
            <w:tcBorders>
              <w:top w:val="single" w:color="auto" w:sz="4" w:space="0"/>
              <w:left w:val="single" w:color="auto" w:sz="8" w:space="0"/>
              <w:bottom w:val="single" w:color="auto" w:sz="4" w:space="0"/>
              <w:right w:val="single" w:color="auto" w:sz="8" w:space="0"/>
            </w:tcBorders>
            <w:shd w:val="clear" w:color="auto" w:fill="FFE599"/>
            <w:vAlign w:val="center"/>
          </w:tcPr>
          <w:p>
            <w:pPr>
              <w:autoSpaceDE w:val="0"/>
              <w:autoSpaceDN w:val="0"/>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项目预算</w:t>
            </w:r>
          </w:p>
        </w:tc>
        <w:tc>
          <w:tcPr>
            <w:tcW w:w="5816" w:type="dxa"/>
            <w:tcBorders>
              <w:top w:val="single" w:color="auto" w:sz="8" w:space="0"/>
              <w:left w:val="nil"/>
              <w:bottom w:val="single" w:color="auto" w:sz="8" w:space="0"/>
              <w:right w:val="single" w:color="auto" w:sz="8" w:space="0"/>
            </w:tcBorders>
            <w:shd w:val="clear" w:color="auto" w:fill="FFE599"/>
            <w:vAlign w:val="center"/>
          </w:tcPr>
          <w:p>
            <w:pPr>
              <w:autoSpaceDE w:val="0"/>
              <w:autoSpaceDN w:val="0"/>
              <w:spacing w:line="560" w:lineRule="exact"/>
              <w:ind w:right="48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大写：人民币贰拾玖万元整</w:t>
            </w:r>
          </w:p>
        </w:tc>
      </w:tr>
      <w:tr>
        <w:tblPrEx>
          <w:tblCellMar>
            <w:top w:w="0" w:type="dxa"/>
            <w:left w:w="108" w:type="dxa"/>
            <w:bottom w:w="0" w:type="dxa"/>
            <w:right w:w="108" w:type="dxa"/>
          </w:tblCellMar>
        </w:tblPrEx>
        <w:trPr>
          <w:trHeight w:val="641" w:hRule="atLeast"/>
          <w:jc w:val="center"/>
        </w:trPr>
        <w:tc>
          <w:tcPr>
            <w:tcW w:w="3559" w:type="dxa"/>
            <w:vMerge w:val="continue"/>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560" w:lineRule="exact"/>
              <w:jc w:val="left"/>
              <w:rPr>
                <w:rFonts w:ascii="仿宋_GB2312" w:hAnsi="仿宋_GB2312" w:eastAsia="仿宋_GB2312" w:cs="仿宋_GB2312"/>
                <w:b/>
                <w:bCs/>
                <w:sz w:val="32"/>
                <w:szCs w:val="32"/>
              </w:rPr>
            </w:pPr>
          </w:p>
        </w:tc>
        <w:tc>
          <w:tcPr>
            <w:tcW w:w="5816" w:type="dxa"/>
            <w:tcBorders>
              <w:top w:val="single" w:color="auto" w:sz="8" w:space="0"/>
              <w:left w:val="nil"/>
              <w:bottom w:val="single" w:color="auto" w:sz="8" w:space="0"/>
              <w:right w:val="single" w:color="auto" w:sz="8" w:space="0"/>
            </w:tcBorders>
            <w:shd w:val="clear" w:color="auto" w:fill="FFE599"/>
            <w:vAlign w:val="center"/>
          </w:tcPr>
          <w:p>
            <w:pPr>
              <w:autoSpaceDE w:val="0"/>
              <w:autoSpaceDN w:val="0"/>
              <w:spacing w:line="560" w:lineRule="exact"/>
              <w:ind w:right="48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小写：￥290,000.00元</w:t>
            </w:r>
          </w:p>
        </w:tc>
      </w:tr>
    </w:tbl>
    <w:p>
      <w:pPr>
        <w:spacing w:line="560" w:lineRule="exact"/>
        <w:jc w:val="center"/>
        <w:rPr>
          <w:rFonts w:ascii="仿宋_GB2312" w:hAnsi="仿宋_GB2312" w:eastAsia="仿宋_GB2312" w:cs="仿宋_GB2312"/>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5D45A2"/>
    <w:multiLevelType w:val="multilevel"/>
    <w:tmpl w:val="325D45A2"/>
    <w:lvl w:ilvl="0" w:tentative="0">
      <w:start w:val="1"/>
      <w:numFmt w:val="chineseCountingThousand"/>
      <w:pStyle w:val="3"/>
      <w:lvlText w:val="(%1)"/>
      <w:lvlJc w:val="left"/>
      <w:pPr>
        <w:ind w:left="846" w:hanging="420"/>
      </w:pPr>
      <w:rPr>
        <w:rFonts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7CF2BA4"/>
    <w:multiLevelType w:val="multilevel"/>
    <w:tmpl w:val="67CF2BA4"/>
    <w:lvl w:ilvl="0" w:tentative="0">
      <w:start w:val="1"/>
      <w:numFmt w:val="chineseCountingThousand"/>
      <w:pStyle w:val="2"/>
      <w:lvlText w:val="%1、"/>
      <w:lvlJc w:val="center"/>
      <w:pPr>
        <w:ind w:left="420" w:hanging="420"/>
      </w:pPr>
      <w:rPr>
        <w:rFonts w:hint="eastAsia"/>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mNGNiMDllYjYwNTA5MTI0NTRhMThmNzgwMjM4MzIifQ=="/>
  </w:docVars>
  <w:rsids>
    <w:rsidRoot w:val="00B92516"/>
    <w:rsid w:val="00097217"/>
    <w:rsid w:val="001140F7"/>
    <w:rsid w:val="00185B82"/>
    <w:rsid w:val="00190B7E"/>
    <w:rsid w:val="001A7179"/>
    <w:rsid w:val="00211522"/>
    <w:rsid w:val="004859AA"/>
    <w:rsid w:val="005A26AB"/>
    <w:rsid w:val="00656ACA"/>
    <w:rsid w:val="006E2AA5"/>
    <w:rsid w:val="00864090"/>
    <w:rsid w:val="00B35DF4"/>
    <w:rsid w:val="00B92516"/>
    <w:rsid w:val="00C6183A"/>
    <w:rsid w:val="00D03B81"/>
    <w:rsid w:val="00D66FA1"/>
    <w:rsid w:val="00E93AF6"/>
    <w:rsid w:val="00FD2BE5"/>
    <w:rsid w:val="00FD7179"/>
    <w:rsid w:val="04D97EBF"/>
    <w:rsid w:val="06965645"/>
    <w:rsid w:val="12496AE3"/>
    <w:rsid w:val="16AC7439"/>
    <w:rsid w:val="18A94E91"/>
    <w:rsid w:val="1C0F2BC6"/>
    <w:rsid w:val="1C541665"/>
    <w:rsid w:val="27FD1C8E"/>
    <w:rsid w:val="2B1E7132"/>
    <w:rsid w:val="38BE5E6D"/>
    <w:rsid w:val="42DD6DDA"/>
    <w:rsid w:val="5E7C3989"/>
    <w:rsid w:val="683D1A79"/>
    <w:rsid w:val="6EFB3F2D"/>
    <w:rsid w:val="6EFF2D51"/>
    <w:rsid w:val="71AE794B"/>
    <w:rsid w:val="77D3DF40"/>
    <w:rsid w:val="7B9AF9EB"/>
    <w:rsid w:val="7CFD844A"/>
    <w:rsid w:val="7EE3C387"/>
    <w:rsid w:val="7F5F0F07"/>
    <w:rsid w:val="AE7637CA"/>
    <w:rsid w:val="CFCFB9A8"/>
    <w:rsid w:val="DDD6090F"/>
    <w:rsid w:val="DE1BD115"/>
    <w:rsid w:val="DFEEC373"/>
    <w:rsid w:val="FAFEFBD1"/>
    <w:rsid w:val="FDCD0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w:hAnsi="Cambria" w:eastAsia="宋体" w:cs="Times New Roman"/>
      <w:kern w:val="2"/>
      <w:sz w:val="24"/>
      <w:szCs w:val="24"/>
      <w:lang w:val="en-US" w:eastAsia="zh-CN" w:bidi="ar-SA"/>
    </w:rPr>
  </w:style>
  <w:style w:type="paragraph" w:styleId="2">
    <w:name w:val="heading 2"/>
    <w:basedOn w:val="1"/>
    <w:next w:val="1"/>
    <w:qFormat/>
    <w:uiPriority w:val="0"/>
    <w:pPr>
      <w:keepNext/>
      <w:keepLines/>
      <w:numPr>
        <w:ilvl w:val="0"/>
        <w:numId w:val="1"/>
      </w:numPr>
      <w:spacing w:before="120" w:after="120" w:line="360" w:lineRule="auto"/>
      <w:jc w:val="left"/>
      <w:outlineLvl w:val="1"/>
    </w:pPr>
    <w:rPr>
      <w:rFonts w:ascii="Arial" w:hAnsi="Arial" w:eastAsia="黑体"/>
      <w:b/>
      <w:bCs/>
      <w:kern w:val="0"/>
      <w:sz w:val="28"/>
      <w:szCs w:val="32"/>
    </w:rPr>
  </w:style>
  <w:style w:type="paragraph" w:styleId="3">
    <w:name w:val="heading 3"/>
    <w:basedOn w:val="1"/>
    <w:next w:val="4"/>
    <w:qFormat/>
    <w:uiPriority w:val="0"/>
    <w:pPr>
      <w:keepNext/>
      <w:keepLines/>
      <w:numPr>
        <w:ilvl w:val="0"/>
        <w:numId w:val="2"/>
      </w:numPr>
      <w:spacing w:before="120" w:after="120" w:line="360" w:lineRule="auto"/>
      <w:jc w:val="left"/>
      <w:outlineLvl w:val="2"/>
    </w:pPr>
    <w:rPr>
      <w:rFonts w:ascii="Times New Roman" w:hAnsi="Times New Roman" w:eastAsia="黑体"/>
      <w:b/>
      <w:kern w:val="0"/>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sz w:val="21"/>
      <w:szCs w:val="20"/>
    </w:rPr>
  </w:style>
  <w:style w:type="paragraph" w:styleId="5">
    <w:name w:val="Plain Text"/>
    <w:basedOn w:val="1"/>
    <w:qFormat/>
    <w:uiPriority w:val="0"/>
    <w:rPr>
      <w:rFonts w:ascii="宋体" w:hAnsi="Courier New" w:eastAsiaTheme="minorEastAsia" w:cstheme="minorBidi"/>
      <w:sz w:val="21"/>
      <w:szCs w:val="22"/>
    </w:rPr>
  </w:style>
  <w:style w:type="paragraph" w:styleId="6">
    <w:name w:val="footer"/>
    <w:basedOn w:val="1"/>
    <w:qFormat/>
    <w:uiPriority w:val="99"/>
    <w:pPr>
      <w:tabs>
        <w:tab w:val="center" w:pos="4153"/>
        <w:tab w:val="right" w:pos="8306"/>
      </w:tabs>
      <w:snapToGrid w:val="0"/>
      <w:jc w:val="left"/>
    </w:pPr>
    <w:rPr>
      <w:kern w:val="0"/>
      <w:sz w:val="18"/>
      <w:szCs w:val="18"/>
    </w:rPr>
  </w:style>
  <w:style w:type="paragraph" w:styleId="7">
    <w:name w:val="Normal (Web)"/>
    <w:basedOn w:val="1"/>
    <w:qFormat/>
    <w:uiPriority w:val="0"/>
    <w:pPr>
      <w:spacing w:beforeAutospacing="1" w:afterAutospacing="1"/>
      <w:jc w:val="left"/>
    </w:pPr>
    <w:rPr>
      <w:kern w:val="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方案正文"/>
    <w:basedOn w:val="1"/>
    <w:qFormat/>
    <w:uiPriority w:val="0"/>
    <w:pPr>
      <w:spacing w:line="360" w:lineRule="auto"/>
      <w:ind w:firstLine="200" w:firstLineChars="200"/>
    </w:pPr>
    <w:rPr>
      <w:rFonts w:ascii="仿宋_GB2312" w:hAnsi="Calibri" w:eastAsia="仿宋"/>
      <w:sz w:val="28"/>
      <w:szCs w:val="22"/>
    </w:rPr>
  </w:style>
  <w:style w:type="paragraph" w:customStyle="1" w:styleId="12">
    <w:name w:val="Revision"/>
    <w:hidden/>
    <w:semiHidden/>
    <w:qFormat/>
    <w:uiPriority w:val="99"/>
    <w:rPr>
      <w:rFonts w:ascii="Cambria" w:hAnsi="Cambria"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2811</Words>
  <Characters>2892</Characters>
  <Lines>23</Lines>
  <Paragraphs>6</Paragraphs>
  <TotalTime>19</TotalTime>
  <ScaleCrop>false</ScaleCrop>
  <LinksUpToDate>false</LinksUpToDate>
  <CharactersWithSpaces>2897</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2023-02-13T01:51:00Z</dcterms:created>
  <dc:creator>LENOVO</dc:creator>
  <cp:lastModifiedBy>请叫我大名</cp:lastModifiedBy>
  <cp:lastPrinted>2022-02-19T06:51:00Z</cp:lastPrinted>
  <dcterms:modified xsi:type="dcterms:W3CDTF">2023-02-13T07:12:11Z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837FA8363EAF4F73828485AB0822D9A0</vt:lpwstr>
  </property>
</Properties>
</file>