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b w:val="0"/>
          <w:bCs w:val="0"/>
          <w:sz w:val="32"/>
          <w:szCs w:val="32"/>
        </w:rPr>
      </w:pPr>
      <w:r>
        <w:rPr>
          <w:rFonts w:ascii="仿宋" w:hAnsi="仿宋" w:eastAsia="仿宋" w:cs="仿宋"/>
          <w:b w:val="0"/>
          <w:bCs w:val="0"/>
          <w:sz w:val="32"/>
          <w:szCs w:val="32"/>
        </w:rPr>
        <w:t>附件</w:t>
      </w:r>
    </w:p>
    <w:p>
      <w:pPr>
        <w:pStyle w:val="2"/>
        <w:jc w:val="center"/>
        <w:rPr>
          <w:rFonts w:hint="default"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履约承诺函</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致：深圳市文化广电旅游体育局</w:t>
      </w:r>
    </w:p>
    <w:p>
      <w:pPr>
        <w:spacing w:line="520" w:lineRule="exact"/>
        <w:ind w:right="-8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w:t>
      </w:r>
    </w:p>
    <w:p>
      <w:pPr>
        <w:spacing w:line="520" w:lineRule="exact"/>
        <w:ind w:firstLine="645"/>
        <w:outlineLvl w:val="0"/>
        <w:rPr>
          <w:rFonts w:ascii="仿宋_GB2312" w:hAnsi="仿宋_GB2312" w:eastAsia="仿宋_GB2312" w:cs="仿宋_GB2312"/>
          <w:sz w:val="32"/>
          <w:szCs w:val="32"/>
        </w:rPr>
      </w:pPr>
      <w:bookmarkStart w:id="0" w:name="_Toc13121"/>
      <w:r>
        <w:rPr>
          <w:rFonts w:hint="eastAsia" w:ascii="仿宋_GB2312" w:hAnsi="仿宋_GB2312" w:eastAsia="仿宋_GB2312" w:cs="仿宋_GB2312"/>
          <w:sz w:val="32"/>
          <w:szCs w:val="32"/>
        </w:rPr>
        <w:t>1.我公司本招标项目所提供的服务未侵犯知识产权。</w:t>
      </w:r>
      <w:bookmarkEnd w:id="0"/>
    </w:p>
    <w:p>
      <w:pPr>
        <w:spacing w:line="5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2.我公司参与本项目投标前三年内，在经营活动中没有重大违法记录。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3.我公司参与本项目政府采购活动时不存在被有关部门禁止参与政府采购活动且在有效期内的情况。</w:t>
      </w:r>
    </w:p>
    <w:p>
      <w:pPr>
        <w:spacing w:line="5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4.我公司具备《中华人民共和国政府采购法》第二十二条规定的条件。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5.我公司未被列入失信被执行人、重大税收违法案件当事人名单、政府采购严重违法失信行为记录名单。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6.我公司参与该项目投标，严格遵循公平竞争的原则。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7.我公司已认真核实了投标文件的全部内容，所有资料均为真实资料。我公司对投标文件中全部投标资料的真实性负责。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8.我公司如果中标，承诺不非法转包、分包，做到守信，不偷工减料，依照本项目招标文件需求内容、签署的采购合同及本公司在投标中所作的一切承诺履约，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我公司以上承诺，如有违反，愿依照国家相关法律处理，并承担由此给采购人带来的损失。    </w:t>
      </w:r>
    </w:p>
    <w:p>
      <w:pPr>
        <w:spacing w:line="520" w:lineRule="exact"/>
        <w:rPr>
          <w:rFonts w:ascii="仿宋_GB2312" w:hAnsi="仿宋_GB2312" w:eastAsia="仿宋_GB2312" w:cs="仿宋_GB2312"/>
          <w:sz w:val="32"/>
          <w:szCs w:val="32"/>
        </w:rPr>
      </w:pPr>
    </w:p>
    <w:p>
      <w:pPr>
        <w:tabs>
          <w:tab w:val="left" w:pos="654"/>
          <w:tab w:val="left" w:pos="1734"/>
          <w:tab w:val="left" w:pos="2814"/>
          <w:tab w:val="left" w:pos="3894"/>
          <w:tab w:val="left" w:pos="5334"/>
          <w:tab w:val="left" w:pos="6414"/>
          <w:tab w:val="left" w:pos="7254"/>
          <w:tab w:val="left" w:pos="8574"/>
          <w:tab w:val="left" w:pos="9654"/>
        </w:tabs>
        <w:spacing w:line="52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投标人代表（签字）：</w:t>
      </w:r>
    </w:p>
    <w:p>
      <w:pPr>
        <w:spacing w:line="520" w:lineRule="exact"/>
        <w:ind w:firstLine="640" w:firstLineChars="200"/>
        <w:rPr>
          <w:rFonts w:ascii="仿宋" w:hAnsi="仿宋" w:eastAsia="仿宋" w:cs="仿宋"/>
          <w:color w:val="000000"/>
          <w:sz w:val="32"/>
          <w:szCs w:val="32"/>
        </w:rPr>
      </w:pPr>
      <w:r>
        <w:rPr>
          <w:rFonts w:hint="eastAsia" w:ascii="仿宋_GB2312" w:hAnsi="仿宋_GB2312" w:eastAsia="仿宋_GB2312" w:cs="仿宋_GB2312"/>
          <w:sz w:val="32"/>
          <w:szCs w:val="32"/>
        </w:rPr>
        <w:t>单位盖章（公章）：</w:t>
      </w:r>
    </w:p>
    <w:p>
      <w:pPr>
        <w:autoSpaceDN w:val="0"/>
        <w:spacing w:line="540" w:lineRule="exact"/>
        <w:rPr>
          <w:rFonts w:hint="eastAsia" w:ascii="仿宋" w:hAnsi="仿宋" w:eastAsia="仿宋" w:cs="仿宋"/>
          <w:color w:val="000000"/>
          <w:sz w:val="32"/>
          <w:szCs w:val="32"/>
        </w:rPr>
      </w:pPr>
    </w:p>
    <w:p>
      <w:pPr>
        <w:autoSpaceDN w:val="0"/>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附件</w:t>
      </w:r>
    </w:p>
    <w:p>
      <w:pPr>
        <w:autoSpaceDN w:val="0"/>
        <w:spacing w:line="540" w:lineRule="exact"/>
        <w:rPr>
          <w:rFonts w:hint="eastAsia" w:ascii="仿宋" w:hAnsi="仿宋" w:eastAsia="仿宋" w:cs="仿宋"/>
          <w:color w:val="000000"/>
          <w:sz w:val="32"/>
          <w:szCs w:val="32"/>
        </w:rPr>
      </w:pPr>
      <w:bookmarkStart w:id="3" w:name="_GoBack"/>
      <w:bookmarkEnd w:id="3"/>
    </w:p>
    <w:p>
      <w:pPr>
        <w:autoSpaceDN w:val="0"/>
        <w:spacing w:line="540" w:lineRule="exact"/>
        <w:jc w:val="center"/>
        <w:rPr>
          <w:rFonts w:asciiTheme="majorEastAsia" w:hAnsiTheme="majorEastAsia" w:eastAsiaTheme="majorEastAsia" w:cstheme="majorEastAsia"/>
          <w:b/>
          <w:bCs/>
          <w:spacing w:val="-11"/>
          <w:sz w:val="44"/>
          <w:szCs w:val="44"/>
        </w:rPr>
      </w:pPr>
      <w:r>
        <w:rPr>
          <w:rFonts w:hint="eastAsia" w:asciiTheme="majorEastAsia" w:hAnsiTheme="majorEastAsia" w:eastAsiaTheme="majorEastAsia" w:cstheme="majorEastAsia"/>
          <w:b/>
          <w:bCs/>
          <w:color w:val="000000"/>
          <w:sz w:val="44"/>
          <w:szCs w:val="44"/>
        </w:rPr>
        <w:t>2023年深圳市导游和领队业务日常事务性工作</w:t>
      </w:r>
      <w:r>
        <w:rPr>
          <w:rFonts w:hint="eastAsia" w:asciiTheme="majorEastAsia" w:hAnsiTheme="majorEastAsia" w:eastAsiaTheme="majorEastAsia" w:cstheme="majorEastAsia"/>
          <w:b/>
          <w:bCs/>
          <w:sz w:val="44"/>
          <w:szCs w:val="44"/>
          <w:shd w:val="clear" w:color="auto" w:fill="FFFFFF"/>
        </w:rPr>
        <w:t>项目评分表</w:t>
      </w:r>
    </w:p>
    <w:p>
      <w:pPr>
        <w:pStyle w:val="5"/>
        <w:spacing w:line="520" w:lineRule="exact"/>
        <w:ind w:left="0" w:leftChars="0"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评标方法采用“综合评分法”，以评标总得分最高的投标人作为推荐中标候选人的评标方法。</w:t>
      </w:r>
      <w:r>
        <w:rPr>
          <w:rFonts w:hint="eastAsia" w:ascii="仿宋_GB2312" w:hAnsi="仿宋_GB2312" w:eastAsia="仿宋_GB2312" w:cs="仿宋_GB2312"/>
          <w:bCs/>
          <w:color w:val="000000"/>
          <w:sz w:val="32"/>
          <w:szCs w:val="32"/>
        </w:rPr>
        <w:t>具体分值如下：商务评议部分40分，技术评议30分，价格评议30分。</w:t>
      </w:r>
    </w:p>
    <w:p>
      <w:pPr>
        <w:pStyle w:val="2"/>
        <w:rPr>
          <w:rFonts w:hint="default"/>
        </w:rPr>
      </w:pPr>
      <w:r>
        <w:rPr>
          <w:sz w:val="28"/>
          <w:szCs w:val="28"/>
          <w:lang w:val="zh-CN"/>
        </w:rPr>
        <w:t>《商务评议指标表》</w:t>
      </w:r>
      <w:r>
        <w:rPr>
          <w:sz w:val="21"/>
          <w:szCs w:val="21"/>
        </w:rPr>
        <w:t>[ 分值：40分]</w:t>
      </w:r>
    </w:p>
    <w:tbl>
      <w:tblPr>
        <w:tblStyle w:val="9"/>
        <w:tblW w:w="944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446"/>
        <w:gridCol w:w="1575"/>
        <w:gridCol w:w="716"/>
        <w:gridCol w:w="6224"/>
        <w:gridCol w:w="48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385" w:hRule="atLeast"/>
          <w:tblCellSpacing w:w="0" w:type="dxa"/>
          <w:jc w:val="center"/>
        </w:trPr>
        <w:tc>
          <w:tcPr>
            <w:tcW w:w="446" w:type="dxa"/>
            <w:tcBorders>
              <w:top w:val="outset" w:color="DDDDDD" w:sz="6" w:space="0"/>
              <w:left w:val="outset" w:color="DDDDDD" w:sz="6" w:space="0"/>
              <w:bottom w:val="outset" w:color="DDDDDD" w:sz="6" w:space="0"/>
              <w:right w:val="outset" w:color="auto" w:sz="6" w:space="0"/>
            </w:tcBorders>
            <w:shd w:val="clear" w:color="auto" w:fill="EEEEEE"/>
            <w:noWrap/>
            <w:vAlign w:val="center"/>
          </w:tcPr>
          <w:p>
            <w:pPr>
              <w:jc w:val="center"/>
              <w:rPr>
                <w:szCs w:val="21"/>
              </w:rPr>
            </w:pPr>
            <w:r>
              <w:rPr>
                <w:rFonts w:hAnsi="宋体"/>
                <w:szCs w:val="21"/>
              </w:rPr>
              <w:t>序号</w:t>
            </w:r>
          </w:p>
        </w:tc>
        <w:tc>
          <w:tcPr>
            <w:tcW w:w="1575" w:type="dxa"/>
            <w:tcBorders>
              <w:top w:val="outset" w:color="DDDDDD" w:sz="6" w:space="0"/>
              <w:left w:val="outset" w:color="auto" w:sz="6" w:space="0"/>
              <w:bottom w:val="outset" w:color="DDDDDD" w:sz="6" w:space="0"/>
              <w:right w:val="outset" w:color="auto" w:sz="6" w:space="0"/>
            </w:tcBorders>
            <w:shd w:val="clear" w:color="auto" w:fill="EEEEEE"/>
            <w:noWrap/>
            <w:vAlign w:val="center"/>
          </w:tcPr>
          <w:p>
            <w:pPr>
              <w:ind w:left="90"/>
              <w:jc w:val="center"/>
              <w:rPr>
                <w:szCs w:val="21"/>
              </w:rPr>
            </w:pPr>
            <w:r>
              <w:rPr>
                <w:rFonts w:hAnsi="宋体"/>
                <w:szCs w:val="21"/>
              </w:rPr>
              <w:t>内容</w:t>
            </w:r>
          </w:p>
        </w:tc>
        <w:tc>
          <w:tcPr>
            <w:tcW w:w="716" w:type="dxa"/>
            <w:tcBorders>
              <w:top w:val="outset" w:color="DDDDDD" w:sz="6" w:space="0"/>
              <w:left w:val="outset" w:color="auto" w:sz="6" w:space="0"/>
              <w:bottom w:val="outset" w:color="DDDDDD" w:sz="6" w:space="0"/>
              <w:right w:val="outset" w:color="auto" w:sz="6" w:space="0"/>
            </w:tcBorders>
            <w:shd w:val="clear" w:color="auto" w:fill="EEEEEE"/>
            <w:noWrap/>
            <w:vAlign w:val="center"/>
          </w:tcPr>
          <w:p>
            <w:pPr>
              <w:jc w:val="center"/>
              <w:rPr>
                <w:szCs w:val="21"/>
              </w:rPr>
            </w:pPr>
            <w:r>
              <w:rPr>
                <w:rFonts w:hAnsi="宋体"/>
                <w:szCs w:val="21"/>
              </w:rPr>
              <w:t>分值</w:t>
            </w:r>
          </w:p>
        </w:tc>
        <w:tc>
          <w:tcPr>
            <w:tcW w:w="6224" w:type="dxa"/>
            <w:tcBorders>
              <w:top w:val="outset" w:color="DDDDDD" w:sz="6" w:space="0"/>
              <w:left w:val="outset" w:color="auto" w:sz="6" w:space="0"/>
              <w:bottom w:val="outset" w:color="DDDDDD" w:sz="6" w:space="0"/>
              <w:right w:val="outset" w:color="DDDDDD" w:sz="6" w:space="0"/>
            </w:tcBorders>
            <w:shd w:val="clear" w:color="auto" w:fill="EEEEEE"/>
            <w:noWrap/>
            <w:vAlign w:val="center"/>
          </w:tcPr>
          <w:p>
            <w:pPr>
              <w:jc w:val="center"/>
              <w:rPr>
                <w:szCs w:val="21"/>
              </w:rPr>
            </w:pPr>
            <w:r>
              <w:rPr>
                <w:rFonts w:hAnsi="宋体"/>
                <w:szCs w:val="21"/>
              </w:rPr>
              <w:t>评分标准</w:t>
            </w:r>
          </w:p>
        </w:tc>
        <w:tc>
          <w:tcPr>
            <w:tcW w:w="485" w:type="dxa"/>
            <w:tcBorders>
              <w:top w:val="outset" w:color="DDDDDD" w:sz="6" w:space="0"/>
              <w:left w:val="outset" w:color="DDDDDD" w:sz="6" w:space="0"/>
              <w:bottom w:val="outset" w:color="DDDDDD" w:sz="6" w:space="0"/>
              <w:right w:val="outset" w:color="DDDDDD" w:sz="6" w:space="0"/>
            </w:tcBorders>
            <w:shd w:val="clear" w:color="auto" w:fill="EEEEEE"/>
            <w:noWrap/>
            <w:vAlign w:val="center"/>
          </w:tcPr>
          <w:p>
            <w:pPr>
              <w:jc w:val="center"/>
              <w:rPr>
                <w:szCs w:val="21"/>
              </w:rPr>
            </w:pPr>
            <w:r>
              <w:rPr>
                <w:rFonts w:hAnsi="宋体"/>
                <w:szCs w:val="21"/>
              </w:rPr>
              <w:t>评标</w:t>
            </w:r>
          </w:p>
          <w:p>
            <w:pPr>
              <w:jc w:val="center"/>
              <w:rPr>
                <w:szCs w:val="21"/>
              </w:rPr>
            </w:pPr>
            <w:r>
              <w:rPr>
                <w:rFonts w:hAnsi="宋体"/>
                <w:szCs w:val="21"/>
              </w:rPr>
              <w:t>得分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385" w:hRule="atLeast"/>
          <w:tblCellSpacing w:w="0" w:type="dxa"/>
          <w:jc w:val="center"/>
        </w:trPr>
        <w:tc>
          <w:tcPr>
            <w:tcW w:w="446" w:type="dxa"/>
            <w:tcBorders>
              <w:top w:val="outset" w:color="808080" w:sz="6" w:space="0"/>
              <w:left w:val="outset" w:color="DDDDDD" w:sz="6" w:space="0"/>
              <w:right w:val="outset" w:color="auto" w:sz="6" w:space="0"/>
            </w:tcBorders>
            <w:noWrap/>
            <w:vAlign w:val="center"/>
          </w:tcPr>
          <w:p>
            <w:pPr>
              <w:tabs>
                <w:tab w:val="left" w:pos="426"/>
              </w:tabs>
              <w:autoSpaceDE w:val="0"/>
              <w:autoSpaceDN w:val="0"/>
              <w:jc w:val="center"/>
              <w:rPr>
                <w:rFonts w:hint="eastAsia" w:eastAsiaTheme="minorEastAsia"/>
                <w:szCs w:val="21"/>
                <w:lang w:val="zh-CN" w:eastAsia="zh-CN"/>
              </w:rPr>
            </w:pPr>
            <w:r>
              <w:rPr>
                <w:rFonts w:hint="eastAsia"/>
                <w:szCs w:val="21"/>
                <w:lang w:val="en-US" w:eastAsia="zh-CN"/>
              </w:rPr>
              <w:t>1</w:t>
            </w:r>
          </w:p>
        </w:tc>
        <w:tc>
          <w:tcPr>
            <w:tcW w:w="1575" w:type="dxa"/>
            <w:tcBorders>
              <w:top w:val="outset" w:color="808080" w:sz="6" w:space="0"/>
              <w:left w:val="outset" w:color="auto" w:sz="6" w:space="0"/>
              <w:right w:val="outset" w:color="999999" w:sz="6" w:space="0"/>
            </w:tcBorders>
            <w:noWrap/>
            <w:vAlign w:val="center"/>
          </w:tcPr>
          <w:p>
            <w:pPr>
              <w:jc w:val="center"/>
              <w:rPr>
                <w:rFonts w:ascii="宋体" w:hAnsi="宋体"/>
                <w:color w:val="000000"/>
                <w:szCs w:val="21"/>
              </w:rPr>
            </w:pPr>
            <w:r>
              <w:rPr>
                <w:rFonts w:hint="eastAsia" w:ascii="宋体" w:cs="宋体"/>
                <w:color w:val="000000"/>
                <w:szCs w:val="21"/>
              </w:rPr>
              <w:t>社会知名度影响力</w:t>
            </w:r>
          </w:p>
        </w:tc>
        <w:tc>
          <w:tcPr>
            <w:tcW w:w="716" w:type="dxa"/>
            <w:tcBorders>
              <w:top w:val="outset" w:color="808080" w:sz="6" w:space="0"/>
              <w:left w:val="outset" w:color="auto" w:sz="6" w:space="0"/>
              <w:right w:val="outset" w:color="auto" w:sz="6" w:space="0"/>
            </w:tcBorders>
            <w:noWrap/>
          </w:tcPr>
          <w:p>
            <w:pPr>
              <w:jc w:val="center"/>
              <w:rPr>
                <w:rFonts w:hint="eastAsia" w:ascii="宋体" w:hAnsi="宋体" w:cs="宋体" w:eastAsiaTheme="minorEastAsia"/>
                <w:color w:val="000000"/>
                <w:lang w:val="en-US" w:eastAsia="zh-CN"/>
              </w:rPr>
            </w:pPr>
            <w:r>
              <w:rPr>
                <w:rFonts w:ascii="宋体" w:hAnsi="宋体" w:cs="宋体"/>
                <w:color w:val="000000"/>
              </w:rPr>
              <w:t>1</w:t>
            </w:r>
            <w:r>
              <w:rPr>
                <w:rFonts w:hint="eastAsia" w:ascii="宋体" w:hAnsi="宋体" w:cs="宋体"/>
                <w:color w:val="000000"/>
                <w:lang w:val="en-US" w:eastAsia="zh-CN"/>
              </w:rPr>
              <w:t>5</w:t>
            </w:r>
          </w:p>
        </w:tc>
        <w:tc>
          <w:tcPr>
            <w:tcW w:w="6224" w:type="dxa"/>
            <w:tcBorders>
              <w:top w:val="outset" w:color="DDDDDD" w:sz="6" w:space="0"/>
              <w:left w:val="outset" w:color="auto" w:sz="6" w:space="0"/>
              <w:right w:val="outset" w:color="DDDDDD" w:sz="6" w:space="0"/>
            </w:tcBorders>
            <w:noWrap/>
            <w:vAlign w:val="center"/>
          </w:tcPr>
          <w:p>
            <w:pPr>
              <w:rPr>
                <w:rFonts w:ascii="宋体" w:hAnsi="宋体" w:cs="宋体"/>
                <w:szCs w:val="21"/>
              </w:rPr>
            </w:pPr>
            <w:r>
              <w:rPr>
                <w:rFonts w:hint="eastAsia" w:ascii="宋体" w:hAnsi="宋体" w:cs="宋体"/>
                <w:szCs w:val="21"/>
              </w:rPr>
              <w:t>获得国家级或省级政府部门颁发奖项为1</w:t>
            </w:r>
            <w:r>
              <w:rPr>
                <w:rFonts w:hint="eastAsia" w:ascii="宋体" w:hAnsi="宋体" w:cs="宋体"/>
                <w:szCs w:val="21"/>
                <w:lang w:val="en-US" w:eastAsia="zh-CN"/>
              </w:rPr>
              <w:t>5</w:t>
            </w:r>
            <w:r>
              <w:rPr>
                <w:rFonts w:hint="eastAsia" w:ascii="宋体" w:hAnsi="宋体" w:cs="宋体"/>
                <w:szCs w:val="21"/>
              </w:rPr>
              <w:t>分，市级政府部门颁发奖项为</w:t>
            </w:r>
            <w:r>
              <w:rPr>
                <w:rFonts w:hint="eastAsia" w:ascii="宋体" w:hAnsi="宋体" w:cs="宋体"/>
                <w:szCs w:val="21"/>
                <w:lang w:val="en-US" w:eastAsia="zh-CN"/>
              </w:rPr>
              <w:t>10</w:t>
            </w:r>
            <w:r>
              <w:rPr>
                <w:rFonts w:hint="eastAsia" w:ascii="宋体" w:hAnsi="宋体" w:cs="宋体"/>
                <w:szCs w:val="21"/>
              </w:rPr>
              <w:t>分，市级以下政府部门颁发奖项为</w:t>
            </w:r>
            <w:r>
              <w:rPr>
                <w:rFonts w:hint="eastAsia" w:ascii="宋体" w:hAnsi="宋体" w:cs="宋体"/>
                <w:szCs w:val="21"/>
                <w:lang w:val="en-US" w:eastAsia="zh-CN"/>
              </w:rPr>
              <w:t>5</w:t>
            </w:r>
            <w:r>
              <w:rPr>
                <w:rFonts w:hint="eastAsia" w:ascii="宋体" w:hAnsi="宋体" w:cs="宋体"/>
                <w:szCs w:val="21"/>
              </w:rPr>
              <w:t>分。</w:t>
            </w:r>
          </w:p>
          <w:p>
            <w:pPr>
              <w:rPr>
                <w:rFonts w:ascii="宋体" w:hAnsi="宋体" w:cs="宋体"/>
                <w:szCs w:val="21"/>
              </w:rPr>
            </w:pPr>
            <w:r>
              <w:rPr>
                <w:rFonts w:hint="eastAsia" w:ascii="宋体" w:hAnsi="宋体" w:cs="宋体"/>
                <w:szCs w:val="21"/>
              </w:rPr>
              <w:t>同级别奖项按照获奖梯度打分。无相关获奖情况不得分，提供获奖证书扫描件并加盖投标人公章，原件备查。（若提供多个奖项，则只取其获得的最高奖项，进行比较打分。）评分中出现无证明资料或者专家无法凭所提供资料判断获奖状况的情况，一律不得分处理。</w:t>
            </w:r>
          </w:p>
        </w:tc>
        <w:tc>
          <w:tcPr>
            <w:tcW w:w="485" w:type="dxa"/>
            <w:tcBorders>
              <w:top w:val="outset" w:color="DDDDDD" w:sz="6" w:space="0"/>
              <w:left w:val="outset" w:color="DDDDDD" w:sz="6" w:space="0"/>
              <w:right w:val="outset" w:color="DDDDDD" w:sz="6" w:space="0"/>
            </w:tcBorders>
            <w:noWrap/>
            <w:vAlign w:val="center"/>
          </w:tcPr>
          <w:p>
            <w:pPr>
              <w:jc w:val="center"/>
              <w:rPr>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385" w:hRule="atLeast"/>
          <w:tblCellSpacing w:w="0" w:type="dxa"/>
          <w:jc w:val="center"/>
        </w:trPr>
        <w:tc>
          <w:tcPr>
            <w:tcW w:w="446" w:type="dxa"/>
            <w:tcBorders>
              <w:top w:val="outset" w:color="808080" w:sz="6" w:space="0"/>
              <w:left w:val="outset" w:color="DDDDDD" w:sz="6" w:space="0"/>
              <w:right w:val="outset" w:color="auto" w:sz="6" w:space="0"/>
            </w:tcBorders>
            <w:noWrap/>
            <w:vAlign w:val="center"/>
          </w:tcPr>
          <w:p>
            <w:pPr>
              <w:tabs>
                <w:tab w:val="left" w:pos="426"/>
              </w:tabs>
              <w:autoSpaceDE w:val="0"/>
              <w:autoSpaceDN w:val="0"/>
              <w:jc w:val="center"/>
              <w:rPr>
                <w:rFonts w:hint="eastAsia" w:eastAsiaTheme="minorEastAsia"/>
                <w:b/>
                <w:color w:val="000000"/>
                <w:szCs w:val="21"/>
                <w:lang w:eastAsia="zh-CN"/>
              </w:rPr>
            </w:pPr>
            <w:r>
              <w:rPr>
                <w:rFonts w:hint="eastAsia"/>
                <w:b/>
                <w:color w:val="000000"/>
                <w:szCs w:val="21"/>
                <w:lang w:val="en-US" w:eastAsia="zh-CN"/>
              </w:rPr>
              <w:t>2</w:t>
            </w:r>
          </w:p>
        </w:tc>
        <w:tc>
          <w:tcPr>
            <w:tcW w:w="1575" w:type="dxa"/>
            <w:tcBorders>
              <w:top w:val="outset" w:color="808080" w:sz="6" w:space="0"/>
              <w:left w:val="outset" w:color="auto" w:sz="6" w:space="0"/>
              <w:right w:val="outset" w:color="999999" w:sz="6" w:space="0"/>
            </w:tcBorders>
            <w:noWrap/>
            <w:vAlign w:val="center"/>
          </w:tcPr>
          <w:p>
            <w:pPr>
              <w:jc w:val="center"/>
              <w:rPr>
                <w:color w:val="000000"/>
                <w:szCs w:val="21"/>
              </w:rPr>
            </w:pPr>
            <w:r>
              <w:rPr>
                <w:rFonts w:hint="eastAsia" w:ascii="宋体" w:hAnsi="宋体"/>
                <w:szCs w:val="21"/>
              </w:rPr>
              <w:t>投标人同类项目业绩情况</w:t>
            </w:r>
          </w:p>
        </w:tc>
        <w:tc>
          <w:tcPr>
            <w:tcW w:w="716" w:type="dxa"/>
            <w:tcBorders>
              <w:top w:val="outset" w:color="808080" w:sz="6" w:space="0"/>
              <w:left w:val="outset" w:color="auto" w:sz="6" w:space="0"/>
              <w:right w:val="outset" w:color="auto" w:sz="6" w:space="0"/>
            </w:tcBorders>
            <w:noWrap/>
            <w:vAlign w:val="center"/>
          </w:tcPr>
          <w:p>
            <w:pPr>
              <w:tabs>
                <w:tab w:val="left" w:pos="426"/>
              </w:tabs>
              <w:autoSpaceDE w:val="0"/>
              <w:autoSpaceDN w:val="0"/>
              <w:jc w:val="center"/>
              <w:rPr>
                <w:rFonts w:hint="eastAsia" w:eastAsiaTheme="minorEastAsia"/>
                <w:color w:val="000000"/>
                <w:szCs w:val="21"/>
                <w:lang w:val="en-US" w:eastAsia="zh-CN"/>
              </w:rPr>
            </w:pPr>
            <w:r>
              <w:rPr>
                <w:rFonts w:ascii="宋体" w:hAnsi="宋体" w:cs="宋体"/>
                <w:snapToGrid w:val="0"/>
                <w:color w:val="000000"/>
                <w:kern w:val="0"/>
                <w:szCs w:val="21"/>
              </w:rPr>
              <w:t>1</w:t>
            </w:r>
            <w:r>
              <w:rPr>
                <w:rFonts w:hint="eastAsia" w:ascii="宋体" w:hAnsi="宋体" w:cs="宋体"/>
                <w:snapToGrid w:val="0"/>
                <w:color w:val="000000"/>
                <w:kern w:val="0"/>
                <w:szCs w:val="21"/>
                <w:lang w:val="en-US" w:eastAsia="zh-CN"/>
              </w:rPr>
              <w:t>5</w:t>
            </w:r>
          </w:p>
        </w:tc>
        <w:tc>
          <w:tcPr>
            <w:tcW w:w="6224" w:type="dxa"/>
            <w:tcBorders>
              <w:top w:val="outset" w:color="DDDDDD" w:sz="6" w:space="0"/>
              <w:left w:val="outset" w:color="auto" w:sz="6" w:space="0"/>
              <w:right w:val="outset" w:color="DDDDDD" w:sz="6" w:space="0"/>
            </w:tcBorders>
            <w:noWrap/>
            <w:vAlign w:val="center"/>
          </w:tcPr>
          <w:p>
            <w:pPr>
              <w:tabs>
                <w:tab w:val="left" w:pos="426"/>
              </w:tabs>
              <w:jc w:val="left"/>
              <w:rPr>
                <w:color w:val="000000"/>
                <w:szCs w:val="21"/>
              </w:rPr>
            </w:pPr>
            <w:r>
              <w:rPr>
                <w:rFonts w:hint="eastAsia"/>
                <w:color w:val="000000"/>
              </w:rPr>
              <w:t>具有评选服务领域的经验，可以提供项目合同，得1</w:t>
            </w:r>
            <w:r>
              <w:rPr>
                <w:rFonts w:hint="eastAsia"/>
                <w:color w:val="000000"/>
                <w:lang w:val="en-US" w:eastAsia="zh-CN"/>
              </w:rPr>
              <w:t>5</w:t>
            </w:r>
            <w:r>
              <w:rPr>
                <w:rFonts w:hint="eastAsia"/>
                <w:color w:val="000000"/>
              </w:rPr>
              <w:t>分。</w:t>
            </w:r>
          </w:p>
        </w:tc>
        <w:tc>
          <w:tcPr>
            <w:tcW w:w="485" w:type="dxa"/>
            <w:tcBorders>
              <w:top w:val="outset" w:color="DDDDDD" w:sz="6" w:space="0"/>
              <w:left w:val="outset" w:color="DDDDDD" w:sz="6" w:space="0"/>
              <w:right w:val="outset" w:color="DDDDDD" w:sz="6" w:space="0"/>
            </w:tcBorders>
            <w:noWrap/>
            <w:vAlign w:val="center"/>
          </w:tcPr>
          <w:p>
            <w:pPr>
              <w:jc w:val="center"/>
              <w:rPr>
                <w:color w:val="000000"/>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385" w:hRule="atLeast"/>
          <w:tblCellSpacing w:w="0" w:type="dxa"/>
          <w:jc w:val="center"/>
        </w:trPr>
        <w:tc>
          <w:tcPr>
            <w:tcW w:w="446" w:type="dxa"/>
            <w:tcBorders>
              <w:top w:val="outset" w:color="808080" w:sz="6" w:space="0"/>
              <w:left w:val="outset" w:color="DDDDDD" w:sz="6" w:space="0"/>
              <w:right w:val="outset" w:color="auto" w:sz="6" w:space="0"/>
            </w:tcBorders>
            <w:noWrap/>
            <w:vAlign w:val="center"/>
          </w:tcPr>
          <w:p>
            <w:pPr>
              <w:autoSpaceDE w:val="0"/>
              <w:autoSpaceDN w:val="0"/>
              <w:jc w:val="center"/>
              <w:rPr>
                <w:rFonts w:hint="eastAsia" w:eastAsiaTheme="minorEastAsia"/>
                <w:b/>
                <w:szCs w:val="21"/>
                <w:lang w:eastAsia="zh-CN"/>
              </w:rPr>
            </w:pPr>
            <w:r>
              <w:rPr>
                <w:rFonts w:hint="eastAsia"/>
                <w:b/>
                <w:szCs w:val="21"/>
                <w:lang w:val="en-US" w:eastAsia="zh-CN"/>
              </w:rPr>
              <w:t>3</w:t>
            </w:r>
          </w:p>
        </w:tc>
        <w:tc>
          <w:tcPr>
            <w:tcW w:w="1575" w:type="dxa"/>
            <w:tcBorders>
              <w:top w:val="outset" w:color="808080" w:sz="6" w:space="0"/>
              <w:left w:val="outset" w:color="auto" w:sz="6" w:space="0"/>
              <w:right w:val="outset" w:color="999999" w:sz="6" w:space="0"/>
            </w:tcBorders>
            <w:noWrap/>
            <w:vAlign w:val="center"/>
          </w:tcPr>
          <w:p>
            <w:pPr>
              <w:tabs>
                <w:tab w:val="left" w:pos="426"/>
              </w:tabs>
              <w:jc w:val="center"/>
              <w:rPr>
                <w:szCs w:val="21"/>
              </w:rPr>
            </w:pPr>
            <w:r>
              <w:rPr>
                <w:rFonts w:hAnsi="宋体"/>
                <w:color w:val="000000"/>
                <w:kern w:val="0"/>
                <w:szCs w:val="21"/>
              </w:rPr>
              <w:t>市政府采购中心履约评价情况</w:t>
            </w:r>
          </w:p>
        </w:tc>
        <w:tc>
          <w:tcPr>
            <w:tcW w:w="716" w:type="dxa"/>
            <w:tcBorders>
              <w:top w:val="outset" w:color="808080" w:sz="6" w:space="0"/>
              <w:left w:val="outset" w:color="auto" w:sz="6" w:space="0"/>
              <w:right w:val="outset" w:color="auto" w:sz="6" w:space="0"/>
            </w:tcBorders>
            <w:noWrap/>
            <w:vAlign w:val="center"/>
          </w:tcPr>
          <w:p>
            <w:pPr>
              <w:tabs>
                <w:tab w:val="left" w:pos="426"/>
              </w:tabs>
              <w:jc w:val="center"/>
              <w:rPr>
                <w:szCs w:val="21"/>
              </w:rPr>
            </w:pPr>
            <w:r>
              <w:rPr>
                <w:szCs w:val="21"/>
              </w:rPr>
              <w:t>5</w:t>
            </w:r>
          </w:p>
        </w:tc>
        <w:tc>
          <w:tcPr>
            <w:tcW w:w="6224" w:type="dxa"/>
            <w:tcBorders>
              <w:top w:val="outset" w:color="DDDDDD" w:sz="6" w:space="0"/>
              <w:left w:val="outset" w:color="auto" w:sz="6" w:space="0"/>
              <w:right w:val="outset" w:color="DDDDDD" w:sz="6" w:space="0"/>
            </w:tcBorders>
            <w:noWrap/>
          </w:tcPr>
          <w:p>
            <w:pPr>
              <w:tabs>
                <w:tab w:val="left" w:pos="426"/>
              </w:tabs>
              <w:jc w:val="left"/>
              <w:rPr>
                <w:szCs w:val="21"/>
              </w:rPr>
            </w:pPr>
            <w:r>
              <w:rPr>
                <w:rFonts w:hAnsi="宋体"/>
              </w:rPr>
              <w:t>近三年（以投标截止日期为准）在市政府采购中心有履约评价为差的记录，本项不得分，否则，得满分。投标人无需提供任何证明材料，由工作人员向评委会提供相关信息。</w:t>
            </w:r>
          </w:p>
        </w:tc>
        <w:tc>
          <w:tcPr>
            <w:tcW w:w="485" w:type="dxa"/>
            <w:tcBorders>
              <w:top w:val="outset" w:color="DDDDDD" w:sz="6" w:space="0"/>
              <w:left w:val="outset" w:color="DDDDDD" w:sz="6" w:space="0"/>
              <w:right w:val="outset" w:color="DDDDDD" w:sz="6" w:space="0"/>
            </w:tcBorders>
            <w:noWrap/>
            <w:vAlign w:val="center"/>
          </w:tcPr>
          <w:p>
            <w:pPr>
              <w:jc w:val="center"/>
              <w:rPr>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385" w:hRule="atLeast"/>
          <w:tblCellSpacing w:w="0" w:type="dxa"/>
          <w:jc w:val="center"/>
        </w:trPr>
        <w:tc>
          <w:tcPr>
            <w:tcW w:w="446" w:type="dxa"/>
            <w:tcBorders>
              <w:top w:val="outset" w:color="808080" w:sz="6" w:space="0"/>
              <w:left w:val="outset" w:color="DDDDDD" w:sz="6" w:space="0"/>
              <w:right w:val="outset" w:color="auto" w:sz="6" w:space="0"/>
            </w:tcBorders>
            <w:noWrap/>
            <w:vAlign w:val="center"/>
          </w:tcPr>
          <w:p>
            <w:pPr>
              <w:autoSpaceDE w:val="0"/>
              <w:autoSpaceDN w:val="0"/>
              <w:jc w:val="center"/>
              <w:rPr>
                <w:rFonts w:hint="eastAsia" w:eastAsiaTheme="minorEastAsia"/>
                <w:b/>
                <w:szCs w:val="21"/>
                <w:lang w:eastAsia="zh-CN"/>
              </w:rPr>
            </w:pPr>
            <w:r>
              <w:rPr>
                <w:rFonts w:hint="eastAsia"/>
                <w:b/>
                <w:szCs w:val="21"/>
                <w:lang w:val="en-US" w:eastAsia="zh-CN"/>
              </w:rPr>
              <w:t>4</w:t>
            </w:r>
          </w:p>
        </w:tc>
        <w:tc>
          <w:tcPr>
            <w:tcW w:w="1575" w:type="dxa"/>
            <w:tcBorders>
              <w:top w:val="outset" w:color="808080" w:sz="6" w:space="0"/>
              <w:left w:val="outset" w:color="auto" w:sz="6" w:space="0"/>
              <w:right w:val="outset" w:color="999999" w:sz="6" w:space="0"/>
            </w:tcBorders>
            <w:noWrap/>
            <w:vAlign w:val="center"/>
          </w:tcPr>
          <w:p>
            <w:pPr>
              <w:jc w:val="center"/>
              <w:rPr>
                <w:szCs w:val="21"/>
              </w:rPr>
            </w:pPr>
            <w:r>
              <w:rPr>
                <w:rFonts w:hAnsi="宋体"/>
                <w:szCs w:val="21"/>
              </w:rPr>
              <w:t>诚信评价</w:t>
            </w:r>
          </w:p>
        </w:tc>
        <w:tc>
          <w:tcPr>
            <w:tcW w:w="716" w:type="dxa"/>
            <w:tcBorders>
              <w:top w:val="outset" w:color="808080" w:sz="6" w:space="0"/>
              <w:left w:val="outset" w:color="auto" w:sz="6" w:space="0"/>
              <w:right w:val="outset" w:color="auto" w:sz="6" w:space="0"/>
            </w:tcBorders>
            <w:noWrap/>
            <w:vAlign w:val="center"/>
          </w:tcPr>
          <w:p>
            <w:pPr>
              <w:jc w:val="center"/>
              <w:rPr>
                <w:szCs w:val="21"/>
              </w:rPr>
            </w:pPr>
            <w:r>
              <w:rPr>
                <w:szCs w:val="21"/>
              </w:rPr>
              <w:t>5</w:t>
            </w:r>
          </w:p>
        </w:tc>
        <w:tc>
          <w:tcPr>
            <w:tcW w:w="6224" w:type="dxa"/>
            <w:tcBorders>
              <w:top w:val="outset" w:color="DDDDDD" w:sz="6" w:space="0"/>
              <w:left w:val="outset" w:color="auto" w:sz="6" w:space="0"/>
              <w:right w:val="outset" w:color="DDDDDD" w:sz="6" w:space="0"/>
            </w:tcBorders>
            <w:noWrap/>
          </w:tcPr>
          <w:p>
            <w:pPr>
              <w:tabs>
                <w:tab w:val="left" w:pos="426"/>
              </w:tabs>
              <w:jc w:val="left"/>
              <w:rPr>
                <w:szCs w:val="21"/>
              </w:rPr>
            </w:pPr>
            <w:r>
              <w:rPr>
                <w:szCs w:val="21"/>
              </w:rPr>
              <w:t>投标人在参与政府采购活动中存在诚信相关问题且在主管部门相关处理措施实施期限内的，本项不得分，否则得满分。</w:t>
            </w:r>
          </w:p>
          <w:p>
            <w:pPr>
              <w:tabs>
                <w:tab w:val="left" w:pos="426"/>
              </w:tabs>
              <w:jc w:val="left"/>
              <w:rPr>
                <w:szCs w:val="21"/>
              </w:rPr>
            </w:pPr>
            <w:r>
              <w:rPr>
                <w:rFonts w:hAnsi="宋体"/>
                <w:szCs w:val="21"/>
              </w:rPr>
              <w:t>投标人须提供</w:t>
            </w:r>
            <w:r>
              <w:rPr>
                <w:rFonts w:hAnsi="宋体"/>
                <w:kern w:val="0"/>
                <w:szCs w:val="21"/>
              </w:rPr>
              <w:t>《诚信承诺函》</w:t>
            </w:r>
            <w:r>
              <w:rPr>
                <w:rFonts w:hint="eastAsia" w:hAnsi="宋体"/>
                <w:kern w:val="0"/>
                <w:szCs w:val="21"/>
              </w:rPr>
              <w:t>。</w:t>
            </w:r>
          </w:p>
        </w:tc>
        <w:tc>
          <w:tcPr>
            <w:tcW w:w="485" w:type="dxa"/>
            <w:tcBorders>
              <w:top w:val="outset" w:color="DDDDDD" w:sz="6" w:space="0"/>
              <w:left w:val="outset" w:color="DDDDDD" w:sz="6" w:space="0"/>
              <w:right w:val="outset" w:color="DDDDDD" w:sz="6" w:space="0"/>
            </w:tcBorders>
            <w:noWrap/>
            <w:vAlign w:val="center"/>
          </w:tcPr>
          <w:p>
            <w:pPr>
              <w:jc w:val="center"/>
              <w:rPr>
                <w:szCs w:val="21"/>
              </w:rPr>
            </w:pPr>
          </w:p>
        </w:tc>
      </w:tr>
    </w:tbl>
    <w:p>
      <w:pPr>
        <w:pStyle w:val="2"/>
        <w:rPr>
          <w:rStyle w:val="11"/>
          <w:rFonts w:hint="default"/>
          <w:b w:val="0"/>
          <w:bCs w:val="0"/>
          <w:sz w:val="21"/>
          <w:szCs w:val="21"/>
        </w:rPr>
      </w:pPr>
      <w:bookmarkStart w:id="1" w:name="_Toc103961300"/>
      <w:r>
        <w:rPr>
          <w:sz w:val="28"/>
          <w:szCs w:val="28"/>
        </w:rPr>
        <w:t>表5：《</w:t>
      </w:r>
      <w:r>
        <w:rPr>
          <w:sz w:val="28"/>
          <w:szCs w:val="28"/>
          <w:lang w:val="zh-CN"/>
        </w:rPr>
        <w:t>技术评议指标表</w:t>
      </w:r>
      <w:r>
        <w:rPr>
          <w:sz w:val="28"/>
          <w:szCs w:val="28"/>
        </w:rPr>
        <w:t>》</w:t>
      </w:r>
      <w:r>
        <w:rPr>
          <w:sz w:val="21"/>
          <w:szCs w:val="21"/>
        </w:rPr>
        <w:t xml:space="preserve">   [ 分值：30分]</w:t>
      </w:r>
      <w:bookmarkEnd w:id="1"/>
    </w:p>
    <w:tbl>
      <w:tblPr>
        <w:tblStyle w:val="9"/>
        <w:tblW w:w="9685" w:type="dxa"/>
        <w:jc w:val="center"/>
        <w:tblCellSpacing w:w="0"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607"/>
        <w:gridCol w:w="1701"/>
        <w:gridCol w:w="708"/>
        <w:gridCol w:w="6077"/>
        <w:gridCol w:w="592"/>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572" w:hRule="atLeast"/>
          <w:tblCellSpacing w:w="0" w:type="dxa"/>
          <w:jc w:val="center"/>
        </w:trPr>
        <w:tc>
          <w:tcPr>
            <w:tcW w:w="607" w:type="dxa"/>
            <w:shd w:val="clear" w:color="auto" w:fill="EEEEEE"/>
            <w:noWrap/>
            <w:vAlign w:val="center"/>
          </w:tcPr>
          <w:p>
            <w:pPr>
              <w:jc w:val="center"/>
              <w:rPr>
                <w:szCs w:val="21"/>
              </w:rPr>
            </w:pPr>
            <w:r>
              <w:rPr>
                <w:rFonts w:hAnsi="宋体"/>
                <w:szCs w:val="21"/>
              </w:rPr>
              <w:t>序号</w:t>
            </w:r>
          </w:p>
        </w:tc>
        <w:tc>
          <w:tcPr>
            <w:tcW w:w="1701" w:type="dxa"/>
            <w:shd w:val="clear" w:color="auto" w:fill="EEEEEE"/>
            <w:noWrap/>
            <w:vAlign w:val="center"/>
          </w:tcPr>
          <w:p>
            <w:pPr>
              <w:ind w:left="90"/>
              <w:jc w:val="center"/>
              <w:rPr>
                <w:szCs w:val="21"/>
              </w:rPr>
            </w:pPr>
            <w:r>
              <w:rPr>
                <w:rFonts w:hAnsi="宋体"/>
                <w:szCs w:val="21"/>
              </w:rPr>
              <w:t>内容</w:t>
            </w:r>
          </w:p>
        </w:tc>
        <w:tc>
          <w:tcPr>
            <w:tcW w:w="708" w:type="dxa"/>
            <w:shd w:val="clear" w:color="auto" w:fill="EEEEEE"/>
            <w:noWrap/>
            <w:vAlign w:val="center"/>
          </w:tcPr>
          <w:p>
            <w:pPr>
              <w:jc w:val="center"/>
              <w:rPr>
                <w:szCs w:val="21"/>
              </w:rPr>
            </w:pPr>
            <w:r>
              <w:rPr>
                <w:rFonts w:hAnsi="宋体"/>
                <w:szCs w:val="21"/>
              </w:rPr>
              <w:t>分值</w:t>
            </w:r>
          </w:p>
        </w:tc>
        <w:tc>
          <w:tcPr>
            <w:tcW w:w="6077" w:type="dxa"/>
            <w:shd w:val="clear" w:color="auto" w:fill="EEEEEE"/>
            <w:noWrap/>
            <w:vAlign w:val="center"/>
          </w:tcPr>
          <w:p>
            <w:pPr>
              <w:jc w:val="center"/>
              <w:rPr>
                <w:szCs w:val="21"/>
              </w:rPr>
            </w:pPr>
            <w:r>
              <w:rPr>
                <w:rFonts w:hAnsi="宋体"/>
                <w:szCs w:val="21"/>
              </w:rPr>
              <w:t>评分标准</w:t>
            </w:r>
          </w:p>
        </w:tc>
        <w:tc>
          <w:tcPr>
            <w:tcW w:w="592" w:type="dxa"/>
            <w:shd w:val="clear" w:color="auto" w:fill="EEEEEE"/>
            <w:noWrap/>
            <w:vAlign w:val="center"/>
          </w:tcPr>
          <w:p>
            <w:pPr>
              <w:jc w:val="center"/>
              <w:rPr>
                <w:szCs w:val="21"/>
              </w:rPr>
            </w:pPr>
            <w:r>
              <w:rPr>
                <w:rFonts w:hAnsi="宋体"/>
                <w:szCs w:val="21"/>
              </w:rPr>
              <w:t>评标</w:t>
            </w:r>
          </w:p>
          <w:p>
            <w:pPr>
              <w:jc w:val="center"/>
              <w:rPr>
                <w:szCs w:val="21"/>
              </w:rPr>
            </w:pPr>
            <w:r>
              <w:rPr>
                <w:rFonts w:hAnsi="宋体"/>
                <w:szCs w:val="21"/>
              </w:rPr>
              <w:t>得分</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2878" w:hRule="atLeast"/>
          <w:tblCellSpacing w:w="0" w:type="dxa"/>
          <w:jc w:val="center"/>
        </w:trPr>
        <w:tc>
          <w:tcPr>
            <w:tcW w:w="607" w:type="dxa"/>
            <w:noWrap/>
            <w:vAlign w:val="center"/>
          </w:tcPr>
          <w:p>
            <w:pPr>
              <w:tabs>
                <w:tab w:val="left" w:pos="426"/>
              </w:tabs>
              <w:autoSpaceDE w:val="0"/>
              <w:autoSpaceDN w:val="0"/>
              <w:jc w:val="center"/>
              <w:rPr>
                <w:szCs w:val="21"/>
                <w:lang w:val="zh-CN"/>
              </w:rPr>
            </w:pPr>
            <w:r>
              <w:rPr>
                <w:szCs w:val="21"/>
                <w:lang w:val="zh-CN"/>
              </w:rPr>
              <w:t>1</w:t>
            </w:r>
          </w:p>
        </w:tc>
        <w:tc>
          <w:tcPr>
            <w:tcW w:w="1701" w:type="dxa"/>
            <w:noWrap/>
            <w:vAlign w:val="center"/>
          </w:tcPr>
          <w:p>
            <w:pPr>
              <w:jc w:val="center"/>
              <w:rPr>
                <w:szCs w:val="21"/>
              </w:rPr>
            </w:pPr>
            <w:r>
              <w:rPr>
                <w:rFonts w:hAnsi="宋体"/>
                <w:szCs w:val="21"/>
              </w:rPr>
              <w:t>实施方案</w:t>
            </w:r>
          </w:p>
        </w:tc>
        <w:tc>
          <w:tcPr>
            <w:tcW w:w="708" w:type="dxa"/>
            <w:noWrap/>
            <w:vAlign w:val="center"/>
          </w:tcPr>
          <w:p>
            <w:pPr>
              <w:tabs>
                <w:tab w:val="left" w:pos="426"/>
              </w:tabs>
              <w:autoSpaceDE w:val="0"/>
              <w:autoSpaceDN w:val="0"/>
              <w:jc w:val="center"/>
              <w:rPr>
                <w:szCs w:val="21"/>
              </w:rPr>
            </w:pPr>
            <w:r>
              <w:rPr>
                <w:szCs w:val="21"/>
              </w:rPr>
              <w:t>15</w:t>
            </w:r>
          </w:p>
        </w:tc>
        <w:tc>
          <w:tcPr>
            <w:tcW w:w="6077" w:type="dxa"/>
            <w:noWrap/>
            <w:vAlign w:val="center"/>
          </w:tcPr>
          <w:p>
            <w:pPr>
              <w:tabs>
                <w:tab w:val="left" w:pos="426"/>
              </w:tabs>
              <w:jc w:val="left"/>
              <w:rPr>
                <w:szCs w:val="21"/>
              </w:rPr>
            </w:pPr>
            <w:r>
              <w:rPr>
                <w:rFonts w:hAnsi="宋体"/>
                <w:szCs w:val="21"/>
              </w:rPr>
              <w:t>横向比较各投标人项目方案的规范性、文档规范、逻辑性。</w:t>
            </w:r>
          </w:p>
          <w:p>
            <w:pPr>
              <w:tabs>
                <w:tab w:val="left" w:pos="426"/>
              </w:tabs>
              <w:jc w:val="left"/>
              <w:rPr>
                <w:szCs w:val="21"/>
              </w:rPr>
            </w:pPr>
            <w:r>
              <w:rPr>
                <w:rFonts w:hAnsi="宋体"/>
                <w:szCs w:val="21"/>
              </w:rPr>
              <w:t>（</w:t>
            </w:r>
            <w:r>
              <w:rPr>
                <w:szCs w:val="21"/>
              </w:rPr>
              <w:t>1</w:t>
            </w:r>
            <w:r>
              <w:rPr>
                <w:rFonts w:hAnsi="宋体"/>
                <w:szCs w:val="21"/>
              </w:rPr>
              <w:t>）方案内容全面具体，表达清晰；</w:t>
            </w:r>
          </w:p>
          <w:p>
            <w:pPr>
              <w:tabs>
                <w:tab w:val="left" w:pos="426"/>
              </w:tabs>
              <w:jc w:val="left"/>
              <w:rPr>
                <w:szCs w:val="21"/>
              </w:rPr>
            </w:pPr>
            <w:r>
              <w:rPr>
                <w:rFonts w:hAnsi="宋体"/>
                <w:szCs w:val="21"/>
              </w:rPr>
              <w:t>（</w:t>
            </w:r>
            <w:r>
              <w:rPr>
                <w:szCs w:val="21"/>
              </w:rPr>
              <w:t>2</w:t>
            </w:r>
            <w:r>
              <w:rPr>
                <w:rFonts w:hAnsi="宋体"/>
                <w:szCs w:val="21"/>
              </w:rPr>
              <w:t>）方案内容完整、严谨、针对性强；</w:t>
            </w:r>
          </w:p>
          <w:p>
            <w:pPr>
              <w:tabs>
                <w:tab w:val="left" w:pos="426"/>
              </w:tabs>
              <w:jc w:val="left"/>
              <w:rPr>
                <w:szCs w:val="21"/>
              </w:rPr>
            </w:pPr>
            <w:r>
              <w:rPr>
                <w:rFonts w:hAnsi="宋体"/>
                <w:szCs w:val="21"/>
              </w:rPr>
              <w:t>（</w:t>
            </w:r>
            <w:r>
              <w:rPr>
                <w:szCs w:val="21"/>
              </w:rPr>
              <w:t>3</w:t>
            </w:r>
            <w:r>
              <w:rPr>
                <w:rFonts w:hAnsi="宋体"/>
                <w:szCs w:val="21"/>
              </w:rPr>
              <w:t>）方案内容先进，科学合理、可操作性强；</w:t>
            </w:r>
          </w:p>
          <w:p>
            <w:pPr>
              <w:jc w:val="left"/>
              <w:rPr>
                <w:rFonts w:hint="default"/>
                <w:szCs w:val="21"/>
              </w:rPr>
            </w:pPr>
            <w:r>
              <w:rPr>
                <w:rFonts w:hint="eastAsia" w:ascii="宋体" w:hAnsi="宋体"/>
                <w:szCs w:val="21"/>
              </w:rPr>
              <w:t>投标文件响应情况进行横向比较，分档评分：本项最高得15分，评价为优得15分；评价为良得10分；评价为中得5分；评价为差不得分。</w:t>
            </w:r>
            <w:r>
              <w:rPr>
                <w:rFonts w:hint="default"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评分标准：</w:t>
            </w:r>
            <w:r>
              <w:rPr>
                <w:rFonts w:hint="default" w:ascii="宋体" w:hAnsi="宋体"/>
                <w:color w:val="000000" w:themeColor="text1"/>
                <w:szCs w:val="21"/>
                <w14:textFill>
                  <w14:solidFill>
                    <w14:schemeClr w14:val="tx1"/>
                  </w14:solidFill>
                </w14:textFill>
              </w:rPr>
              <w:t>满足以上3</w:t>
            </w:r>
            <w:r>
              <w:rPr>
                <w:rFonts w:hint="eastAsia" w:ascii="宋体" w:hAnsi="宋体"/>
                <w:color w:val="000000" w:themeColor="text1"/>
                <w:szCs w:val="21"/>
                <w:lang w:eastAsia="zh-CN"/>
                <w14:textFill>
                  <w14:solidFill>
                    <w14:schemeClr w14:val="tx1"/>
                  </w14:solidFill>
                </w14:textFill>
              </w:rPr>
              <w:t>项</w:t>
            </w:r>
            <w:r>
              <w:rPr>
                <w:rFonts w:hint="default" w:ascii="宋体" w:hAnsi="宋体"/>
                <w:color w:val="000000" w:themeColor="text1"/>
                <w:szCs w:val="21"/>
                <w14:textFill>
                  <w14:solidFill>
                    <w14:schemeClr w14:val="tx1"/>
                  </w14:solidFill>
                </w14:textFill>
              </w:rPr>
              <w:t>，得分</w:t>
            </w:r>
            <w:r>
              <w:rPr>
                <w:rFonts w:hint="eastAsia" w:ascii="宋体" w:hAnsi="宋体"/>
                <w:color w:val="000000" w:themeColor="text1"/>
                <w:szCs w:val="21"/>
                <w:lang w:val="en-US" w:eastAsia="zh-CN"/>
                <w14:textFill>
                  <w14:solidFill>
                    <w14:schemeClr w14:val="tx1"/>
                  </w14:solidFill>
                </w14:textFill>
              </w:rPr>
              <w:t>15</w:t>
            </w:r>
            <w:r>
              <w:rPr>
                <w:rFonts w:hint="default" w:ascii="宋体" w:hAnsi="宋体"/>
                <w:color w:val="000000" w:themeColor="text1"/>
                <w:szCs w:val="21"/>
                <w14:textFill>
                  <w14:solidFill>
                    <w14:schemeClr w14:val="tx1"/>
                  </w14:solidFill>
                </w14:textFill>
              </w:rPr>
              <w:t>分；满足以上2</w:t>
            </w:r>
            <w:r>
              <w:rPr>
                <w:rFonts w:hint="eastAsia" w:ascii="宋体" w:hAnsi="宋体"/>
                <w:color w:val="000000" w:themeColor="text1"/>
                <w:szCs w:val="21"/>
                <w:lang w:eastAsia="zh-CN"/>
                <w14:textFill>
                  <w14:solidFill>
                    <w14:schemeClr w14:val="tx1"/>
                  </w14:solidFill>
                </w14:textFill>
              </w:rPr>
              <w:t>项</w:t>
            </w:r>
            <w:r>
              <w:rPr>
                <w:rFonts w:hint="default" w:ascii="宋体" w:hAnsi="宋体"/>
                <w:color w:val="000000" w:themeColor="text1"/>
                <w:szCs w:val="21"/>
                <w14:textFill>
                  <w14:solidFill>
                    <w14:schemeClr w14:val="tx1"/>
                  </w14:solidFill>
                </w14:textFill>
              </w:rPr>
              <w:t>，得分</w:t>
            </w:r>
            <w:r>
              <w:rPr>
                <w:rFonts w:hint="eastAsia" w:ascii="宋体" w:hAnsi="宋体"/>
                <w:color w:val="000000" w:themeColor="text1"/>
                <w:szCs w:val="21"/>
                <w:lang w:val="en-US" w:eastAsia="zh-CN"/>
                <w14:textFill>
                  <w14:solidFill>
                    <w14:schemeClr w14:val="tx1"/>
                  </w14:solidFill>
                </w14:textFill>
              </w:rPr>
              <w:t>10</w:t>
            </w:r>
            <w:r>
              <w:rPr>
                <w:rFonts w:hint="default" w:ascii="宋体" w:hAnsi="宋体"/>
                <w:color w:val="000000" w:themeColor="text1"/>
                <w:szCs w:val="21"/>
                <w14:textFill>
                  <w14:solidFill>
                    <w14:schemeClr w14:val="tx1"/>
                  </w14:solidFill>
                </w14:textFill>
              </w:rPr>
              <w:t>分；满足以上</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项，</w:t>
            </w:r>
            <w:r>
              <w:rPr>
                <w:rFonts w:hint="default" w:ascii="宋体" w:hAnsi="宋体"/>
                <w:color w:val="000000" w:themeColor="text1"/>
                <w:szCs w:val="21"/>
                <w14:textFill>
                  <w14:solidFill>
                    <w14:schemeClr w14:val="tx1"/>
                  </w14:solidFill>
                </w14:textFill>
              </w:rPr>
              <w:t>得分</w:t>
            </w:r>
            <w:r>
              <w:rPr>
                <w:rFonts w:hint="eastAsia" w:ascii="宋体" w:hAnsi="宋体"/>
                <w:color w:val="000000" w:themeColor="text1"/>
                <w:szCs w:val="21"/>
                <w:lang w:val="en-US" w:eastAsia="zh-CN"/>
                <w14:textFill>
                  <w14:solidFill>
                    <w14:schemeClr w14:val="tx1"/>
                  </w14:solidFill>
                </w14:textFill>
              </w:rPr>
              <w:t>5分</w:t>
            </w:r>
            <w:r>
              <w:rPr>
                <w:rFonts w:hint="default" w:ascii="宋体" w:hAnsi="宋体"/>
                <w:color w:val="000000" w:themeColor="text1"/>
                <w:szCs w:val="21"/>
                <w14:textFill>
                  <w14:solidFill>
                    <w14:schemeClr w14:val="tx1"/>
                  </w14:solidFill>
                </w14:textFill>
              </w:rPr>
              <w:t>）</w:t>
            </w:r>
          </w:p>
        </w:tc>
        <w:tc>
          <w:tcPr>
            <w:tcW w:w="592" w:type="dxa"/>
            <w:noWrap/>
            <w:vAlign w:val="center"/>
          </w:tcPr>
          <w:p>
            <w:pPr>
              <w:ind w:left="90"/>
              <w:jc w:val="center"/>
              <w:rPr>
                <w:szCs w:val="21"/>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587" w:hRule="atLeast"/>
          <w:tblCellSpacing w:w="0" w:type="dxa"/>
          <w:jc w:val="center"/>
        </w:trPr>
        <w:tc>
          <w:tcPr>
            <w:tcW w:w="607" w:type="dxa"/>
            <w:noWrap/>
            <w:vAlign w:val="center"/>
          </w:tcPr>
          <w:p>
            <w:pPr>
              <w:tabs>
                <w:tab w:val="left" w:pos="426"/>
              </w:tabs>
              <w:autoSpaceDE w:val="0"/>
              <w:autoSpaceDN w:val="0"/>
              <w:jc w:val="center"/>
              <w:rPr>
                <w:szCs w:val="21"/>
              </w:rPr>
            </w:pPr>
            <w:r>
              <w:rPr>
                <w:szCs w:val="21"/>
              </w:rPr>
              <w:t>2</w:t>
            </w:r>
          </w:p>
        </w:tc>
        <w:tc>
          <w:tcPr>
            <w:tcW w:w="1701" w:type="dxa"/>
            <w:noWrap/>
            <w:vAlign w:val="center"/>
          </w:tcPr>
          <w:p>
            <w:pPr>
              <w:jc w:val="center"/>
              <w:rPr>
                <w:szCs w:val="21"/>
              </w:rPr>
            </w:pPr>
            <w:r>
              <w:rPr>
                <w:rFonts w:hAnsi="宋体"/>
                <w:szCs w:val="21"/>
              </w:rPr>
              <w:t>对项目需求及难点的分析</w:t>
            </w:r>
          </w:p>
        </w:tc>
        <w:tc>
          <w:tcPr>
            <w:tcW w:w="708" w:type="dxa"/>
            <w:noWrap/>
            <w:vAlign w:val="center"/>
          </w:tcPr>
          <w:p>
            <w:pPr>
              <w:tabs>
                <w:tab w:val="left" w:pos="426"/>
              </w:tabs>
              <w:autoSpaceDE w:val="0"/>
              <w:autoSpaceDN w:val="0"/>
              <w:jc w:val="center"/>
              <w:rPr>
                <w:szCs w:val="21"/>
              </w:rPr>
            </w:pPr>
            <w:r>
              <w:rPr>
                <w:szCs w:val="21"/>
              </w:rPr>
              <w:t>5</w:t>
            </w:r>
          </w:p>
        </w:tc>
        <w:tc>
          <w:tcPr>
            <w:tcW w:w="6077" w:type="dxa"/>
            <w:noWrap/>
          </w:tcPr>
          <w:p>
            <w:pPr>
              <w:pStyle w:val="6"/>
              <w:tabs>
                <w:tab w:val="clear" w:pos="4153"/>
                <w:tab w:val="clear" w:pos="8306"/>
              </w:tabs>
              <w:ind w:left="91"/>
              <w:jc w:val="both"/>
              <w:rPr>
                <w:rFonts w:ascii="宋体" w:hAnsi="宋体"/>
                <w:sz w:val="21"/>
                <w:szCs w:val="21"/>
              </w:rPr>
            </w:pPr>
            <w:r>
              <w:rPr>
                <w:rFonts w:hint="eastAsia" w:ascii="宋体" w:hAnsi="宋体"/>
                <w:b/>
                <w:bCs/>
                <w:sz w:val="21"/>
                <w:szCs w:val="21"/>
              </w:rPr>
              <w:t>评审内容：</w:t>
            </w:r>
            <w:r>
              <w:rPr>
                <w:rFonts w:hint="eastAsia" w:ascii="宋体" w:hAnsi="宋体"/>
                <w:sz w:val="21"/>
                <w:szCs w:val="21"/>
              </w:rPr>
              <w:t>投标人对项目重点、难点问题分析是否清晰明确；是否针对重点、难点问题提出了应对措施；相关的思路、措施与建议是否合理、有针对性。</w:t>
            </w:r>
          </w:p>
          <w:p>
            <w:pPr>
              <w:tabs>
                <w:tab w:val="left" w:pos="426"/>
              </w:tabs>
              <w:jc w:val="left"/>
              <w:rPr>
                <w:szCs w:val="21"/>
              </w:rPr>
            </w:pPr>
            <w:r>
              <w:rPr>
                <w:rFonts w:hint="eastAsia" w:ascii="宋体" w:hAnsi="宋体"/>
                <w:b/>
                <w:bCs/>
                <w:szCs w:val="21"/>
              </w:rPr>
              <w:t>评分标准：</w:t>
            </w:r>
            <w:r>
              <w:rPr>
                <w:rFonts w:hint="eastAsia" w:ascii="宋体" w:hAnsi="宋体"/>
                <w:szCs w:val="21"/>
              </w:rPr>
              <w:t>横向比较，分档得分，本项最高得5分。评价为优得5分，评价为良得4分，评价为中得3分，评价为差不得分</w:t>
            </w:r>
          </w:p>
        </w:tc>
        <w:tc>
          <w:tcPr>
            <w:tcW w:w="592" w:type="dxa"/>
            <w:noWrap/>
            <w:vAlign w:val="center"/>
          </w:tcPr>
          <w:p>
            <w:pPr>
              <w:ind w:left="90"/>
              <w:jc w:val="center"/>
              <w:rPr>
                <w:szCs w:val="21"/>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587" w:hRule="atLeast"/>
          <w:tblCellSpacing w:w="0" w:type="dxa"/>
          <w:jc w:val="center"/>
        </w:trPr>
        <w:tc>
          <w:tcPr>
            <w:tcW w:w="607" w:type="dxa"/>
            <w:noWrap/>
            <w:vAlign w:val="center"/>
          </w:tcPr>
          <w:p>
            <w:pPr>
              <w:tabs>
                <w:tab w:val="left" w:pos="426"/>
              </w:tabs>
              <w:autoSpaceDE w:val="0"/>
              <w:autoSpaceDN w:val="0"/>
              <w:jc w:val="center"/>
              <w:rPr>
                <w:szCs w:val="21"/>
                <w:lang w:val="zh-CN"/>
              </w:rPr>
            </w:pPr>
            <w:r>
              <w:rPr>
                <w:szCs w:val="21"/>
              </w:rPr>
              <w:t>3</w:t>
            </w:r>
          </w:p>
        </w:tc>
        <w:tc>
          <w:tcPr>
            <w:tcW w:w="1701" w:type="dxa"/>
            <w:noWrap/>
            <w:vAlign w:val="center"/>
          </w:tcPr>
          <w:p>
            <w:pPr>
              <w:jc w:val="center"/>
              <w:rPr>
                <w:szCs w:val="21"/>
              </w:rPr>
            </w:pPr>
            <w:r>
              <w:rPr>
                <w:rFonts w:hint="eastAsia" w:ascii="宋体" w:hAnsi="宋体"/>
                <w:szCs w:val="21"/>
              </w:rPr>
              <w:t>质量保障措施及方案</w:t>
            </w:r>
          </w:p>
        </w:tc>
        <w:tc>
          <w:tcPr>
            <w:tcW w:w="708" w:type="dxa"/>
            <w:noWrap/>
            <w:vAlign w:val="center"/>
          </w:tcPr>
          <w:p>
            <w:pPr>
              <w:tabs>
                <w:tab w:val="left" w:pos="426"/>
              </w:tabs>
              <w:autoSpaceDE w:val="0"/>
              <w:autoSpaceDN w:val="0"/>
              <w:jc w:val="center"/>
              <w:rPr>
                <w:szCs w:val="21"/>
              </w:rPr>
            </w:pPr>
            <w:r>
              <w:rPr>
                <w:szCs w:val="21"/>
              </w:rPr>
              <w:t>10</w:t>
            </w:r>
          </w:p>
        </w:tc>
        <w:tc>
          <w:tcPr>
            <w:tcW w:w="6077" w:type="dxa"/>
            <w:noWrap/>
          </w:tcPr>
          <w:p>
            <w:pPr>
              <w:pStyle w:val="6"/>
              <w:tabs>
                <w:tab w:val="clear" w:pos="4153"/>
                <w:tab w:val="clear" w:pos="8306"/>
              </w:tabs>
              <w:ind w:left="91"/>
              <w:jc w:val="both"/>
              <w:rPr>
                <w:rFonts w:ascii="宋体" w:hAnsi="宋体"/>
                <w:sz w:val="21"/>
                <w:szCs w:val="21"/>
              </w:rPr>
            </w:pPr>
            <w:r>
              <w:rPr>
                <w:rFonts w:hint="eastAsia" w:ascii="宋体" w:hAnsi="宋体"/>
                <w:b/>
                <w:bCs/>
                <w:sz w:val="21"/>
                <w:szCs w:val="21"/>
              </w:rPr>
              <w:t>评审内容：</w:t>
            </w:r>
            <w:r>
              <w:rPr>
                <w:rFonts w:hint="eastAsia" w:ascii="宋体" w:hAnsi="宋体"/>
                <w:sz w:val="21"/>
                <w:szCs w:val="21"/>
              </w:rPr>
              <w:t>编制具体方案，考察投标单位对项目质量的保证措施。投标人应结合需求内容提供科学完善的管理手段，使用先进管理措施辅助实现良好的项目管理和项目监管，内容应包含但不限于项目实施质量标准、项目组织架构及沟通机制。</w:t>
            </w:r>
          </w:p>
          <w:p>
            <w:pPr>
              <w:jc w:val="left"/>
              <w:rPr>
                <w:szCs w:val="21"/>
              </w:rPr>
            </w:pPr>
            <w:r>
              <w:rPr>
                <w:rFonts w:hint="eastAsia" w:ascii="宋体" w:hAnsi="宋体"/>
                <w:b/>
                <w:szCs w:val="21"/>
              </w:rPr>
              <w:t>评分标准：</w:t>
            </w:r>
            <w:r>
              <w:rPr>
                <w:rFonts w:hint="eastAsia" w:ascii="宋体" w:hAnsi="宋体"/>
                <w:szCs w:val="21"/>
              </w:rPr>
              <w:t>横向对比项目实施质量保障体系方案描述，分档得分，评价为优得10分，评价为良得8分，评价为中得6分，评价为差得2分，未描述不得分。</w:t>
            </w:r>
          </w:p>
        </w:tc>
        <w:tc>
          <w:tcPr>
            <w:tcW w:w="592" w:type="dxa"/>
            <w:noWrap/>
            <w:vAlign w:val="center"/>
          </w:tcPr>
          <w:p>
            <w:pPr>
              <w:ind w:left="90"/>
              <w:jc w:val="center"/>
              <w:rPr>
                <w:szCs w:val="21"/>
              </w:rPr>
            </w:pPr>
          </w:p>
        </w:tc>
      </w:tr>
    </w:tbl>
    <w:p>
      <w:pPr>
        <w:pStyle w:val="2"/>
        <w:rPr>
          <w:rFonts w:hint="default"/>
          <w:sz w:val="21"/>
        </w:rPr>
      </w:pPr>
      <w:bookmarkStart w:id="2" w:name="_Toc103961301"/>
      <w:r>
        <w:rPr>
          <w:sz w:val="28"/>
          <w:szCs w:val="28"/>
        </w:rPr>
        <w:t>表6：《</w:t>
      </w:r>
      <w:r>
        <w:rPr>
          <w:sz w:val="28"/>
          <w:szCs w:val="28"/>
          <w:lang w:val="zh-CN"/>
        </w:rPr>
        <w:t>价格评议指标表</w:t>
      </w:r>
      <w:r>
        <w:rPr>
          <w:sz w:val="28"/>
          <w:szCs w:val="28"/>
        </w:rPr>
        <w:t>》</w:t>
      </w:r>
      <w:r>
        <w:rPr>
          <w:sz w:val="21"/>
          <w:szCs w:val="21"/>
        </w:rPr>
        <w:t xml:space="preserve">    [ 分值：30分]</w:t>
      </w:r>
      <w:bookmarkEnd w:id="2"/>
    </w:p>
    <w:tbl>
      <w:tblPr>
        <w:tblStyle w:val="9"/>
        <w:tblW w:w="919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91"/>
        <w:gridCol w:w="1215"/>
        <w:gridCol w:w="1215"/>
        <w:gridCol w:w="1215"/>
        <w:gridCol w:w="1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291" w:type="dxa"/>
            <w:tcBorders>
              <w:top w:val="single" w:color="auto" w:sz="6" w:space="0"/>
              <w:left w:val="single" w:color="auto" w:sz="6" w:space="0"/>
              <w:bottom w:val="single" w:color="auto" w:sz="6" w:space="0"/>
              <w:right w:val="single" w:color="auto" w:sz="6" w:space="0"/>
              <w:tl2br w:val="single" w:color="auto" w:sz="4" w:space="0"/>
            </w:tcBorders>
            <w:shd w:val="clear" w:color="auto" w:fill="F3F3F3"/>
            <w:noWrap/>
          </w:tcPr>
          <w:p>
            <w:r>
              <w:rPr>
                <w:rFonts w:hAnsi="宋体"/>
              </w:rPr>
              <w:t>投标人</w:t>
            </w:r>
          </w:p>
          <w:p>
            <w:pPr>
              <w:ind w:firstLine="315" w:firstLineChars="150"/>
            </w:pPr>
            <w:r>
              <w:rPr>
                <w:rFonts w:hAnsi="宋体"/>
              </w:rPr>
              <w:t>分项</w:t>
            </w:r>
          </w:p>
        </w:tc>
        <w:tc>
          <w:tcPr>
            <w:tcW w:w="1215" w:type="dxa"/>
            <w:tcBorders>
              <w:top w:val="single" w:color="auto" w:sz="6" w:space="0"/>
              <w:left w:val="single" w:color="auto" w:sz="6" w:space="0"/>
              <w:bottom w:val="single" w:color="auto" w:sz="6" w:space="0"/>
              <w:right w:val="single" w:color="auto" w:sz="4" w:space="0"/>
            </w:tcBorders>
            <w:shd w:val="clear" w:color="auto" w:fill="F3F3F3"/>
            <w:noWrap/>
            <w:vAlign w:val="center"/>
          </w:tcPr>
          <w:p>
            <w:pPr>
              <w:jc w:val="center"/>
              <w:rPr>
                <w:b/>
                <w:bCs/>
              </w:rPr>
            </w:pPr>
          </w:p>
        </w:tc>
        <w:tc>
          <w:tcPr>
            <w:tcW w:w="1215" w:type="dxa"/>
            <w:tcBorders>
              <w:top w:val="single" w:color="auto" w:sz="6" w:space="0"/>
              <w:left w:val="single" w:color="auto" w:sz="4" w:space="0"/>
              <w:bottom w:val="single" w:color="auto" w:sz="6" w:space="0"/>
              <w:right w:val="single" w:color="auto" w:sz="6" w:space="0"/>
            </w:tcBorders>
            <w:shd w:val="clear" w:color="auto" w:fill="F3F3F3"/>
            <w:noWrap/>
            <w:vAlign w:val="center"/>
          </w:tcPr>
          <w:p>
            <w:pPr>
              <w:jc w:val="center"/>
              <w:rPr>
                <w:b/>
                <w:bCs/>
              </w:rPr>
            </w:pPr>
          </w:p>
        </w:tc>
        <w:tc>
          <w:tcPr>
            <w:tcW w:w="1215" w:type="dxa"/>
            <w:tcBorders>
              <w:top w:val="single" w:color="auto" w:sz="6" w:space="0"/>
              <w:left w:val="single" w:color="auto" w:sz="6" w:space="0"/>
              <w:bottom w:val="single" w:color="auto" w:sz="6" w:space="0"/>
              <w:right w:val="single" w:color="auto" w:sz="4" w:space="0"/>
            </w:tcBorders>
            <w:shd w:val="clear" w:color="auto" w:fill="F3F3F3"/>
            <w:noWrap/>
            <w:vAlign w:val="center"/>
          </w:tcPr>
          <w:p>
            <w:pPr>
              <w:jc w:val="center"/>
              <w:rPr>
                <w:b/>
                <w:bCs/>
              </w:rPr>
            </w:pPr>
          </w:p>
        </w:tc>
        <w:tc>
          <w:tcPr>
            <w:tcW w:w="1256" w:type="dxa"/>
            <w:tcBorders>
              <w:top w:val="single" w:color="auto" w:sz="6" w:space="0"/>
              <w:left w:val="single" w:color="auto" w:sz="4" w:space="0"/>
              <w:bottom w:val="single" w:color="auto" w:sz="6" w:space="0"/>
              <w:right w:val="single" w:color="auto" w:sz="6" w:space="0"/>
            </w:tcBorders>
            <w:shd w:val="clear" w:color="auto" w:fill="F3F3F3"/>
            <w:noWrap/>
            <w:vAlign w:val="center"/>
          </w:tcPr>
          <w:p>
            <w:pPr>
              <w:jc w:val="center"/>
              <w:rPr>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4291"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rFonts w:hAnsi="宋体"/>
                <w:szCs w:val="21"/>
              </w:rPr>
              <w:t>投标报价（人民币）万元</w:t>
            </w:r>
          </w:p>
        </w:tc>
        <w:tc>
          <w:tcPr>
            <w:tcW w:w="1215" w:type="dxa"/>
            <w:tcBorders>
              <w:top w:val="single" w:color="auto" w:sz="6" w:space="0"/>
              <w:left w:val="single" w:color="auto" w:sz="6" w:space="0"/>
              <w:bottom w:val="single" w:color="auto" w:sz="6" w:space="0"/>
              <w:right w:val="single" w:color="auto" w:sz="4" w:space="0"/>
            </w:tcBorders>
            <w:noWrap/>
            <w:vAlign w:val="center"/>
          </w:tcPr>
          <w:p>
            <w:pPr>
              <w:jc w:val="center"/>
              <w:rPr>
                <w:sz w:val="24"/>
              </w:rPr>
            </w:pPr>
          </w:p>
        </w:tc>
        <w:tc>
          <w:tcPr>
            <w:tcW w:w="1215" w:type="dxa"/>
            <w:tcBorders>
              <w:top w:val="single" w:color="auto" w:sz="6" w:space="0"/>
              <w:left w:val="single" w:color="auto" w:sz="4" w:space="0"/>
              <w:bottom w:val="single" w:color="auto" w:sz="6" w:space="0"/>
              <w:right w:val="single" w:color="auto" w:sz="6" w:space="0"/>
            </w:tcBorders>
            <w:noWrap/>
            <w:vAlign w:val="center"/>
          </w:tcPr>
          <w:p>
            <w:pPr>
              <w:jc w:val="center"/>
              <w:rPr>
                <w:sz w:val="24"/>
              </w:rPr>
            </w:pPr>
          </w:p>
        </w:tc>
        <w:tc>
          <w:tcPr>
            <w:tcW w:w="1215" w:type="dxa"/>
            <w:tcBorders>
              <w:top w:val="single" w:color="auto" w:sz="6" w:space="0"/>
              <w:left w:val="single" w:color="auto" w:sz="6" w:space="0"/>
              <w:bottom w:val="single" w:color="auto" w:sz="6" w:space="0"/>
              <w:right w:val="single" w:color="auto" w:sz="4" w:space="0"/>
            </w:tcBorders>
            <w:noWrap/>
            <w:vAlign w:val="center"/>
          </w:tcPr>
          <w:p>
            <w:pPr>
              <w:jc w:val="center"/>
              <w:rPr>
                <w:sz w:val="24"/>
              </w:rPr>
            </w:pPr>
          </w:p>
        </w:tc>
        <w:tc>
          <w:tcPr>
            <w:tcW w:w="1256" w:type="dxa"/>
            <w:tcBorders>
              <w:top w:val="single" w:color="auto" w:sz="6" w:space="0"/>
              <w:left w:val="single" w:color="auto" w:sz="4" w:space="0"/>
              <w:bottom w:val="single" w:color="auto" w:sz="6" w:space="0"/>
              <w:right w:val="single" w:color="auto" w:sz="6" w:space="0"/>
            </w:tcBorders>
            <w:noWrap/>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2" w:hRule="atLeast"/>
        </w:trPr>
        <w:tc>
          <w:tcPr>
            <w:tcW w:w="4291"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rFonts w:hAnsi="宋体"/>
                <w:szCs w:val="21"/>
              </w:rPr>
              <w:t>最低评审报价</w:t>
            </w:r>
          </w:p>
        </w:tc>
        <w:tc>
          <w:tcPr>
            <w:tcW w:w="4901" w:type="dxa"/>
            <w:gridSpan w:val="4"/>
            <w:tcBorders>
              <w:top w:val="single" w:color="auto" w:sz="6" w:space="0"/>
              <w:left w:val="single" w:color="auto" w:sz="6" w:space="0"/>
              <w:bottom w:val="single" w:color="auto" w:sz="6" w:space="0"/>
              <w:right w:val="single" w:color="auto" w:sz="6" w:space="0"/>
            </w:tcBorders>
            <w:noWrap/>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4291" w:type="dxa"/>
            <w:tcBorders>
              <w:top w:val="single" w:color="auto" w:sz="6" w:space="0"/>
              <w:left w:val="single" w:color="auto" w:sz="6" w:space="0"/>
              <w:bottom w:val="single" w:color="auto" w:sz="6" w:space="0"/>
              <w:right w:val="single" w:color="auto" w:sz="6" w:space="0"/>
            </w:tcBorders>
            <w:noWrap/>
            <w:vAlign w:val="center"/>
          </w:tcPr>
          <w:p>
            <w:pPr>
              <w:jc w:val="center"/>
            </w:pPr>
            <w:r>
              <w:t>价格得分</w:t>
            </w:r>
          </w:p>
          <w:p>
            <w:pPr>
              <w:jc w:val="center"/>
            </w:pPr>
            <w:r>
              <w:t>=(评标基准价／投标人评审报价)×</w:t>
            </w:r>
            <w:r>
              <w:rPr>
                <w:rFonts w:hint="eastAsia"/>
              </w:rPr>
              <w:t>3</w:t>
            </w:r>
            <w:r>
              <w:t>0</w:t>
            </w:r>
          </w:p>
          <w:p>
            <w:pPr>
              <w:pStyle w:val="8"/>
              <w:ind w:left="0" w:leftChars="0" w:firstLine="0" w:firstLineChars="0"/>
            </w:pPr>
            <w:r>
              <w:rPr>
                <w:rFonts w:hint="eastAsia" w:ascii="仿宋_GB2312" w:hAnsi="Times New Roman" w:eastAsia="仿宋_GB2312" w:cs="仿宋_GB2312"/>
                <w:b w:val="0"/>
                <w:bCs w:val="0"/>
                <w:sz w:val="24"/>
                <w:szCs w:val="24"/>
              </w:rPr>
              <w:t>说明：投标报价最低者（评标基准价）本项得满分30分，其他单位报价按照上述公式与评标基准价相比进行分数统计。备注：所有投保报价均不得超过财政预算价。</w:t>
            </w:r>
          </w:p>
        </w:tc>
        <w:tc>
          <w:tcPr>
            <w:tcW w:w="1215" w:type="dxa"/>
            <w:tcBorders>
              <w:top w:val="single" w:color="auto" w:sz="6" w:space="0"/>
              <w:left w:val="single" w:color="auto" w:sz="6" w:space="0"/>
              <w:bottom w:val="single" w:color="auto" w:sz="6" w:space="0"/>
              <w:right w:val="single" w:color="auto" w:sz="4" w:space="0"/>
            </w:tcBorders>
            <w:noWrap/>
            <w:vAlign w:val="center"/>
          </w:tcPr>
          <w:p>
            <w:pPr>
              <w:jc w:val="center"/>
              <w:rPr>
                <w:sz w:val="24"/>
              </w:rPr>
            </w:pPr>
          </w:p>
        </w:tc>
        <w:tc>
          <w:tcPr>
            <w:tcW w:w="1215" w:type="dxa"/>
            <w:tcBorders>
              <w:top w:val="single" w:color="auto" w:sz="6" w:space="0"/>
              <w:left w:val="single" w:color="auto" w:sz="4" w:space="0"/>
              <w:bottom w:val="single" w:color="auto" w:sz="6" w:space="0"/>
              <w:right w:val="single" w:color="auto" w:sz="6" w:space="0"/>
            </w:tcBorders>
            <w:noWrap/>
            <w:vAlign w:val="center"/>
          </w:tcPr>
          <w:p>
            <w:pPr>
              <w:jc w:val="center"/>
              <w:rPr>
                <w:sz w:val="24"/>
              </w:rPr>
            </w:pPr>
          </w:p>
        </w:tc>
        <w:tc>
          <w:tcPr>
            <w:tcW w:w="1215" w:type="dxa"/>
            <w:tcBorders>
              <w:top w:val="single" w:color="auto" w:sz="6" w:space="0"/>
              <w:left w:val="single" w:color="auto" w:sz="6" w:space="0"/>
              <w:bottom w:val="single" w:color="auto" w:sz="6" w:space="0"/>
              <w:right w:val="single" w:color="auto" w:sz="4" w:space="0"/>
            </w:tcBorders>
            <w:noWrap/>
            <w:vAlign w:val="center"/>
          </w:tcPr>
          <w:p>
            <w:pPr>
              <w:jc w:val="center"/>
              <w:rPr>
                <w:sz w:val="24"/>
              </w:rPr>
            </w:pPr>
          </w:p>
        </w:tc>
        <w:tc>
          <w:tcPr>
            <w:tcW w:w="1256" w:type="dxa"/>
            <w:tcBorders>
              <w:top w:val="single" w:color="auto" w:sz="6" w:space="0"/>
              <w:left w:val="single" w:color="auto" w:sz="4" w:space="0"/>
              <w:bottom w:val="single" w:color="auto" w:sz="6" w:space="0"/>
              <w:right w:val="single" w:color="auto" w:sz="6" w:space="0"/>
            </w:tcBorders>
            <w:noWrap/>
            <w:vAlign w:val="center"/>
          </w:tcPr>
          <w:p>
            <w:pPr>
              <w:jc w:val="center"/>
              <w:rPr>
                <w:sz w:val="24"/>
              </w:rPr>
            </w:pPr>
          </w:p>
        </w:tc>
      </w:tr>
    </w:tbl>
    <w:p>
      <w:pPr>
        <w:spacing w:line="520" w:lineRule="exact"/>
        <w:rPr>
          <w:rFonts w:ascii="仿宋_GB2312" w:hAnsi="仿宋_GB2312" w:eastAsia="仿宋_GB2312" w:cs="仿宋_GB2312"/>
          <w:sz w:val="32"/>
          <w:szCs w:val="32"/>
          <w:u w:val="single"/>
        </w:rPr>
      </w:pPr>
    </w:p>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NjZjBiNjFiNTdlZGJlODM0MjkyMTY0OTdkNjgifQ=="/>
  </w:docVars>
  <w:rsids>
    <w:rsidRoot w:val="088F2863"/>
    <w:rsid w:val="04025BED"/>
    <w:rsid w:val="04910D1F"/>
    <w:rsid w:val="08760957"/>
    <w:rsid w:val="088F2863"/>
    <w:rsid w:val="0D1349C7"/>
    <w:rsid w:val="103B6EC0"/>
    <w:rsid w:val="104D6442"/>
    <w:rsid w:val="20F477A7"/>
    <w:rsid w:val="26EF0376"/>
    <w:rsid w:val="28577A06"/>
    <w:rsid w:val="29FA4AED"/>
    <w:rsid w:val="2BE9306B"/>
    <w:rsid w:val="2D973F57"/>
    <w:rsid w:val="2FEF49C8"/>
    <w:rsid w:val="32EE0F67"/>
    <w:rsid w:val="3662644E"/>
    <w:rsid w:val="37322BBD"/>
    <w:rsid w:val="3CE138EA"/>
    <w:rsid w:val="40371D16"/>
    <w:rsid w:val="459A36A1"/>
    <w:rsid w:val="46DD3374"/>
    <w:rsid w:val="46F84323"/>
    <w:rsid w:val="49597BDC"/>
    <w:rsid w:val="4DDD338C"/>
    <w:rsid w:val="58066C1A"/>
    <w:rsid w:val="58DF11CE"/>
    <w:rsid w:val="655D1CC9"/>
    <w:rsid w:val="67062F7A"/>
    <w:rsid w:val="6A927E4E"/>
    <w:rsid w:val="6DC42A14"/>
    <w:rsid w:val="6F174DC6"/>
    <w:rsid w:val="71D271CF"/>
    <w:rsid w:val="725B76BF"/>
    <w:rsid w:val="7573623A"/>
    <w:rsid w:val="759102EC"/>
    <w:rsid w:val="78112CFA"/>
    <w:rsid w:val="7C734A6E"/>
    <w:rsid w:val="7C7F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ind w:firstLine="900"/>
    </w:pPr>
    <w:rPr>
      <w:sz w:val="28"/>
      <w:szCs w:val="20"/>
    </w:rPr>
  </w:style>
  <w:style w:type="paragraph" w:styleId="4">
    <w:name w:val="Plain Text"/>
    <w:basedOn w:val="1"/>
    <w:qFormat/>
    <w:uiPriority w:val="0"/>
    <w:rPr>
      <w:rFonts w:ascii="宋体" w:hAnsi="Courier New"/>
    </w:rPr>
  </w:style>
  <w:style w:type="paragraph" w:styleId="5">
    <w:name w:val="Body Text Indent 2"/>
    <w:basedOn w:val="1"/>
    <w:unhideWhenUsed/>
    <w:qFormat/>
    <w:uiPriority w:val="99"/>
    <w:pPr>
      <w:spacing w:after="120" w:line="480" w:lineRule="auto"/>
      <w:ind w:left="420" w:leftChars="200"/>
    </w:pPr>
    <w:rPr>
      <w:rFonts w:ascii="Calibri" w:hAnsi="Calibri" w:eastAsia="宋体" w:cs="Times New Roman"/>
      <w:szCs w:val="22"/>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unhideWhenUsed/>
    <w:qFormat/>
    <w:uiPriority w:val="99"/>
    <w:pPr>
      <w:spacing w:after="120" w:line="360" w:lineRule="auto"/>
      <w:ind w:left="420" w:leftChars="200" w:firstLine="420" w:firstLineChars="200"/>
    </w:pPr>
    <w:rPr>
      <w:rFonts w:ascii="Calibri" w:hAnsi="Calibri"/>
      <w:szCs w:val="21"/>
    </w:rPr>
  </w:style>
  <w:style w:type="character" w:customStyle="1" w:styleId="11">
    <w:name w:val="标题1"/>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1587</Words>
  <Characters>1622</Characters>
  <Lines>0</Lines>
  <Paragraphs>0</Paragraphs>
  <TotalTime>176</TotalTime>
  <ScaleCrop>false</ScaleCrop>
  <LinksUpToDate>false</LinksUpToDate>
  <CharactersWithSpaces>1637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2023-03-30T02:43:00Z</dcterms:created>
  <dc:creator>Administrator</dc:creator>
  <cp:lastModifiedBy>小容</cp:lastModifiedBy>
  <dcterms:modified xsi:type="dcterms:W3CDTF">2023-04-04T07:49:04Z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CE047A889BF94B2E8192455616FD8878</vt:lpwstr>
  </property>
</Properties>
</file>