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outlineLvl w:val="2"/>
        <w:rPr>
          <w:rFonts w:hint="eastAsia"/>
          <w:sz w:val="36"/>
          <w:szCs w:val="36"/>
        </w:rPr>
      </w:pPr>
      <w:r>
        <w:rPr>
          <w:rFonts w:hint="eastAsia"/>
          <w:sz w:val="36"/>
          <w:szCs w:val="36"/>
        </w:rPr>
        <w:t>办公大楼及梧桐山发射基地局域网升级项目</w:t>
      </w:r>
    </w:p>
    <w:p>
      <w:pPr>
        <w:spacing w:line="360" w:lineRule="auto"/>
        <w:ind w:firstLine="720" w:firstLineChars="200"/>
        <w:jc w:val="center"/>
        <w:outlineLvl w:val="2"/>
        <w:rPr>
          <w:sz w:val="36"/>
          <w:szCs w:val="36"/>
        </w:rPr>
      </w:pPr>
      <w:bookmarkStart w:id="1" w:name="_GoBack"/>
      <w:bookmarkEnd w:id="1"/>
      <w:r>
        <w:rPr>
          <w:rFonts w:hint="eastAsia"/>
          <w:sz w:val="36"/>
          <w:szCs w:val="36"/>
        </w:rPr>
        <w:t>评分表</w:t>
      </w:r>
    </w:p>
    <w:p>
      <w:pPr>
        <w:rPr>
          <w:rFonts w:ascii="仿宋_GB2312" w:eastAsia="仿宋_GB2312" w:hAnsiTheme="majorEastAsia" w:cstheme="majorEastAsia"/>
          <w:kern w:val="0"/>
          <w:sz w:val="24"/>
          <w:szCs w:val="20"/>
        </w:rPr>
      </w:pPr>
    </w:p>
    <w:tbl>
      <w:tblPr>
        <w:tblStyle w:val="15"/>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1990"/>
        <w:gridCol w:w="850"/>
        <w:gridCol w:w="48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仿宋_GB2312" w:eastAsia="仿宋_GB2312" w:hAnsiTheme="majorEastAsia" w:cstheme="majorEastAsia"/>
                <w:kern w:val="0"/>
                <w:sz w:val="24"/>
                <w:szCs w:val="20"/>
              </w:rPr>
            </w:pPr>
            <w:bookmarkStart w:id="0" w:name="_Hlk72360569"/>
            <w:r>
              <w:rPr>
                <w:rFonts w:hint="eastAsia" w:ascii="仿宋_GB2312" w:eastAsia="仿宋_GB2312" w:hAnsiTheme="majorEastAsia" w:cstheme="majorEastAsia"/>
                <w:kern w:val="0"/>
                <w:sz w:val="24"/>
                <w:szCs w:val="20"/>
              </w:rPr>
              <w:t>序号</w:t>
            </w:r>
          </w:p>
        </w:tc>
        <w:tc>
          <w:tcPr>
            <w:tcW w:w="3521"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评分项</w:t>
            </w:r>
          </w:p>
        </w:tc>
        <w:tc>
          <w:tcPr>
            <w:tcW w:w="487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w:t>
            </w:r>
          </w:p>
        </w:tc>
        <w:tc>
          <w:tcPr>
            <w:tcW w:w="3521"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价格</w:t>
            </w:r>
          </w:p>
        </w:tc>
        <w:tc>
          <w:tcPr>
            <w:tcW w:w="48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ascii="仿宋_GB2312" w:eastAsia="仿宋_GB2312" w:hAnsiTheme="majorEastAsia" w:cstheme="majorEastAsia"/>
                <w:kern w:val="0"/>
                <w:sz w:val="24"/>
                <w:szCs w:val="20"/>
              </w:rPr>
              <w:t>4</w:t>
            </w:r>
            <w:r>
              <w:rPr>
                <w:rFonts w:hint="eastAsia" w:ascii="仿宋_GB2312" w:eastAsia="仿宋_GB2312" w:hAnsiTheme="majorEastAsia" w:cstheme="majorEastAsia"/>
                <w:kern w:val="0"/>
                <w:sz w:val="24"/>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w:t>
            </w:r>
          </w:p>
        </w:tc>
        <w:tc>
          <w:tcPr>
            <w:tcW w:w="3521"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技术部分</w:t>
            </w:r>
          </w:p>
        </w:tc>
        <w:tc>
          <w:tcPr>
            <w:tcW w:w="48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ascii="仿宋_GB2312" w:eastAsia="仿宋_GB2312" w:hAnsiTheme="majorEastAsia" w:cstheme="majorEastAsia"/>
                <w:kern w:val="0"/>
                <w:sz w:val="24"/>
                <w:szCs w:val="20"/>
              </w:rPr>
              <w:t>4</w:t>
            </w:r>
            <w:r>
              <w:rPr>
                <w:rFonts w:hint="eastAsia" w:ascii="仿宋_GB2312" w:eastAsia="仿宋_GB2312" w:hAnsiTheme="majorEastAsia" w:cstheme="majorEastAsia"/>
                <w:kern w:val="0"/>
                <w:sz w:val="24"/>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8397" w:type="dxa"/>
            <w:gridSpan w:val="4"/>
            <w:tcBorders>
              <w:top w:val="single" w:color="000000" w:sz="8" w:space="0"/>
              <w:left w:val="single" w:color="000000" w:sz="8" w:space="0"/>
              <w:bottom w:val="single" w:color="000000" w:sz="8" w:space="0"/>
              <w:right w:val="single" w:color="000000" w:sz="8" w:space="0"/>
            </w:tcBorders>
          </w:tcPr>
          <w:p>
            <w:pPr>
              <w:rPr>
                <w:rFonts w:ascii="仿宋_GB2312" w:eastAsia="仿宋_GB2312" w:hAnsiTheme="majorEastAsia" w:cstheme="majorEastAsia"/>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shd w:val="clear" w:color="auto" w:fill="E6EFFA"/>
            <w:vAlign w:val="center"/>
          </w:tcPr>
          <w:p>
            <w:pPr>
              <w:jc w:val="center"/>
              <w:rPr>
                <w:rFonts w:ascii="仿宋_GB2312" w:eastAsia="仿宋_GB2312" w:hAnsiTheme="majorEastAsia" w:cstheme="majorEastAsia"/>
                <w:kern w:val="0"/>
                <w:sz w:val="24"/>
                <w:szCs w:val="20"/>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序号</w:t>
            </w:r>
          </w:p>
        </w:tc>
        <w:tc>
          <w:tcPr>
            <w:tcW w:w="19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评分因素</w:t>
            </w:r>
          </w:p>
        </w:tc>
        <w:tc>
          <w:tcPr>
            <w:tcW w:w="8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权重</w:t>
            </w:r>
          </w:p>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w:t>
            </w:r>
          </w:p>
        </w:tc>
        <w:tc>
          <w:tcPr>
            <w:tcW w:w="48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shd w:val="clear" w:color="auto" w:fill="E6EFFA"/>
            <w:vAlign w:val="center"/>
          </w:tcPr>
          <w:p>
            <w:pPr>
              <w:jc w:val="center"/>
              <w:rPr>
                <w:rFonts w:ascii="仿宋_GB2312" w:eastAsia="仿宋_GB2312" w:hAnsiTheme="majorEastAsia" w:cstheme="majorEastAsia"/>
                <w:kern w:val="0"/>
                <w:sz w:val="24"/>
                <w:szCs w:val="20"/>
              </w:rPr>
            </w:pPr>
          </w:p>
        </w:tc>
        <w:tc>
          <w:tcPr>
            <w:tcW w:w="681" w:type="dxa"/>
            <w:tcBorders>
              <w:top w:val="outset" w:color="000000" w:sz="6" w:space="0"/>
              <w:left w:val="outset" w:color="000000" w:sz="6" w:space="0"/>
              <w:right w:val="outset" w:color="000000" w:sz="6" w:space="0"/>
            </w:tcBorders>
            <w:vAlign w:val="center"/>
          </w:tcPr>
          <w:p>
            <w:pPr>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w:t>
            </w:r>
          </w:p>
        </w:tc>
        <w:tc>
          <w:tcPr>
            <w:tcW w:w="1990" w:type="dxa"/>
            <w:tcBorders>
              <w:top w:val="outset" w:color="000000" w:sz="6" w:space="0"/>
              <w:left w:val="outset" w:color="000000" w:sz="6" w:space="0"/>
              <w:bottom w:val="outset" w:color="000000" w:sz="6" w:space="0"/>
              <w:right w:val="outset" w:color="000000" w:sz="6"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项目实施方案</w:t>
            </w:r>
          </w:p>
        </w:tc>
        <w:tc>
          <w:tcPr>
            <w:tcW w:w="850" w:type="dxa"/>
            <w:tcBorders>
              <w:top w:val="outset" w:color="000000" w:sz="6" w:space="0"/>
              <w:left w:val="outset" w:color="000000" w:sz="6" w:space="0"/>
              <w:bottom w:val="outset" w:color="000000" w:sz="6" w:space="0"/>
              <w:right w:val="outset" w:color="000000" w:sz="6"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outset" w:color="000000" w:sz="6" w:space="0"/>
              <w:left w:val="outset" w:color="000000" w:sz="6" w:space="0"/>
              <w:bottom w:val="outset" w:color="000000" w:sz="6" w:space="0"/>
              <w:right w:val="outset" w:color="000000" w:sz="6" w:space="0"/>
            </w:tcBorders>
            <w:vAlign w:val="center"/>
          </w:tcPr>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评审内容：</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根据对项目的理解及自身经验针对本项目，提出实施方案。包括但不限于以下四点内容：</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1.对项目的总体认识情况，对项目的熟悉程度及需求理解能力；</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2.实施方案措施得力，并具有针对性，能够保证本服务的顺利实施；</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3.控制关键环节清晰、准确，计划满足招标要求；服务管理制度和进度安排合理；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4.质量保证及安全保障措施合理。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w:t>
            </w:r>
          </w:p>
        </w:tc>
        <w:tc>
          <w:tcPr>
            <w:tcW w:w="199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项目工程设备</w:t>
            </w:r>
          </w:p>
        </w:tc>
        <w:tc>
          <w:tcPr>
            <w:tcW w:w="85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single" w:color="000000" w:sz="8" w:space="0"/>
              <w:left w:val="single" w:color="000000" w:sz="8" w:space="0"/>
              <w:bottom w:val="single" w:color="000000" w:sz="8" w:space="0"/>
              <w:right w:val="single" w:color="000000" w:sz="8" w:space="0"/>
            </w:tcBorders>
            <w:vAlign w:val="center"/>
          </w:tcPr>
          <w:p>
            <w:pPr>
              <w:pStyle w:val="20"/>
              <w:numPr>
                <w:ilvl w:val="0"/>
                <w:numId w:val="2"/>
              </w:numPr>
              <w:wordWrap w:val="0"/>
              <w:ind w:firstLineChars="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投标人所投设备应符合工程需求，各项指标均需响应招标要求，品牌应为知名厂家。</w:t>
            </w:r>
          </w:p>
          <w:p>
            <w:pPr>
              <w:pStyle w:val="20"/>
              <w:numPr>
                <w:ilvl w:val="0"/>
                <w:numId w:val="2"/>
              </w:numPr>
              <w:wordWrap w:val="0"/>
              <w:ind w:firstLineChars="0"/>
              <w:jc w:val="left"/>
              <w:rPr>
                <w:rFonts w:hint="eastAsia"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核心设备和交换机必须符合千兆接入，万兆汇聚能力，支持4</w:t>
            </w:r>
            <w:r>
              <w:rPr>
                <w:rFonts w:ascii="仿宋_GB2312" w:eastAsia="仿宋_GB2312" w:hAnsiTheme="majorEastAsia" w:cstheme="majorEastAsia"/>
                <w:kern w:val="0"/>
                <w:sz w:val="24"/>
                <w:szCs w:val="20"/>
              </w:rPr>
              <w:t>00</w:t>
            </w:r>
            <w:r>
              <w:rPr>
                <w:rFonts w:hint="eastAsia" w:ascii="仿宋_GB2312" w:eastAsia="仿宋_GB2312" w:hAnsiTheme="majorEastAsia" w:cstheme="majorEastAsia"/>
                <w:kern w:val="0"/>
                <w:sz w:val="24"/>
                <w:szCs w:val="20"/>
              </w:rPr>
              <w:t>用户的接入处理能力。</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按照投标文件响应情况进行横向比较，分档评分：评价为优得100%分；评价为良得60%分；评价为中得30%分；评价为差得0%分。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3</w:t>
            </w:r>
          </w:p>
        </w:tc>
        <w:tc>
          <w:tcPr>
            <w:tcW w:w="199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质量（完成时间、安全、环保）保障措施及方案</w:t>
            </w:r>
          </w:p>
        </w:tc>
        <w:tc>
          <w:tcPr>
            <w:tcW w:w="85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single" w:color="000000" w:sz="8" w:space="0"/>
              <w:left w:val="single" w:color="000000" w:sz="8" w:space="0"/>
              <w:bottom w:val="single" w:color="000000" w:sz="8" w:space="0"/>
              <w:right w:val="single" w:color="000000" w:sz="8" w:space="0"/>
            </w:tcBorders>
            <w:vAlign w:val="center"/>
          </w:tcPr>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根据对项目的理解及自身经验针对本项目，提出质量（完成时间、安全、环保）保障措施及方案。包括但不限于以下三点内容：</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1.时间管理制度与措施；</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2.质量管理制度与措施；</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3.安全、环保方面的保障制度与措施。</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1.投标人提供的《质量（安全、环保）保障措施及方案》包含上述3项考察内容的，得75%分数。缺少一项扣25%分数。</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2.在以上内容完整的基础上，根据内容的合理性进行评分。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优评分标准：内容合理性强</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良评分标准：内容合理性较强</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中评分标准：内容合理性一般</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差评分标准：内容合理性较差</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分档评分：评价为优得25%分；评价为良得15%分；评价为中得10%分；评价为差得0%分。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ascii="仿宋_GB2312" w:eastAsia="仿宋_GB2312" w:hAnsiTheme="majorEastAsia" w:cstheme="majorEastAsia"/>
                <w:kern w:val="0"/>
                <w:sz w:val="24"/>
                <w:szCs w:val="20"/>
              </w:rPr>
              <w:t>4</w:t>
            </w:r>
          </w:p>
        </w:tc>
        <w:tc>
          <w:tcPr>
            <w:tcW w:w="199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项目完成（服务期满）后的服务方案</w:t>
            </w:r>
          </w:p>
        </w:tc>
        <w:tc>
          <w:tcPr>
            <w:tcW w:w="85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single" w:color="000000" w:sz="8" w:space="0"/>
              <w:left w:val="single" w:color="000000" w:sz="8" w:space="0"/>
              <w:bottom w:val="single" w:color="000000" w:sz="8" w:space="0"/>
              <w:right w:val="single" w:color="000000" w:sz="8" w:space="0"/>
            </w:tcBorders>
            <w:vAlign w:val="center"/>
          </w:tcPr>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根据对项目的理解及自身经验针对本项目，提出项目完成（服务期满）后的服务方案。包括但不限于以下四点内容：</w:t>
            </w:r>
          </w:p>
          <w:p>
            <w:pPr>
              <w:numPr>
                <w:ilvl w:val="0"/>
                <w:numId w:val="3"/>
              </w:num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提供项目完成后服务负责人信息与联系方式；</w:t>
            </w:r>
          </w:p>
          <w:p>
            <w:pPr>
              <w:numPr>
                <w:ilvl w:val="0"/>
                <w:numId w:val="3"/>
              </w:num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应对项目服务具体方式；</w:t>
            </w:r>
          </w:p>
          <w:p>
            <w:pPr>
              <w:numPr>
                <w:ilvl w:val="0"/>
                <w:numId w:val="3"/>
              </w:num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详细阐述服务制度与响应时间；</w:t>
            </w:r>
          </w:p>
          <w:p>
            <w:pPr>
              <w:numPr>
                <w:ilvl w:val="0"/>
                <w:numId w:val="3"/>
              </w:num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详细阐述项目完成后服务内容。</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1.投标人提供的《项目完成（服务期满）后的服务方案》包含上述4项考察内容的，得80%分数。缺少一项扣20%分数。</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2.在以上内容完整的基础上，根据内容的合理性进行评分。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优评分标准：内容合理性强</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良评分标准：内容合理性较强</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中评分标准：内容合理性一般</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差评分标准：内容合理性较差</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分档评分：评价为优得20%分；评价为良得10%分；评价为中得5%分；评价为差得0%分。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3</w:t>
            </w:r>
          </w:p>
        </w:tc>
        <w:tc>
          <w:tcPr>
            <w:tcW w:w="3521"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综合实力部分</w:t>
            </w:r>
          </w:p>
        </w:tc>
        <w:tc>
          <w:tcPr>
            <w:tcW w:w="48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8397" w:type="dxa"/>
            <w:gridSpan w:val="4"/>
            <w:tcBorders>
              <w:top w:val="single" w:color="000000" w:sz="8" w:space="0"/>
              <w:left w:val="single" w:color="000000" w:sz="8" w:space="0"/>
              <w:bottom w:val="single" w:color="000000" w:sz="8" w:space="0"/>
              <w:right w:val="single" w:color="000000" w:sz="8" w:space="0"/>
            </w:tcBorders>
          </w:tcPr>
          <w:p>
            <w:pPr>
              <w:rPr>
                <w:rFonts w:ascii="仿宋_GB2312" w:eastAsia="仿宋_GB2312" w:hAnsiTheme="majorEastAsia" w:cstheme="majorEastAsia"/>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仿宋_GB2312" w:eastAsia="仿宋_GB2312" w:hAnsiTheme="majorEastAsia" w:cstheme="majorEastAsia"/>
                <w:kern w:val="0"/>
                <w:sz w:val="24"/>
                <w:szCs w:val="20"/>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序号</w:t>
            </w:r>
          </w:p>
        </w:tc>
        <w:tc>
          <w:tcPr>
            <w:tcW w:w="19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评分因素</w:t>
            </w:r>
          </w:p>
        </w:tc>
        <w:tc>
          <w:tcPr>
            <w:tcW w:w="8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权重</w:t>
            </w:r>
          </w:p>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w:t>
            </w:r>
          </w:p>
        </w:tc>
        <w:tc>
          <w:tcPr>
            <w:tcW w:w="48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w:t>
            </w:r>
          </w:p>
        </w:tc>
        <w:tc>
          <w:tcPr>
            <w:tcW w:w="1990"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供应商情况</w:t>
            </w:r>
          </w:p>
        </w:tc>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single" w:color="000000" w:sz="8" w:space="0"/>
              <w:left w:val="single" w:color="000000" w:sz="8" w:space="0"/>
              <w:bottom w:val="single" w:color="000000" w:sz="8" w:space="0"/>
              <w:right w:val="single" w:color="000000" w:sz="8" w:space="0"/>
            </w:tcBorders>
          </w:tcPr>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1.资质证书：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①具有质量管理体系认证证书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②具有环境管理体系认证证书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③具有职业健康管理体系认证证书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④具有信息安全管理体系认证证书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⑤具有信息技术服务管理体系认证证书</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具有五项认证证书得70%分，具有四项认证证书得50%分，具有三项认证证书得20%分，具有两项认证证书得10%分，具有一项认证证书得5%分，未提供的不得分，最高得70%分。</w:t>
            </w:r>
          </w:p>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1.要求提供有效的相关证明证书扫描件作为得分依据；</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2.以上资料均要求提供国家市场监督管理总局全国认证认可信息公共服务平台截图（http://cx.cnca.cn/CertECloud/index/index/page），原件备查。</w:t>
            </w:r>
          </w:p>
          <w:p>
            <w:pPr>
              <w:wordWrap w:val="0"/>
              <w:jc w:val="left"/>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3.以上资料均要求提供扫描件和官方网站截图，原件备查。评分中出现无证明资料或专家无法凭所提供资料判断是否得分的情况，一律作不得分处理。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eastAsia="仿宋_GB2312" w:hAnsiTheme="majorEastAsia" w:cstheme="majorEastAsia"/>
                <w:kern w:val="0"/>
                <w:sz w:val="24"/>
                <w:szCs w:val="20"/>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2</w:t>
            </w:r>
          </w:p>
        </w:tc>
        <w:tc>
          <w:tcPr>
            <w:tcW w:w="1990"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同类业绩</w:t>
            </w:r>
          </w:p>
        </w:tc>
        <w:tc>
          <w:tcPr>
            <w:tcW w:w="850"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10</w:t>
            </w:r>
          </w:p>
        </w:tc>
        <w:tc>
          <w:tcPr>
            <w:tcW w:w="4876" w:type="dxa"/>
            <w:tcBorders>
              <w:top w:val="single" w:color="000000" w:sz="8" w:space="0"/>
              <w:left w:val="single" w:color="000000" w:sz="8" w:space="0"/>
              <w:bottom w:val="single" w:color="000000" w:sz="8" w:space="0"/>
              <w:right w:val="single" w:color="000000" w:sz="8" w:space="0"/>
            </w:tcBorders>
          </w:tcPr>
          <w:p>
            <w:pPr>
              <w:wordWrap w:val="0"/>
              <w:jc w:val="left"/>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评审标准：</w:t>
            </w:r>
          </w:p>
          <w:p>
            <w:pPr>
              <w:wordWrap w:val="0"/>
              <w:textAlignment w:val="top"/>
              <w:rPr>
                <w:rFonts w:ascii="仿宋_GB2312" w:eastAsia="仿宋_GB2312" w:hAnsiTheme="majorEastAsia" w:cstheme="majorEastAsia"/>
                <w:kern w:val="0"/>
                <w:sz w:val="24"/>
                <w:szCs w:val="20"/>
              </w:rPr>
            </w:pPr>
            <w:r>
              <w:rPr>
                <w:rFonts w:hint="eastAsia" w:ascii="仿宋_GB2312" w:eastAsia="仿宋_GB2312" w:hAnsiTheme="majorEastAsia" w:cstheme="majorEastAsia"/>
                <w:kern w:val="0"/>
                <w:sz w:val="24"/>
                <w:szCs w:val="20"/>
              </w:rPr>
              <w:t>投标人具有网络施工维护类案例。</w:t>
            </w:r>
            <w:r>
              <w:rPr>
                <w:rFonts w:ascii="仿宋_GB2312" w:eastAsia="仿宋_GB2312" w:hAnsiTheme="majorEastAsia" w:cstheme="majorEastAsia"/>
                <w:kern w:val="0"/>
                <w:sz w:val="24"/>
                <w:szCs w:val="20"/>
              </w:rPr>
              <w:t xml:space="preserve"> </w:t>
            </w:r>
          </w:p>
          <w:p>
            <w:pPr>
              <w:wordWrap w:val="0"/>
              <w:textAlignment w:val="top"/>
              <w:rPr>
                <w:rFonts w:ascii="仿宋_GB2312" w:eastAsia="仿宋_GB2312" w:hAnsiTheme="majorEastAsia" w:cstheme="majorEastAsia"/>
                <w:kern w:val="0"/>
                <w:sz w:val="24"/>
                <w:szCs w:val="20"/>
              </w:rPr>
            </w:pPr>
          </w:p>
        </w:tc>
      </w:tr>
      <w:bookmarkEnd w:id="0"/>
    </w:tbl>
    <w:p>
      <w:pPr>
        <w:spacing w:line="400" w:lineRule="exact"/>
        <w:rPr>
          <w:rFonts w:ascii="仿宋_GB2312" w:eastAsia="仿宋_GB2312" w:hAnsiTheme="majorEastAsia" w:cstheme="majorEastAsia"/>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4284"/>
    <w:multiLevelType w:val="singleLevel"/>
    <w:tmpl w:val="91C24284"/>
    <w:lvl w:ilvl="0" w:tentative="0">
      <w:start w:val="1"/>
      <w:numFmt w:val="decimal"/>
      <w:lvlText w:val="%1."/>
      <w:lvlJc w:val="left"/>
      <w:pPr>
        <w:tabs>
          <w:tab w:val="left" w:pos="312"/>
        </w:tabs>
      </w:pPr>
    </w:lvl>
  </w:abstractNum>
  <w:abstractNum w:abstractNumId="1">
    <w:nsid w:val="0C93222E"/>
    <w:multiLevelType w:val="multilevel"/>
    <w:tmpl w:val="0C93222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Y2NjNWI3ZThiNTJlMjcwODk1MzllNjJjOTBmN2QifQ=="/>
  </w:docVars>
  <w:rsids>
    <w:rsidRoot w:val="009F79B8"/>
    <w:rsid w:val="00011C1F"/>
    <w:rsid w:val="000C46EA"/>
    <w:rsid w:val="00207D0C"/>
    <w:rsid w:val="0062364D"/>
    <w:rsid w:val="009F79B8"/>
    <w:rsid w:val="00D047A6"/>
    <w:rsid w:val="00D2029C"/>
    <w:rsid w:val="00F83EF4"/>
    <w:rsid w:val="00FF40A1"/>
    <w:rsid w:val="06AF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link w:val="22"/>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23"/>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2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2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link w:val="2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link w:val="27"/>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link w:val="2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29"/>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semiHidden/>
    <w:unhideWhenUsed/>
    <w:uiPriority w:val="99"/>
    <w:pPr>
      <w:ind w:firstLine="420" w:firstLineChars="200"/>
    </w:pPr>
  </w:style>
  <w:style w:type="paragraph" w:styleId="12">
    <w:name w:val="Body Text"/>
    <w:basedOn w:val="1"/>
    <w:link w:val="30"/>
    <w:qFormat/>
    <w:uiPriority w:val="0"/>
    <w:pPr>
      <w:autoSpaceDE w:val="0"/>
      <w:autoSpaceDN w:val="0"/>
      <w:adjustRightInd w:val="0"/>
      <w:jc w:val="left"/>
    </w:pPr>
  </w:style>
  <w:style w:type="paragraph" w:styleId="13">
    <w:name w:val="footer"/>
    <w:basedOn w:val="1"/>
    <w:link w:val="33"/>
    <w:unhideWhenUsed/>
    <w:uiPriority w:val="99"/>
    <w:pPr>
      <w:tabs>
        <w:tab w:val="center" w:pos="4153"/>
        <w:tab w:val="right" w:pos="8306"/>
      </w:tabs>
      <w:snapToGrid w:val="0"/>
      <w:jc w:val="left"/>
    </w:pPr>
    <w:rPr>
      <w:sz w:val="18"/>
      <w:szCs w:val="18"/>
    </w:rPr>
  </w:style>
  <w:style w:type="paragraph" w:styleId="14">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7">
    <w:name w:val="正文_2_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18">
    <w:name w:val="样式 日期 + 行距: 1.5 倍行距"/>
    <w:basedOn w:val="1"/>
    <w:qFormat/>
    <w:uiPriority w:val="0"/>
    <w:pPr>
      <w:widowControl/>
      <w:spacing w:line="360" w:lineRule="auto"/>
      <w:ind w:left="100" w:leftChars="2500" w:firstLine="454"/>
    </w:pPr>
    <w:rPr>
      <w:rFonts w:cs="宋体"/>
      <w:kern w:val="0"/>
      <w:sz w:val="24"/>
      <w:szCs w:val="20"/>
    </w:rPr>
  </w:style>
  <w:style w:type="paragraph" w:customStyle="1" w:styleId="19">
    <w:name w:val="无缩进正文"/>
    <w:qFormat/>
    <w:uiPriority w:val="0"/>
    <w:pPr>
      <w:widowControl w:val="0"/>
      <w:spacing w:line="360" w:lineRule="auto"/>
      <w:ind w:firstLine="560" w:firstLineChars="200"/>
    </w:pPr>
    <w:rPr>
      <w:rFonts w:ascii="宋体" w:hAnsi="宋体" w:eastAsia="宋体" w:cs="宋体"/>
      <w:spacing w:val="2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标题 1 字符"/>
    <w:basedOn w:val="16"/>
    <w:link w:val="2"/>
    <w:uiPriority w:val="0"/>
    <w:rPr>
      <w:rFonts w:ascii="Times New Roman" w:hAnsi="Times New Roman" w:eastAsia="宋体" w:cs="Times New Roman"/>
      <w:b/>
      <w:kern w:val="44"/>
      <w:sz w:val="44"/>
      <w:szCs w:val="20"/>
    </w:rPr>
  </w:style>
  <w:style w:type="character" w:customStyle="1" w:styleId="22">
    <w:name w:val="标题 2 字符"/>
    <w:basedOn w:val="16"/>
    <w:link w:val="3"/>
    <w:qFormat/>
    <w:uiPriority w:val="0"/>
    <w:rPr>
      <w:rFonts w:ascii="Arial" w:hAnsi="Arial" w:eastAsia="黑体" w:cs="Times New Roman"/>
      <w:b/>
      <w:kern w:val="0"/>
      <w:sz w:val="32"/>
      <w:szCs w:val="20"/>
    </w:rPr>
  </w:style>
  <w:style w:type="character" w:customStyle="1" w:styleId="23">
    <w:name w:val="标题 3 字符"/>
    <w:basedOn w:val="16"/>
    <w:link w:val="4"/>
    <w:qFormat/>
    <w:uiPriority w:val="0"/>
    <w:rPr>
      <w:rFonts w:ascii="Times New Roman" w:hAnsi="Times New Roman" w:eastAsia="宋体" w:cs="Times New Roman"/>
      <w:b/>
      <w:kern w:val="0"/>
      <w:sz w:val="32"/>
      <w:szCs w:val="20"/>
    </w:rPr>
  </w:style>
  <w:style w:type="character" w:customStyle="1" w:styleId="24">
    <w:name w:val="标题 4 字符"/>
    <w:basedOn w:val="16"/>
    <w:link w:val="5"/>
    <w:uiPriority w:val="0"/>
    <w:rPr>
      <w:rFonts w:ascii="Arial" w:hAnsi="Arial" w:eastAsia="黑体" w:cs="Times New Roman"/>
      <w:b/>
      <w:sz w:val="28"/>
      <w:szCs w:val="20"/>
    </w:rPr>
  </w:style>
  <w:style w:type="character" w:customStyle="1" w:styleId="25">
    <w:name w:val="标题 5 字符"/>
    <w:basedOn w:val="16"/>
    <w:link w:val="7"/>
    <w:uiPriority w:val="0"/>
    <w:rPr>
      <w:rFonts w:ascii="Times New Roman" w:hAnsi="Times New Roman" w:eastAsia="宋体" w:cs="Times New Roman"/>
      <w:b/>
      <w:sz w:val="28"/>
      <w:szCs w:val="20"/>
    </w:rPr>
  </w:style>
  <w:style w:type="character" w:customStyle="1" w:styleId="26">
    <w:name w:val="标题 6 字符"/>
    <w:basedOn w:val="16"/>
    <w:link w:val="8"/>
    <w:uiPriority w:val="0"/>
    <w:rPr>
      <w:rFonts w:ascii="Arial" w:hAnsi="Arial" w:eastAsia="黑体" w:cs="Times New Roman"/>
      <w:b/>
      <w:sz w:val="24"/>
      <w:szCs w:val="20"/>
    </w:rPr>
  </w:style>
  <w:style w:type="character" w:customStyle="1" w:styleId="27">
    <w:name w:val="标题 7 字符"/>
    <w:basedOn w:val="16"/>
    <w:link w:val="9"/>
    <w:uiPriority w:val="0"/>
    <w:rPr>
      <w:rFonts w:ascii="Times New Roman" w:hAnsi="Times New Roman" w:eastAsia="宋体" w:cs="Times New Roman"/>
      <w:b/>
      <w:sz w:val="24"/>
      <w:szCs w:val="20"/>
    </w:rPr>
  </w:style>
  <w:style w:type="character" w:customStyle="1" w:styleId="28">
    <w:name w:val="标题 8 字符"/>
    <w:basedOn w:val="16"/>
    <w:link w:val="10"/>
    <w:uiPriority w:val="0"/>
    <w:rPr>
      <w:rFonts w:ascii="Arial" w:hAnsi="Arial" w:eastAsia="黑体" w:cs="Times New Roman"/>
      <w:sz w:val="24"/>
      <w:szCs w:val="20"/>
    </w:rPr>
  </w:style>
  <w:style w:type="character" w:customStyle="1" w:styleId="29">
    <w:name w:val="标题 9 字符"/>
    <w:basedOn w:val="16"/>
    <w:link w:val="11"/>
    <w:uiPriority w:val="0"/>
    <w:rPr>
      <w:rFonts w:ascii="Arial" w:hAnsi="Arial" w:eastAsia="黑体" w:cs="Times New Roman"/>
      <w:szCs w:val="20"/>
    </w:rPr>
  </w:style>
  <w:style w:type="character" w:customStyle="1" w:styleId="30">
    <w:name w:val="正文文本 字符"/>
    <w:basedOn w:val="16"/>
    <w:link w:val="12"/>
    <w:qFormat/>
    <w:uiPriority w:val="0"/>
    <w:rPr>
      <w:rFonts w:ascii="Times New Roman" w:hAnsi="Times New Roman" w:eastAsia="宋体" w:cs="Times New Roman"/>
      <w:szCs w:val="24"/>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2">
    <w:name w:val="页眉 字符"/>
    <w:basedOn w:val="16"/>
    <w:link w:val="14"/>
    <w:uiPriority w:val="99"/>
    <w:rPr>
      <w:rFonts w:ascii="Times New Roman" w:hAnsi="Times New Roman" w:eastAsia="宋体" w:cs="Times New Roman"/>
      <w:sz w:val="18"/>
      <w:szCs w:val="18"/>
    </w:rPr>
  </w:style>
  <w:style w:type="character" w:customStyle="1" w:styleId="33">
    <w:name w:val="页脚 字符"/>
    <w:basedOn w:val="16"/>
    <w:link w:val="1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1309</Words>
  <Characters>1426</Characters>
  <Lines>10</Lines>
  <Paragraphs>3</Paragraphs>
  <TotalTime>4</TotalTime>
  <ScaleCrop>false</ScaleCrop>
  <LinksUpToDate>false</LinksUpToDate>
  <CharactersWithSpaces>1427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2023-04-24T01:11:00Z</dcterms:created>
  <dc:creator>jiansheng liu</dc:creator>
  <cp:lastModifiedBy>胜杰</cp:lastModifiedBy>
  <dcterms:modified xsi:type="dcterms:W3CDTF">2023-05-09T02:35:23Z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4CE7DC500BC445C2B2CA6EB16D3A76C7_12</vt:lpwstr>
  </property>
</Properties>
</file>