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52"/>
          <w:szCs w:val="52"/>
        </w:rPr>
      </w:pPr>
      <w:bookmarkStart w:id="0" w:name="_GoBack"/>
      <w:bookmarkEnd w:id="0"/>
      <w:r>
        <w:rPr>
          <w:rFonts w:hint="eastAsia" w:asciiTheme="majorEastAsia" w:hAnsiTheme="majorEastAsia" w:eastAsiaTheme="majorEastAsia"/>
          <w:b/>
          <w:sz w:val="52"/>
          <w:szCs w:val="52"/>
        </w:rPr>
        <w:t>招标文件</w:t>
      </w:r>
    </w:p>
    <w:p>
      <w:pPr>
        <w:spacing w:line="360" w:lineRule="auto"/>
        <w:jc w:val="center"/>
        <w:rPr>
          <w:rFonts w:asciiTheme="majorEastAsia" w:hAnsiTheme="majorEastAsia" w:eastAsiaTheme="majorEastAsia"/>
          <w:b/>
          <w:sz w:val="44"/>
          <w:szCs w:val="44"/>
        </w:rPr>
      </w:pPr>
    </w:p>
    <w:p>
      <w:pPr>
        <w:spacing w:line="360" w:lineRule="auto"/>
        <w:ind w:firstLine="480" w:firstLineChars="200"/>
        <w:rPr>
          <w:rFonts w:ascii="宋体" w:hAnsi="宋体"/>
          <w:sz w:val="24"/>
          <w:szCs w:val="24"/>
        </w:rPr>
      </w:pPr>
      <w:r>
        <w:rPr>
          <w:rFonts w:hint="eastAsia" w:ascii="宋体" w:hAnsi="宋体"/>
          <w:sz w:val="24"/>
          <w:szCs w:val="24"/>
        </w:rPr>
        <w:t>深圳交响乐团拟采购服务项目</w:t>
      </w:r>
      <w:r>
        <w:rPr>
          <w:rFonts w:ascii="宋体" w:hAnsi="宋体"/>
          <w:sz w:val="24"/>
          <w:szCs w:val="24"/>
        </w:rPr>
        <w:t>1</w:t>
      </w:r>
      <w:r>
        <w:rPr>
          <w:rFonts w:hint="eastAsia" w:ascii="宋体" w:hAnsi="宋体"/>
          <w:sz w:val="24"/>
          <w:szCs w:val="24"/>
        </w:rPr>
        <w:t>项，采购项目和具体要求如下：</w:t>
      </w:r>
      <w:r>
        <w:rPr>
          <w:rFonts w:ascii="宋体" w:hAnsi="宋体"/>
          <w:sz w:val="24"/>
          <w:szCs w:val="24"/>
        </w:rPr>
        <w:t xml:space="preserve"> </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176"/>
        <w:gridCol w:w="834"/>
        <w:gridCol w:w="157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spacing w:line="360" w:lineRule="auto"/>
              <w:rPr>
                <w:rFonts w:ascii="宋体" w:hAnsi="宋体"/>
                <w:sz w:val="24"/>
                <w:szCs w:val="24"/>
              </w:rPr>
            </w:pPr>
            <w:r>
              <w:rPr>
                <w:rFonts w:hint="eastAsia" w:ascii="宋体" w:hAnsi="宋体"/>
                <w:sz w:val="24"/>
                <w:szCs w:val="24"/>
              </w:rPr>
              <w:t>序号</w:t>
            </w:r>
          </w:p>
        </w:tc>
        <w:tc>
          <w:tcPr>
            <w:tcW w:w="3176" w:type="dxa"/>
            <w:vAlign w:val="center"/>
          </w:tcPr>
          <w:p>
            <w:pPr>
              <w:spacing w:line="360" w:lineRule="auto"/>
              <w:rPr>
                <w:rFonts w:ascii="宋体" w:hAnsi="宋体"/>
                <w:sz w:val="24"/>
                <w:szCs w:val="24"/>
              </w:rPr>
            </w:pPr>
            <w:r>
              <w:rPr>
                <w:rFonts w:hint="eastAsia" w:ascii="宋体" w:hAnsi="宋体"/>
                <w:sz w:val="24"/>
                <w:szCs w:val="24"/>
              </w:rPr>
              <w:t>采购项目名称</w:t>
            </w:r>
          </w:p>
        </w:tc>
        <w:tc>
          <w:tcPr>
            <w:tcW w:w="834" w:type="dxa"/>
            <w:vAlign w:val="center"/>
          </w:tcPr>
          <w:p>
            <w:pPr>
              <w:spacing w:line="360" w:lineRule="auto"/>
              <w:rPr>
                <w:rFonts w:ascii="宋体" w:hAnsi="宋体"/>
                <w:sz w:val="24"/>
                <w:szCs w:val="24"/>
              </w:rPr>
            </w:pPr>
            <w:r>
              <w:rPr>
                <w:rFonts w:hint="eastAsia" w:ascii="宋体" w:hAnsi="宋体"/>
                <w:sz w:val="24"/>
                <w:szCs w:val="24"/>
              </w:rPr>
              <w:t>数量</w:t>
            </w:r>
          </w:p>
        </w:tc>
        <w:tc>
          <w:tcPr>
            <w:tcW w:w="1579" w:type="dxa"/>
            <w:vAlign w:val="center"/>
          </w:tcPr>
          <w:p>
            <w:pPr>
              <w:spacing w:line="360" w:lineRule="auto"/>
              <w:rPr>
                <w:rFonts w:ascii="宋体" w:hAnsi="宋体"/>
                <w:sz w:val="24"/>
                <w:szCs w:val="24"/>
              </w:rPr>
            </w:pPr>
            <w:r>
              <w:rPr>
                <w:rFonts w:hint="eastAsia" w:ascii="宋体" w:hAnsi="宋体"/>
                <w:sz w:val="24"/>
                <w:szCs w:val="24"/>
              </w:rPr>
              <w:t>体检人数</w:t>
            </w:r>
          </w:p>
        </w:tc>
        <w:tc>
          <w:tcPr>
            <w:tcW w:w="1641" w:type="dxa"/>
            <w:vAlign w:val="center"/>
          </w:tcPr>
          <w:p>
            <w:pPr>
              <w:spacing w:line="360" w:lineRule="auto"/>
              <w:rPr>
                <w:rFonts w:ascii="宋体" w:hAnsi="宋体"/>
                <w:sz w:val="24"/>
                <w:szCs w:val="24"/>
              </w:rPr>
            </w:pPr>
            <w:r>
              <w:rPr>
                <w:rFonts w:hint="eastAsia" w:ascii="宋体" w:hAnsi="宋体"/>
                <w:sz w:val="24"/>
                <w:szCs w:val="24"/>
              </w:rPr>
              <w:t>要求完成期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ascii="宋体" w:hAnsi="宋体"/>
                <w:sz w:val="24"/>
                <w:szCs w:val="24"/>
              </w:rPr>
            </w:pPr>
            <w:r>
              <w:rPr>
                <w:rFonts w:ascii="宋体" w:hAnsi="宋体"/>
                <w:sz w:val="24"/>
                <w:szCs w:val="24"/>
              </w:rPr>
              <w:t>1.</w:t>
            </w:r>
          </w:p>
        </w:tc>
        <w:tc>
          <w:tcPr>
            <w:tcW w:w="3176" w:type="dxa"/>
            <w:vAlign w:val="center"/>
          </w:tcPr>
          <w:p>
            <w:pPr>
              <w:spacing w:line="360" w:lineRule="auto"/>
              <w:rPr>
                <w:rFonts w:ascii="宋体" w:hAnsi="宋体"/>
                <w:color w:val="auto"/>
                <w:sz w:val="24"/>
                <w:szCs w:val="24"/>
              </w:rPr>
            </w:pPr>
            <w:r>
              <w:rPr>
                <w:rFonts w:hint="eastAsia" w:ascii="宋体" w:hAnsi="宋体"/>
                <w:color w:val="auto"/>
                <w:sz w:val="24"/>
                <w:szCs w:val="24"/>
                <w:lang w:eastAsia="zh-CN"/>
              </w:rPr>
              <w:t>在职</w:t>
            </w:r>
            <w:r>
              <w:rPr>
                <w:rFonts w:hint="eastAsia" w:ascii="宋体" w:hAnsi="宋体"/>
                <w:color w:val="auto"/>
                <w:sz w:val="24"/>
                <w:szCs w:val="24"/>
              </w:rPr>
              <w:t>员工健康体检服务</w:t>
            </w:r>
          </w:p>
        </w:tc>
        <w:tc>
          <w:tcPr>
            <w:tcW w:w="834" w:type="dxa"/>
            <w:vAlign w:val="center"/>
          </w:tcPr>
          <w:p>
            <w:pPr>
              <w:spacing w:line="360" w:lineRule="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套</w:t>
            </w:r>
          </w:p>
        </w:tc>
        <w:tc>
          <w:tcPr>
            <w:tcW w:w="1579" w:type="dxa"/>
          </w:tcPr>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200</w:t>
            </w:r>
          </w:p>
        </w:tc>
        <w:tc>
          <w:tcPr>
            <w:tcW w:w="1641" w:type="dxa"/>
            <w:vAlign w:val="center"/>
          </w:tcPr>
          <w:p>
            <w:pPr>
              <w:spacing w:line="360" w:lineRule="auto"/>
              <w:rPr>
                <w:rFonts w:ascii="宋体" w:hAnsi="宋体"/>
                <w:sz w:val="24"/>
                <w:szCs w:val="24"/>
              </w:rPr>
            </w:pPr>
            <w:r>
              <w:rPr>
                <w:rFonts w:ascii="宋体" w:hAnsi="宋体"/>
                <w:sz w:val="24"/>
                <w:szCs w:val="24"/>
              </w:rPr>
              <w:t>30</w:t>
            </w:r>
            <w:r>
              <w:rPr>
                <w:rFonts w:hint="eastAsia" w:ascii="宋体" w:hAnsi="宋体"/>
                <w:sz w:val="24"/>
                <w:szCs w:val="24"/>
                <w:lang w:val="en-US" w:eastAsia="zh-CN"/>
              </w:rPr>
              <w:t>工作日</w:t>
            </w:r>
            <w:r>
              <w:rPr>
                <w:rFonts w:hint="eastAsia" w:ascii="宋体" w:hAnsi="宋体"/>
                <w:sz w:val="24"/>
                <w:szCs w:val="24"/>
              </w:rPr>
              <w:t>内</w:t>
            </w:r>
          </w:p>
        </w:tc>
      </w:tr>
    </w:tbl>
    <w:p>
      <w:pPr>
        <w:pStyle w:val="14"/>
        <w:widowControl/>
        <w:numPr>
          <w:ilvl w:val="0"/>
          <w:numId w:val="1"/>
        </w:numPr>
        <w:shd w:val="clear" w:color="auto" w:fill="FFFFFF"/>
        <w:spacing w:before="156" w:beforeLines="50" w:line="315" w:lineRule="atLeast"/>
        <w:ind w:firstLineChars="0"/>
        <w:jc w:val="left"/>
        <w:rPr>
          <w:rFonts w:ascii="宋体" w:hAnsi="宋体" w:cs="宋体"/>
          <w:b/>
          <w:kern w:val="0"/>
          <w:sz w:val="28"/>
          <w:szCs w:val="24"/>
        </w:rPr>
      </w:pPr>
      <w:r>
        <w:rPr>
          <w:rFonts w:hint="eastAsia" w:ascii="宋体" w:hAnsi="宋体" w:cs="宋体"/>
          <w:b/>
          <w:kern w:val="0"/>
          <w:sz w:val="28"/>
          <w:szCs w:val="24"/>
        </w:rPr>
        <w:t>投标人资格要求</w:t>
      </w:r>
    </w:p>
    <w:p>
      <w:pPr>
        <w:numPr>
          <w:ilvl w:val="0"/>
          <w:numId w:val="2"/>
        </w:numPr>
        <w:spacing w:line="360" w:lineRule="auto"/>
        <w:rPr>
          <w:rFonts w:ascii="宋体" w:hAnsi="宋体"/>
          <w:sz w:val="24"/>
          <w:szCs w:val="24"/>
        </w:rPr>
      </w:pPr>
      <w:r>
        <w:rPr>
          <w:rFonts w:hint="eastAsia" w:ascii="宋体" w:hAnsi="宋体"/>
          <w:sz w:val="24"/>
          <w:szCs w:val="24"/>
        </w:rPr>
        <w:t>投标人必须是在中华人民共和国境内依法注册具备法人资格，</w:t>
      </w:r>
      <w:r>
        <w:rPr>
          <w:rFonts w:ascii="宋体" w:hAnsi="宋体"/>
          <w:sz w:val="24"/>
          <w:szCs w:val="24"/>
        </w:rPr>
        <w:t>并取得《</w:t>
      </w:r>
      <w:r>
        <w:rPr>
          <w:rFonts w:hint="eastAsia" w:ascii="宋体" w:hAnsi="宋体"/>
          <w:sz w:val="24"/>
          <w:szCs w:val="24"/>
        </w:rPr>
        <w:t>医疗</w:t>
      </w:r>
      <w:r>
        <w:rPr>
          <w:rFonts w:ascii="宋体" w:hAnsi="宋体"/>
          <w:sz w:val="24"/>
          <w:szCs w:val="24"/>
        </w:rPr>
        <w:t>机构执行许可证》</w:t>
      </w:r>
      <w:r>
        <w:rPr>
          <w:rFonts w:hint="eastAsia" w:ascii="宋体" w:hAnsi="宋体"/>
          <w:sz w:val="24"/>
          <w:szCs w:val="24"/>
        </w:rPr>
        <w:t>的医疗卫生机构。</w:t>
      </w:r>
    </w:p>
    <w:p>
      <w:pPr>
        <w:spacing w:line="360" w:lineRule="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 xml:space="preserve">. </w:t>
      </w:r>
      <w:r>
        <w:rPr>
          <w:rFonts w:hint="eastAsia" w:ascii="宋体" w:hAnsi="宋体"/>
          <w:color w:val="auto"/>
          <w:sz w:val="24"/>
          <w:szCs w:val="24"/>
        </w:rPr>
        <w:t>投标人需为</w:t>
      </w:r>
      <w:r>
        <w:rPr>
          <w:rFonts w:hint="eastAsia" w:ascii="宋体" w:hAnsi="宋体"/>
          <w:color w:val="auto"/>
          <w:sz w:val="24"/>
          <w:szCs w:val="24"/>
          <w:lang w:eastAsia="zh-CN"/>
        </w:rPr>
        <w:t>深圳市卫生健康委直属的非营利性医疗机构</w:t>
      </w:r>
      <w:r>
        <w:rPr>
          <w:rFonts w:hint="eastAsia" w:ascii="宋体" w:hAnsi="宋体"/>
          <w:color w:val="auto"/>
          <w:sz w:val="24"/>
          <w:szCs w:val="24"/>
        </w:rPr>
        <w:t>。</w:t>
      </w:r>
    </w:p>
    <w:p>
      <w:pPr>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本项目不接受联合体投标。</w:t>
      </w:r>
    </w:p>
    <w:p>
      <w:pPr>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 xml:space="preserve">. </w:t>
      </w:r>
      <w:r>
        <w:rPr>
          <w:rFonts w:hint="eastAsia" w:ascii="宋体" w:hAnsi="宋体"/>
          <w:sz w:val="24"/>
          <w:szCs w:val="24"/>
        </w:rPr>
        <w:t>投标人近三年无行贿犯罪记录。 </w:t>
      </w:r>
    </w:p>
    <w:p>
      <w:pPr>
        <w:spacing w:line="360" w:lineRule="auto"/>
        <w:rPr>
          <w:rFonts w:ascii="宋体" w:hAnsi="宋体"/>
          <w:b/>
          <w:sz w:val="28"/>
          <w:szCs w:val="24"/>
        </w:rPr>
      </w:pPr>
      <w:r>
        <w:rPr>
          <w:rFonts w:hint="eastAsia" w:ascii="宋体" w:hAnsi="宋体"/>
          <w:b/>
          <w:sz w:val="28"/>
          <w:szCs w:val="24"/>
        </w:rPr>
        <w:t>B.服务内容及要求</w:t>
      </w:r>
    </w:p>
    <w:p>
      <w:pPr>
        <w:spacing w:line="360" w:lineRule="auto"/>
        <w:rPr>
          <w:rFonts w:ascii="宋体" w:hAnsi="宋体"/>
          <w:sz w:val="24"/>
          <w:szCs w:val="24"/>
        </w:rPr>
      </w:pPr>
      <w:r>
        <w:rPr>
          <w:rFonts w:hint="eastAsia" w:ascii="宋体" w:hAnsi="宋体"/>
          <w:sz w:val="24"/>
          <w:szCs w:val="24"/>
        </w:rPr>
        <w:t>一、服务要求</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 xml:space="preserve">. </w:t>
      </w:r>
      <w:r>
        <w:rPr>
          <w:rFonts w:hint="eastAsia" w:ascii="宋体" w:hAnsi="宋体"/>
          <w:sz w:val="24"/>
          <w:szCs w:val="24"/>
        </w:rPr>
        <w:t>投标人具有《放射诊疗许可证》</w:t>
      </w:r>
    </w:p>
    <w:p>
      <w:pPr>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 xml:space="preserve">. </w:t>
      </w:r>
      <w:r>
        <w:rPr>
          <w:rFonts w:hint="eastAsia" w:ascii="宋体" w:hAnsi="宋体"/>
          <w:sz w:val="24"/>
          <w:szCs w:val="24"/>
        </w:rPr>
        <w:t>具备较强的健康体检服务能力，近三年年平均开展体检服务8万人次以上（提供承诺函，盖公章）。</w:t>
      </w:r>
    </w:p>
    <w:p>
      <w:pPr>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具有职业性噪声聋诊断能力和听力检测权威的医疗机构。</w:t>
      </w:r>
    </w:p>
    <w:p>
      <w:pPr>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 xml:space="preserve">. </w:t>
      </w:r>
      <w:r>
        <w:rPr>
          <w:rFonts w:hint="eastAsia" w:ascii="宋体" w:hAnsi="宋体"/>
          <w:sz w:val="24"/>
          <w:szCs w:val="24"/>
        </w:rPr>
        <w:t>由于乐团演奏员长期演奏，造成肌肉、关节劳损，故需投标人具有开展职业性相关疾病的诊断、治疗及医学康复的能力和设施设备（医疗机构执业许可诊疗科目范围需包含康复医学科）。</w:t>
      </w:r>
    </w:p>
    <w:p>
      <w:pPr>
        <w:numPr>
          <w:ilvl w:val="0"/>
          <w:numId w:val="3"/>
        </w:numPr>
        <w:spacing w:line="360" w:lineRule="auto"/>
        <w:rPr>
          <w:rFonts w:ascii="宋体" w:hAnsi="宋体"/>
          <w:sz w:val="24"/>
          <w:szCs w:val="24"/>
        </w:rPr>
      </w:pPr>
      <w:r>
        <w:rPr>
          <w:rFonts w:hint="eastAsia" w:ascii="宋体" w:hAnsi="宋体"/>
          <w:sz w:val="24"/>
          <w:szCs w:val="24"/>
        </w:rPr>
        <w:t>具有与批准开展健康检查类别和项目相适应的仪器和设备。</w:t>
      </w:r>
    </w:p>
    <w:p>
      <w:pPr>
        <w:numPr>
          <w:ilvl w:val="0"/>
          <w:numId w:val="3"/>
        </w:numPr>
        <w:spacing w:line="360" w:lineRule="auto"/>
        <w:ind w:left="0" w:leftChars="0" w:firstLine="0" w:firstLineChars="0"/>
        <w:rPr>
          <w:rFonts w:ascii="宋体" w:hAnsi="宋体" w:cs="宋体"/>
          <w:color w:val="000000"/>
          <w:kern w:val="0"/>
          <w:sz w:val="24"/>
          <w:szCs w:val="24"/>
          <w:lang w:val="zh-CN"/>
        </w:rPr>
      </w:pPr>
      <w:r>
        <w:rPr>
          <w:rFonts w:hint="eastAsia" w:ascii="宋体" w:hAnsi="宋体"/>
          <w:sz w:val="24"/>
          <w:szCs w:val="24"/>
        </w:rPr>
        <w:t>投标单位</w:t>
      </w:r>
      <w:r>
        <w:rPr>
          <w:rFonts w:hint="eastAsia" w:ascii="宋体" w:hAnsi="宋体" w:cs="宋体"/>
          <w:color w:val="000000"/>
          <w:kern w:val="0"/>
          <w:sz w:val="24"/>
          <w:szCs w:val="24"/>
          <w:lang w:val="zh-CN"/>
        </w:rPr>
        <w:t>须在深圳地区</w:t>
      </w:r>
      <w:r>
        <w:rPr>
          <w:rFonts w:hint="eastAsia" w:ascii="宋体" w:hAnsi="宋体"/>
          <w:sz w:val="24"/>
          <w:szCs w:val="24"/>
        </w:rPr>
        <w:t>有</w:t>
      </w:r>
      <w:r>
        <w:rPr>
          <w:rFonts w:hint="eastAsia" w:ascii="宋体" w:hAnsi="宋体" w:cs="宋体"/>
          <w:color w:val="000000"/>
          <w:kern w:val="0"/>
          <w:sz w:val="24"/>
          <w:szCs w:val="24"/>
          <w:lang w:val="zh-CN"/>
        </w:rPr>
        <w:t>固定的办公地</w:t>
      </w:r>
      <w:r>
        <w:rPr>
          <w:rFonts w:hint="eastAsia" w:ascii="宋体" w:hAnsi="宋体"/>
          <w:sz w:val="24"/>
          <w:szCs w:val="24"/>
        </w:rPr>
        <w:t>点及场所，</w:t>
      </w:r>
      <w:r>
        <w:rPr>
          <w:rFonts w:hint="eastAsia" w:ascii="宋体" w:hAnsi="宋体" w:cs="宋体"/>
          <w:color w:val="000000"/>
          <w:kern w:val="0"/>
          <w:sz w:val="24"/>
          <w:szCs w:val="24"/>
          <w:lang w:val="zh-CN"/>
        </w:rPr>
        <w:t>能提供完善的技术服务</w:t>
      </w:r>
      <w:r>
        <w:rPr>
          <w:rFonts w:hint="eastAsia" w:ascii="宋体" w:hAnsi="宋体"/>
          <w:sz w:val="24"/>
          <w:szCs w:val="24"/>
        </w:rPr>
        <w:t>；</w:t>
      </w:r>
    </w:p>
    <w:p>
      <w:pPr>
        <w:numPr>
          <w:ilvl w:val="0"/>
          <w:numId w:val="3"/>
        </w:numPr>
        <w:spacing w:line="360" w:lineRule="auto"/>
        <w:ind w:left="0" w:leftChars="0" w:firstLine="0" w:firstLineChars="0"/>
        <w:rPr>
          <w:rFonts w:ascii="宋体" w:hAnsi="宋体" w:cs="宋体"/>
          <w:kern w:val="0"/>
          <w:sz w:val="24"/>
          <w:szCs w:val="24"/>
        </w:rPr>
      </w:pPr>
      <w:r>
        <w:rPr>
          <w:rFonts w:hint="eastAsia" w:ascii="宋体" w:hAnsi="宋体" w:cs="宋体"/>
          <w:kern w:val="0"/>
          <w:sz w:val="24"/>
          <w:szCs w:val="24"/>
        </w:rPr>
        <w:t>投标单位需提供与本项目有关的成功案例及具体实施方案及人员物质安排计划。</w:t>
      </w:r>
    </w:p>
    <w:p>
      <w:pPr>
        <w:numPr>
          <w:ilvl w:val="0"/>
          <w:numId w:val="3"/>
        </w:numPr>
        <w:spacing w:line="360" w:lineRule="auto"/>
        <w:ind w:left="0" w:leftChars="0" w:firstLine="0" w:firstLineChars="0"/>
        <w:rPr>
          <w:rFonts w:ascii="宋体" w:hAnsi="宋体" w:cs="宋体"/>
          <w:kern w:val="0"/>
          <w:sz w:val="24"/>
          <w:szCs w:val="24"/>
        </w:rPr>
      </w:pPr>
      <w:r>
        <w:rPr>
          <w:rFonts w:hint="eastAsia" w:ascii="宋体" w:hAnsi="宋体" w:cs="宋体"/>
          <w:kern w:val="0"/>
          <w:sz w:val="24"/>
          <w:szCs w:val="24"/>
        </w:rPr>
        <w:t>投标人须提供肌肉关节疾患疾病的健康宣教。</w:t>
      </w:r>
    </w:p>
    <w:p>
      <w:pPr>
        <w:numPr>
          <w:ilvl w:val="0"/>
          <w:numId w:val="3"/>
        </w:numPr>
        <w:spacing w:line="360" w:lineRule="auto"/>
        <w:ind w:left="0" w:leftChars="0" w:firstLine="0" w:firstLineChars="0"/>
        <w:rPr>
          <w:rFonts w:ascii="宋体" w:hAnsi="宋体"/>
          <w:sz w:val="24"/>
          <w:szCs w:val="24"/>
        </w:rPr>
      </w:pPr>
      <w:r>
        <w:rPr>
          <w:rFonts w:hint="eastAsia" w:ascii="宋体" w:hAnsi="宋体"/>
          <w:sz w:val="24"/>
          <w:szCs w:val="24"/>
        </w:rPr>
        <w:t>投标人应在员工体检结束后提供个人书面健康体检报告及健康指导、健康管理。</w:t>
      </w:r>
    </w:p>
    <w:p>
      <w:pPr>
        <w:spacing w:line="360" w:lineRule="auto"/>
        <w:rPr>
          <w:rFonts w:ascii="宋体" w:hAnsi="宋体"/>
          <w:sz w:val="24"/>
          <w:szCs w:val="24"/>
        </w:rPr>
      </w:pPr>
      <w:r>
        <w:rPr>
          <w:rFonts w:hint="eastAsia" w:ascii="宋体" w:hAnsi="宋体"/>
          <w:sz w:val="24"/>
          <w:szCs w:val="24"/>
        </w:rPr>
        <w:t>二、健康体检具体内容</w:t>
      </w:r>
    </w:p>
    <w:p>
      <w:pPr>
        <w:spacing w:line="360" w:lineRule="auto"/>
        <w:rPr>
          <w:rFonts w:ascii="宋体" w:hAnsi="宋体"/>
          <w:sz w:val="24"/>
          <w:szCs w:val="24"/>
        </w:rPr>
      </w:pPr>
      <w:r>
        <w:rPr>
          <w:rFonts w:ascii="宋体" w:hAnsi="宋体"/>
          <w:sz w:val="24"/>
          <w:szCs w:val="24"/>
        </w:rPr>
        <w:t>健康体检项目（</w:t>
      </w:r>
      <w:r>
        <w:rPr>
          <w:rFonts w:hint="eastAsia" w:ascii="宋体" w:hAnsi="宋体"/>
          <w:sz w:val="24"/>
          <w:szCs w:val="24"/>
        </w:rPr>
        <w:t>包括</w:t>
      </w:r>
      <w:r>
        <w:rPr>
          <w:rFonts w:ascii="宋体" w:hAnsi="宋体"/>
          <w:sz w:val="24"/>
          <w:szCs w:val="24"/>
        </w:rPr>
        <w:t>员工健康体检</w:t>
      </w:r>
      <w:r>
        <w:rPr>
          <w:rFonts w:hint="eastAsia" w:ascii="宋体" w:hAnsi="宋体"/>
          <w:sz w:val="24"/>
          <w:szCs w:val="24"/>
        </w:rPr>
        <w:t>和</w:t>
      </w:r>
      <w:r>
        <w:rPr>
          <w:rFonts w:ascii="宋体" w:hAnsi="宋体"/>
          <w:sz w:val="24"/>
          <w:szCs w:val="24"/>
        </w:rPr>
        <w:t>职业</w:t>
      </w:r>
      <w:r>
        <w:rPr>
          <w:rFonts w:hint="eastAsia" w:ascii="宋体" w:hAnsi="宋体"/>
          <w:sz w:val="24"/>
          <w:szCs w:val="24"/>
        </w:rPr>
        <w:t>相关疾病</w:t>
      </w:r>
      <w:r>
        <w:rPr>
          <w:rFonts w:ascii="宋体" w:hAnsi="宋体"/>
          <w:sz w:val="24"/>
          <w:szCs w:val="24"/>
        </w:rPr>
        <w:t>体检）</w:t>
      </w:r>
      <w:r>
        <w:rPr>
          <w:rFonts w:hint="eastAsia" w:ascii="宋体" w:hAnsi="宋体"/>
          <w:sz w:val="24"/>
          <w:szCs w:val="24"/>
        </w:rPr>
        <w:t>如</w:t>
      </w:r>
      <w:r>
        <w:rPr>
          <w:rFonts w:ascii="宋体" w:hAnsi="宋体"/>
          <w:sz w:val="24"/>
          <w:szCs w:val="24"/>
        </w:rPr>
        <w:t>下</w:t>
      </w:r>
      <w:r>
        <w:rPr>
          <w:rFonts w:hint="eastAsia" w:ascii="宋体" w:hAnsi="宋体"/>
          <w:sz w:val="24"/>
          <w:szCs w:val="24"/>
        </w:rPr>
        <w:t>：</w:t>
      </w:r>
    </w:p>
    <w:tbl>
      <w:tblPr>
        <w:tblStyle w:val="7"/>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01"/>
        <w:gridCol w:w="633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blHeader/>
        </w:trPr>
        <w:tc>
          <w:tcPr>
            <w:tcW w:w="366" w:type="dxa"/>
            <w:vAlign w:val="center"/>
          </w:tcPr>
          <w:p>
            <w:pPr>
              <w:widowControl/>
              <w:tabs>
                <w:tab w:val="left" w:pos="540"/>
                <w:tab w:val="left" w:pos="5940"/>
              </w:tabs>
              <w:overflowPunct w:val="0"/>
              <w:autoSpaceDE w:val="0"/>
              <w:autoSpaceDN w:val="0"/>
              <w:adjustRightInd w:val="0"/>
              <w:spacing w:line="0" w:lineRule="atLeast"/>
              <w:textAlignment w:val="baseline"/>
              <w:rPr>
                <w:rFonts w:ascii="微软雅黑" w:hAnsi="微软雅黑" w:eastAsia="微软雅黑" w:cs="Arial"/>
                <w:b/>
                <w:spacing w:val="-5"/>
                <w:kern w:val="0"/>
                <w:sz w:val="20"/>
                <w:szCs w:val="20"/>
              </w:rPr>
            </w:pPr>
            <w:r>
              <w:rPr>
                <w:rFonts w:hint="eastAsia" w:ascii="微软雅黑" w:hAnsi="微软雅黑" w:eastAsia="微软雅黑" w:cs="Arial"/>
                <w:b/>
                <w:bCs/>
                <w:spacing w:val="-5"/>
                <w:kern w:val="0"/>
                <w:sz w:val="20"/>
                <w:szCs w:val="20"/>
              </w:rPr>
              <w:t>序号</w:t>
            </w:r>
          </w:p>
        </w:tc>
        <w:tc>
          <w:tcPr>
            <w:tcW w:w="801" w:type="dxa"/>
            <w:vAlign w:val="center"/>
          </w:tcPr>
          <w:p>
            <w:pPr>
              <w:widowControl/>
              <w:tabs>
                <w:tab w:val="left" w:pos="540"/>
                <w:tab w:val="left" w:pos="5940"/>
              </w:tabs>
              <w:overflowPunct w:val="0"/>
              <w:autoSpaceDE w:val="0"/>
              <w:autoSpaceDN w:val="0"/>
              <w:adjustRightInd w:val="0"/>
              <w:spacing w:line="0" w:lineRule="atLeast"/>
              <w:jc w:val="center"/>
              <w:textAlignment w:val="baseline"/>
              <w:rPr>
                <w:rFonts w:ascii="微软雅黑" w:hAnsi="微软雅黑" w:eastAsia="微软雅黑" w:cs="Arial"/>
                <w:b/>
                <w:spacing w:val="-5"/>
                <w:kern w:val="0"/>
                <w:sz w:val="20"/>
                <w:szCs w:val="20"/>
              </w:rPr>
            </w:pPr>
            <w:r>
              <w:rPr>
                <w:rFonts w:hint="eastAsia" w:ascii="微软雅黑" w:hAnsi="微软雅黑" w:eastAsia="微软雅黑" w:cs="Arial"/>
                <w:b/>
                <w:spacing w:val="-5"/>
                <w:kern w:val="0"/>
                <w:sz w:val="20"/>
                <w:szCs w:val="20"/>
              </w:rPr>
              <w:t>分类</w:t>
            </w:r>
          </w:p>
        </w:tc>
        <w:tc>
          <w:tcPr>
            <w:tcW w:w="6330" w:type="dxa"/>
            <w:vAlign w:val="center"/>
          </w:tcPr>
          <w:p>
            <w:pPr>
              <w:widowControl/>
              <w:tabs>
                <w:tab w:val="left" w:pos="540"/>
                <w:tab w:val="left" w:pos="5940"/>
              </w:tabs>
              <w:overflowPunct w:val="0"/>
              <w:autoSpaceDE w:val="0"/>
              <w:autoSpaceDN w:val="0"/>
              <w:adjustRightInd w:val="0"/>
              <w:spacing w:line="0" w:lineRule="atLeast"/>
              <w:jc w:val="center"/>
              <w:textAlignment w:val="baseline"/>
              <w:rPr>
                <w:rFonts w:ascii="微软雅黑" w:hAnsi="微软雅黑" w:eastAsia="微软雅黑" w:cs="Arial"/>
                <w:b/>
                <w:spacing w:val="-5"/>
                <w:kern w:val="0"/>
                <w:sz w:val="20"/>
                <w:szCs w:val="20"/>
              </w:rPr>
            </w:pPr>
            <w:r>
              <w:rPr>
                <w:rFonts w:hint="eastAsia" w:ascii="微软雅黑" w:hAnsi="微软雅黑" w:eastAsia="微软雅黑" w:cs="Arial"/>
                <w:b/>
                <w:spacing w:val="-5"/>
                <w:kern w:val="0"/>
                <w:sz w:val="20"/>
                <w:szCs w:val="20"/>
              </w:rPr>
              <w:t>项目明细</w:t>
            </w:r>
          </w:p>
        </w:tc>
        <w:tc>
          <w:tcPr>
            <w:tcW w:w="1815" w:type="dxa"/>
            <w:vAlign w:val="center"/>
          </w:tcPr>
          <w:p>
            <w:pPr>
              <w:keepNext w:val="0"/>
              <w:keepLines w:val="0"/>
              <w:widowControl/>
              <w:suppressLineNumbers w:val="0"/>
              <w:jc w:val="center"/>
              <w:textAlignment w:val="center"/>
              <w:rPr>
                <w:rFonts w:hint="eastAsia" w:ascii="微软雅黑" w:hAnsi="微软雅黑" w:eastAsia="微软雅黑" w:cs="Arial"/>
                <w:b/>
                <w:spacing w:val="-5"/>
                <w:kern w:val="0"/>
                <w:sz w:val="20"/>
                <w:szCs w:val="20"/>
              </w:rPr>
            </w:pPr>
            <w:r>
              <w:rPr>
                <w:rFonts w:hint="eastAsia" w:ascii="微软雅黑" w:hAnsi="微软雅黑" w:eastAsia="微软雅黑" w:cs="微软雅黑"/>
                <w:b/>
                <w:i w:val="0"/>
                <w:color w:val="000000"/>
                <w:kern w:val="0"/>
                <w:sz w:val="20"/>
                <w:szCs w:val="20"/>
                <w:u w:val="none"/>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tblHeader/>
        </w:trPr>
        <w:tc>
          <w:tcPr>
            <w:tcW w:w="366" w:type="dxa"/>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r>
              <w:rPr>
                <w:rFonts w:ascii="微软雅黑" w:hAnsi="微软雅黑" w:eastAsia="微软雅黑" w:cs="Arial"/>
                <w:spacing w:val="-5"/>
                <w:kern w:val="0"/>
                <w:sz w:val="20"/>
                <w:szCs w:val="20"/>
              </w:rPr>
              <w:t>1</w:t>
            </w:r>
          </w:p>
        </w:tc>
        <w:tc>
          <w:tcPr>
            <w:tcW w:w="801" w:type="dxa"/>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r>
              <w:rPr>
                <w:rFonts w:hint="eastAsia" w:ascii="微软雅黑" w:hAnsi="微软雅黑" w:eastAsia="微软雅黑" w:cs="Arial"/>
                <w:spacing w:val="-5"/>
                <w:kern w:val="0"/>
                <w:sz w:val="20"/>
                <w:szCs w:val="20"/>
                <w:lang w:val="en-US" w:eastAsia="zh-CN"/>
              </w:rPr>
              <w:t>30</w:t>
            </w:r>
            <w:r>
              <w:rPr>
                <w:rFonts w:hint="eastAsia" w:ascii="微软雅黑" w:hAnsi="微软雅黑" w:eastAsia="微软雅黑" w:cs="Arial"/>
                <w:spacing w:val="-5"/>
                <w:kern w:val="0"/>
                <w:sz w:val="20"/>
                <w:szCs w:val="20"/>
              </w:rPr>
              <w:t>岁以下男性</w:t>
            </w:r>
          </w:p>
        </w:tc>
        <w:tc>
          <w:tcPr>
            <w:tcW w:w="6330" w:type="dxa"/>
            <w:tcBorders>
              <w:top w:val="nil"/>
              <w:left w:val="nil"/>
              <w:bottom w:val="single" w:color="auto" w:sz="4" w:space="0"/>
              <w:right w:val="single" w:color="auto" w:sz="4" w:space="0"/>
            </w:tcBorders>
            <w:shd w:val="clear" w:color="auto" w:fill="auto"/>
            <w:vAlign w:val="center"/>
          </w:tcPr>
          <w:tbl>
            <w:tblPr>
              <w:tblStyle w:val="7"/>
              <w:tblW w:w="6178" w:type="dxa"/>
              <w:tblInd w:w="0" w:type="dxa"/>
              <w:tblLayout w:type="fixed"/>
              <w:tblCellMar>
                <w:top w:w="0" w:type="dxa"/>
                <w:left w:w="108" w:type="dxa"/>
                <w:bottom w:w="0" w:type="dxa"/>
                <w:right w:w="108" w:type="dxa"/>
              </w:tblCellMar>
            </w:tblPr>
            <w:tblGrid>
              <w:gridCol w:w="6178"/>
            </w:tblGrid>
            <w:tr>
              <w:tblPrEx>
                <w:tblCellMar>
                  <w:top w:w="0" w:type="dxa"/>
                  <w:left w:w="108" w:type="dxa"/>
                  <w:bottom w:w="0" w:type="dxa"/>
                  <w:right w:w="108" w:type="dxa"/>
                </w:tblCellMar>
              </w:tblPrEx>
              <w:tc>
                <w:tcPr>
                  <w:tcW w:w="617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color w:val="FF0000"/>
                      <w:lang w:val="en-US"/>
                    </w:rPr>
                  </w:pPr>
                  <w:r>
                    <w:rPr>
                      <w:rFonts w:hint="eastAsia" w:ascii="宋体" w:hAnsi="宋体" w:eastAsia="宋体" w:cs="宋体"/>
                      <w:i w:val="0"/>
                      <w:color w:val="000000"/>
                      <w:kern w:val="0"/>
                      <w:sz w:val="22"/>
                      <w:szCs w:val="22"/>
                      <w:u w:val="none"/>
                      <w:lang w:val="en-US" w:eastAsia="zh-CN" w:bidi="ar"/>
                    </w:rPr>
                    <w:t>耳鼻喉常规、口腔科常规、脉率血压、内科检查、皮肤科常规检查、身高、体重、体重指数、神经系统常规检查、外科检查、甲状腺B超(彩色）、肝胆脾胰B超（彩色）、双肾输尿管前列腺膀胱B超（彩色）、</w:t>
                  </w:r>
                  <w:r>
                    <w:rPr>
                      <w:rFonts w:hint="eastAsia" w:ascii="宋体" w:hAnsi="宋体" w:cs="宋体"/>
                      <w:i w:val="0"/>
                      <w:color w:val="000000"/>
                      <w:kern w:val="0"/>
                      <w:sz w:val="22"/>
                      <w:szCs w:val="22"/>
                      <w:u w:val="none"/>
                      <w:lang w:val="en-US" w:eastAsia="zh-CN" w:bidi="ar"/>
                    </w:rPr>
                    <w:t>胸部正位片</w:t>
                  </w:r>
                  <w:r>
                    <w:rPr>
                      <w:rFonts w:hint="eastAsia" w:ascii="宋体" w:hAnsi="宋体" w:eastAsia="宋体" w:cs="宋体"/>
                      <w:i w:val="0"/>
                      <w:color w:val="000000"/>
                      <w:kern w:val="0"/>
                      <w:sz w:val="22"/>
                      <w:szCs w:val="22"/>
                      <w:u w:val="none"/>
                      <w:lang w:val="en-US" w:eastAsia="zh-CN" w:bidi="ar"/>
                    </w:rPr>
                    <w:t>、常规心电图、癌胚抗原定性、尿液分析+尿沉渣定量、血常规五分类</w:t>
                  </w:r>
                  <w:r>
                    <w:rPr>
                      <w:rFonts w:hint="eastAsia" w:ascii="宋体" w:hAnsi="宋体" w:cs="宋体"/>
                      <w:i w:val="0"/>
                      <w:color w:val="000000"/>
                      <w:kern w:val="0"/>
                      <w:sz w:val="22"/>
                      <w:szCs w:val="22"/>
                      <w:u w:val="none"/>
                      <w:lang w:val="en-US" w:eastAsia="zh-CN" w:bidi="ar"/>
                    </w:rPr>
                    <w:t>+有核红细胞计数</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幽门螺旋杆菌抗体分型、</w:t>
                  </w:r>
                  <w:r>
                    <w:rPr>
                      <w:rFonts w:hint="eastAsia" w:ascii="宋体" w:hAnsi="宋体" w:eastAsia="宋体" w:cs="宋体"/>
                      <w:i w:val="0"/>
                      <w:color w:val="000000"/>
                      <w:kern w:val="0"/>
                      <w:sz w:val="22"/>
                      <w:szCs w:val="22"/>
                      <w:u w:val="none"/>
                      <w:lang w:val="en-US" w:eastAsia="zh-CN" w:bidi="ar"/>
                    </w:rPr>
                    <w:t>乙肝两对半、EB病毒抗体、甲胎蛋白(定性)、前列腺特异性抗原（PSA)、糖类抗原CA19-9、肝功八项、血脂四项、血糖、肾功三项、辨色力眼科常规结膜角膜晶体玻璃体眼底</w:t>
                  </w:r>
                </w:p>
              </w:tc>
            </w:tr>
          </w:tbl>
          <w:p>
            <w:pPr>
              <w:widowControl/>
              <w:overflowPunct w:val="0"/>
              <w:autoSpaceDE w:val="0"/>
              <w:autoSpaceDN w:val="0"/>
              <w:adjustRightInd w:val="0"/>
              <w:spacing w:line="0" w:lineRule="atLeast"/>
              <w:jc w:val="left"/>
              <w:textAlignment w:val="baseline"/>
              <w:rPr>
                <w:rFonts w:ascii="微软雅黑" w:hAnsi="微软雅黑" w:eastAsia="微软雅黑" w:cs="宋体"/>
                <w:color w:val="FF0000"/>
                <w:spacing w:val="-5"/>
                <w:kern w:val="0"/>
                <w:sz w:val="20"/>
                <w:szCs w:val="20"/>
              </w:rPr>
            </w:pP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tblHeader/>
        </w:trPr>
        <w:tc>
          <w:tcPr>
            <w:tcW w:w="366" w:type="dxa"/>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2</w:t>
            </w:r>
          </w:p>
        </w:tc>
        <w:tc>
          <w:tcPr>
            <w:tcW w:w="801" w:type="dxa"/>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r>
              <w:rPr>
                <w:rFonts w:hint="eastAsia" w:ascii="微软雅黑" w:hAnsi="微软雅黑" w:eastAsia="微软雅黑" w:cs="Arial"/>
                <w:spacing w:val="-5"/>
                <w:kern w:val="0"/>
                <w:sz w:val="20"/>
                <w:szCs w:val="20"/>
                <w:lang w:val="en-US" w:eastAsia="zh-CN"/>
              </w:rPr>
              <w:t>30-39</w:t>
            </w:r>
            <w:r>
              <w:rPr>
                <w:rFonts w:hint="eastAsia" w:ascii="微软雅黑" w:hAnsi="微软雅黑" w:eastAsia="微软雅黑" w:cs="Arial"/>
                <w:spacing w:val="-5"/>
                <w:kern w:val="0"/>
                <w:sz w:val="20"/>
                <w:szCs w:val="20"/>
              </w:rPr>
              <w:t>岁男性</w:t>
            </w:r>
          </w:p>
        </w:tc>
        <w:tc>
          <w:tcPr>
            <w:tcW w:w="6330" w:type="dxa"/>
            <w:tcBorders>
              <w:top w:val="nil"/>
              <w:left w:val="nil"/>
              <w:bottom w:val="single" w:color="auto" w:sz="4" w:space="0"/>
              <w:right w:val="single" w:color="auto" w:sz="4" w:space="0"/>
            </w:tcBorders>
            <w:shd w:val="clear" w:color="auto" w:fill="auto"/>
            <w:vAlign w:val="center"/>
          </w:tcPr>
          <w:p>
            <w:pPr>
              <w:widowControl/>
              <w:overflowPunct w:val="0"/>
              <w:autoSpaceDE w:val="0"/>
              <w:autoSpaceDN w:val="0"/>
              <w:adjustRightInd w:val="0"/>
              <w:spacing w:line="0" w:lineRule="atLeast"/>
              <w:textAlignment w:val="baseline"/>
              <w:rPr>
                <w:rFonts w:ascii="微软雅黑" w:hAnsi="微软雅黑" w:eastAsia="微软雅黑" w:cs="Arial"/>
                <w:color w:val="FF0000"/>
                <w:spacing w:val="-5"/>
                <w:kern w:val="0"/>
                <w:sz w:val="20"/>
                <w:szCs w:val="20"/>
              </w:rPr>
            </w:pPr>
            <w:r>
              <w:rPr>
                <w:rFonts w:hint="eastAsia" w:ascii="宋体" w:hAnsi="宋体" w:eastAsia="宋体" w:cs="宋体"/>
                <w:i w:val="0"/>
                <w:color w:val="000000"/>
                <w:kern w:val="0"/>
                <w:sz w:val="22"/>
                <w:szCs w:val="22"/>
                <w:u w:val="none"/>
                <w:lang w:val="en-US" w:eastAsia="zh-CN" w:bidi="ar"/>
              </w:rPr>
              <w:t>耳鼻喉常规、口腔科常规、脉率血压、内科检查、皮肤科常规检查、身高、体重、体重指数、神经系统常规检查、外科检查、甲状腺B超(彩色）、肝胆脾胰B超（彩色）、双肾输尿管前列腺膀胱B超（彩色）、肺部CT、常规心电图、癌胚抗原定性、尿液分析+尿沉渣定量、血常规五分类</w:t>
            </w:r>
            <w:r>
              <w:rPr>
                <w:rFonts w:hint="eastAsia" w:ascii="宋体" w:hAnsi="宋体" w:cs="宋体"/>
                <w:i w:val="0"/>
                <w:color w:val="000000"/>
                <w:kern w:val="0"/>
                <w:sz w:val="22"/>
                <w:szCs w:val="22"/>
                <w:u w:val="none"/>
                <w:lang w:val="en-US" w:eastAsia="zh-CN" w:bidi="ar"/>
              </w:rPr>
              <w:t>+有核红细胞计数</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幽门螺旋杆菌抗体分型、</w:t>
            </w:r>
            <w:r>
              <w:rPr>
                <w:rFonts w:hint="eastAsia" w:ascii="宋体" w:hAnsi="宋体" w:eastAsia="宋体" w:cs="宋体"/>
                <w:i w:val="0"/>
                <w:color w:val="000000"/>
                <w:kern w:val="0"/>
                <w:sz w:val="22"/>
                <w:szCs w:val="22"/>
                <w:u w:val="none"/>
                <w:lang w:val="en-US" w:eastAsia="zh-CN" w:bidi="ar"/>
              </w:rPr>
              <w:t>乙肝两对半、EB病毒抗体、甲胎蛋白(定性)、前列腺特异性抗原（PSA)、糖类抗原CA19-9、甲功三项、肝功八项、血脂四项、血糖、肾功三项、辨色力眼科常规结膜角膜晶体玻璃体眼底</w:t>
            </w: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tblHeader/>
        </w:trPr>
        <w:tc>
          <w:tcPr>
            <w:tcW w:w="366" w:type="dxa"/>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3</w:t>
            </w:r>
          </w:p>
        </w:tc>
        <w:tc>
          <w:tcPr>
            <w:tcW w:w="801" w:type="dxa"/>
            <w:vAlign w:val="center"/>
          </w:tcPr>
          <w:p>
            <w:pPr>
              <w:widowControl/>
              <w:overflowPunct w:val="0"/>
              <w:autoSpaceDE w:val="0"/>
              <w:autoSpaceDN w:val="0"/>
              <w:adjustRightInd w:val="0"/>
              <w:spacing w:line="0" w:lineRule="atLeast"/>
              <w:textAlignment w:val="baseline"/>
              <w:rPr>
                <w:rFonts w:hint="eastAsia" w:ascii="微软雅黑" w:hAnsi="微软雅黑" w:eastAsia="微软雅黑" w:cs="Arial"/>
                <w:spacing w:val="-5"/>
                <w:kern w:val="0"/>
                <w:sz w:val="20"/>
                <w:szCs w:val="20"/>
              </w:rPr>
            </w:pPr>
            <w:r>
              <w:rPr>
                <w:rFonts w:hint="eastAsia" w:ascii="微软雅黑" w:hAnsi="微软雅黑" w:eastAsia="微软雅黑" w:cs="Arial"/>
                <w:spacing w:val="-5"/>
                <w:kern w:val="0"/>
                <w:sz w:val="20"/>
                <w:szCs w:val="20"/>
              </w:rPr>
              <w:t>4</w:t>
            </w:r>
            <w:r>
              <w:rPr>
                <w:rFonts w:hint="eastAsia" w:ascii="微软雅黑" w:hAnsi="微软雅黑" w:eastAsia="微软雅黑" w:cs="Arial"/>
                <w:spacing w:val="-5"/>
                <w:kern w:val="0"/>
                <w:sz w:val="20"/>
                <w:szCs w:val="20"/>
                <w:lang w:val="en-US" w:eastAsia="zh-CN"/>
              </w:rPr>
              <w:t>0</w:t>
            </w:r>
            <w:r>
              <w:rPr>
                <w:rFonts w:hint="eastAsia" w:ascii="微软雅黑" w:hAnsi="微软雅黑" w:eastAsia="微软雅黑" w:cs="Arial"/>
                <w:spacing w:val="-5"/>
                <w:kern w:val="0"/>
                <w:sz w:val="20"/>
                <w:szCs w:val="20"/>
              </w:rPr>
              <w:t>岁</w:t>
            </w:r>
            <w:r>
              <w:rPr>
                <w:rFonts w:hint="eastAsia" w:ascii="微软雅黑" w:hAnsi="微软雅黑" w:eastAsia="微软雅黑" w:cs="Arial"/>
                <w:spacing w:val="-5"/>
                <w:kern w:val="0"/>
                <w:sz w:val="20"/>
                <w:szCs w:val="20"/>
                <w:lang w:val="en-US" w:eastAsia="zh-CN"/>
              </w:rPr>
              <w:t>以上</w:t>
            </w:r>
            <w:r>
              <w:rPr>
                <w:rFonts w:hint="eastAsia" w:ascii="微软雅黑" w:hAnsi="微软雅黑" w:eastAsia="微软雅黑" w:cs="Arial"/>
                <w:spacing w:val="-5"/>
                <w:kern w:val="0"/>
                <w:sz w:val="20"/>
                <w:szCs w:val="20"/>
              </w:rPr>
              <w:t>男性</w:t>
            </w:r>
          </w:p>
        </w:tc>
        <w:tc>
          <w:tcPr>
            <w:tcW w:w="6330" w:type="dxa"/>
            <w:tcBorders>
              <w:top w:val="nil"/>
              <w:left w:val="nil"/>
              <w:bottom w:val="single" w:color="auto" w:sz="4" w:space="0"/>
              <w:right w:val="single" w:color="auto" w:sz="4" w:space="0"/>
            </w:tcBorders>
            <w:shd w:val="clear" w:color="auto" w:fill="auto"/>
            <w:vAlign w:val="center"/>
          </w:tcPr>
          <w:p>
            <w:pPr>
              <w:widowControl/>
              <w:overflowPunct w:val="0"/>
              <w:autoSpaceDE w:val="0"/>
              <w:autoSpaceDN w:val="0"/>
              <w:adjustRightInd w:val="0"/>
              <w:spacing w:line="0" w:lineRule="atLeast"/>
              <w:textAlignment w:val="baseline"/>
              <w:rPr>
                <w:rFonts w:ascii="微软雅黑" w:hAnsi="微软雅黑" w:eastAsia="微软雅黑" w:cs="Arial"/>
                <w:color w:val="FF0000"/>
                <w:spacing w:val="-5"/>
                <w:kern w:val="0"/>
                <w:sz w:val="20"/>
                <w:szCs w:val="20"/>
              </w:rPr>
            </w:pPr>
            <w:r>
              <w:rPr>
                <w:rFonts w:hint="eastAsia" w:ascii="宋体" w:hAnsi="宋体" w:eastAsia="宋体" w:cs="宋体"/>
                <w:i w:val="0"/>
                <w:color w:val="000000"/>
                <w:kern w:val="0"/>
                <w:sz w:val="22"/>
                <w:szCs w:val="22"/>
                <w:u w:val="none"/>
                <w:lang w:val="en-US" w:eastAsia="zh-CN" w:bidi="ar"/>
              </w:rPr>
              <w:t>耳鼻喉常规、口腔科常规、脉率血压、内科检查、皮肤科常规检查、身高、体重、体重指数、神经系统常规检查、外科检查、甲状腺B超(彩色）、心脏(彩超)套餐、肝胆脾胰B超（彩色）、颈动静脉彩超、双肾输尿管前列腺膀胱B超（彩色）、颈椎正侧位片、肺部CT、常规心电图、癌胚抗原定性、尿液分析+尿沉渣定量、血常规五分类</w:t>
            </w:r>
            <w:r>
              <w:rPr>
                <w:rFonts w:hint="eastAsia" w:ascii="宋体" w:hAnsi="宋体" w:cs="宋体"/>
                <w:i w:val="0"/>
                <w:color w:val="000000"/>
                <w:kern w:val="0"/>
                <w:sz w:val="22"/>
                <w:szCs w:val="22"/>
                <w:u w:val="none"/>
                <w:lang w:val="en-US" w:eastAsia="zh-CN" w:bidi="ar"/>
              </w:rPr>
              <w:t>+有核红细胞计数</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幽门螺旋杆菌抗体分型、</w:t>
            </w:r>
            <w:r>
              <w:rPr>
                <w:rFonts w:hint="eastAsia" w:ascii="宋体" w:hAnsi="宋体" w:eastAsia="宋体" w:cs="宋体"/>
                <w:i w:val="0"/>
                <w:color w:val="000000"/>
                <w:kern w:val="0"/>
                <w:sz w:val="22"/>
                <w:szCs w:val="22"/>
                <w:u w:val="none"/>
                <w:lang w:val="en-US" w:eastAsia="zh-CN" w:bidi="ar"/>
              </w:rPr>
              <w:t>乙肝两对半、EB病毒抗体、甲胎蛋白(定性)、前列腺特异性抗原（PSA)、糖类抗原CA19-9</w:t>
            </w:r>
            <w:r>
              <w:rPr>
                <w:rFonts w:hint="eastAsia" w:ascii="宋体" w:hAnsi="宋体" w:eastAsia="宋体" w:cs="宋体"/>
                <w:i w:val="0"/>
                <w:color w:val="000000"/>
                <w:sz w:val="22"/>
                <w:szCs w:val="22"/>
                <w:u w:val="none"/>
                <w:lang w:eastAsia="zh-CN"/>
              </w:rPr>
              <w:t>、甲</w:t>
            </w:r>
            <w:r>
              <w:rPr>
                <w:rFonts w:hint="eastAsia" w:ascii="宋体" w:hAnsi="宋体" w:eastAsia="宋体" w:cs="宋体"/>
                <w:i w:val="0"/>
                <w:color w:val="000000"/>
                <w:kern w:val="0"/>
                <w:sz w:val="22"/>
                <w:szCs w:val="22"/>
                <w:u w:val="none"/>
                <w:lang w:val="en-US" w:eastAsia="zh-CN" w:bidi="ar"/>
              </w:rPr>
              <w:t>功三项、肝功八项、血脂四项、血糖、糖化血红蛋白(GHb)、肾功三项、辨色力眼科常规结膜角膜晶体玻璃体眼底</w:t>
            </w: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tblHeader/>
        </w:trPr>
        <w:tc>
          <w:tcPr>
            <w:tcW w:w="366" w:type="dxa"/>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4</w:t>
            </w:r>
          </w:p>
        </w:tc>
        <w:tc>
          <w:tcPr>
            <w:tcW w:w="801" w:type="dxa"/>
            <w:vAlign w:val="center"/>
          </w:tcPr>
          <w:p>
            <w:pPr>
              <w:widowControl/>
              <w:overflowPunct w:val="0"/>
              <w:autoSpaceDE w:val="0"/>
              <w:autoSpaceDN w:val="0"/>
              <w:adjustRightInd w:val="0"/>
              <w:spacing w:line="0" w:lineRule="atLeast"/>
              <w:textAlignment w:val="baseline"/>
              <w:rPr>
                <w:rFonts w:hint="eastAsia" w:ascii="微软雅黑" w:hAnsi="微软雅黑" w:eastAsia="微软雅黑" w:cs="Arial"/>
                <w:spacing w:val="-5"/>
                <w:kern w:val="0"/>
                <w:sz w:val="20"/>
                <w:szCs w:val="20"/>
              </w:rPr>
            </w:pPr>
            <w:r>
              <w:rPr>
                <w:rFonts w:hint="eastAsia" w:ascii="微软雅黑" w:hAnsi="微软雅黑" w:eastAsia="微软雅黑" w:cs="Arial"/>
                <w:spacing w:val="-5"/>
                <w:kern w:val="0"/>
                <w:sz w:val="20"/>
                <w:szCs w:val="20"/>
                <w:lang w:val="en-US" w:eastAsia="zh-CN"/>
              </w:rPr>
              <w:t>30</w:t>
            </w:r>
            <w:r>
              <w:rPr>
                <w:rFonts w:hint="eastAsia" w:ascii="微软雅黑" w:hAnsi="微软雅黑" w:eastAsia="微软雅黑" w:cs="Arial"/>
                <w:spacing w:val="-5"/>
                <w:kern w:val="0"/>
                <w:sz w:val="20"/>
                <w:szCs w:val="20"/>
              </w:rPr>
              <w:t>岁以下</w:t>
            </w:r>
            <w:r>
              <w:rPr>
                <w:rFonts w:hint="eastAsia" w:ascii="微软雅黑" w:hAnsi="微软雅黑" w:eastAsia="微软雅黑" w:cs="Arial"/>
                <w:spacing w:val="-5"/>
                <w:kern w:val="0"/>
                <w:sz w:val="20"/>
                <w:szCs w:val="20"/>
                <w:lang w:val="en-US" w:eastAsia="zh-CN"/>
              </w:rPr>
              <w:t>女</w:t>
            </w:r>
            <w:r>
              <w:rPr>
                <w:rFonts w:hint="eastAsia" w:ascii="微软雅黑" w:hAnsi="微软雅黑" w:eastAsia="微软雅黑" w:cs="Arial"/>
                <w:spacing w:val="-5"/>
                <w:kern w:val="0"/>
                <w:sz w:val="20"/>
                <w:szCs w:val="20"/>
              </w:rPr>
              <w:t>性</w:t>
            </w:r>
          </w:p>
        </w:tc>
        <w:tc>
          <w:tcPr>
            <w:tcW w:w="6330" w:type="dxa"/>
            <w:tcBorders>
              <w:top w:val="nil"/>
              <w:left w:val="nil"/>
              <w:bottom w:val="single" w:color="auto" w:sz="4" w:space="0"/>
              <w:right w:val="single" w:color="auto" w:sz="4" w:space="0"/>
            </w:tcBorders>
            <w:shd w:val="clear" w:color="auto" w:fill="auto"/>
            <w:vAlign w:val="center"/>
          </w:tcPr>
          <w:p>
            <w:pPr>
              <w:widowControl/>
              <w:overflowPunct w:val="0"/>
              <w:autoSpaceDE w:val="0"/>
              <w:autoSpaceDN w:val="0"/>
              <w:adjustRightInd w:val="0"/>
              <w:spacing w:line="0" w:lineRule="atLeast"/>
              <w:textAlignment w:val="baseline"/>
              <w:rPr>
                <w:rFonts w:ascii="微软雅黑" w:hAnsi="微软雅黑" w:eastAsia="微软雅黑" w:cs="Arial"/>
                <w:color w:val="FF0000"/>
                <w:spacing w:val="-5"/>
                <w:kern w:val="0"/>
                <w:sz w:val="20"/>
                <w:szCs w:val="20"/>
              </w:rPr>
            </w:pPr>
            <w:r>
              <w:rPr>
                <w:rFonts w:hint="eastAsia" w:ascii="宋体" w:hAnsi="宋体" w:eastAsia="宋体" w:cs="宋体"/>
                <w:i w:val="0"/>
                <w:color w:val="000000"/>
                <w:kern w:val="0"/>
                <w:sz w:val="22"/>
                <w:szCs w:val="22"/>
                <w:u w:val="none"/>
                <w:lang w:val="en-US" w:eastAsia="zh-CN" w:bidi="ar"/>
              </w:rPr>
              <w:t>耳鼻喉常规、口腔科常规、脉率、血压、内科检查、皮肤科常规检查、身高、体重、体重指数、神经系统常规检查、外科检查、乳腺B超(彩色）、甲状腺B超(彩色）、子宫附件B超（彩色）、肝胆脾胰B超（彩色）、双肾输尿管膀胱B超(彩色)、</w:t>
            </w:r>
            <w:r>
              <w:rPr>
                <w:rFonts w:hint="eastAsia" w:ascii="宋体" w:hAnsi="宋体" w:cs="宋体"/>
                <w:i w:val="0"/>
                <w:color w:val="000000"/>
                <w:kern w:val="0"/>
                <w:sz w:val="22"/>
                <w:szCs w:val="22"/>
                <w:u w:val="none"/>
                <w:lang w:val="en-US" w:eastAsia="zh-CN" w:bidi="ar"/>
              </w:rPr>
              <w:t>胸部正位片</w:t>
            </w:r>
            <w:r>
              <w:rPr>
                <w:rFonts w:hint="eastAsia" w:ascii="宋体" w:hAnsi="宋体" w:eastAsia="宋体" w:cs="宋体"/>
                <w:i w:val="0"/>
                <w:color w:val="000000"/>
                <w:kern w:val="0"/>
                <w:sz w:val="22"/>
                <w:szCs w:val="22"/>
                <w:u w:val="none"/>
                <w:lang w:val="en-US" w:eastAsia="zh-CN" w:bidi="ar"/>
              </w:rPr>
              <w:t>、常规心电图、癌胚抗原定性、糖类抗原CA19-9、尿液分析+尿沉渣定量、血常规五分类</w:t>
            </w:r>
            <w:r>
              <w:rPr>
                <w:rFonts w:hint="eastAsia" w:ascii="宋体" w:hAnsi="宋体" w:cs="宋体"/>
                <w:i w:val="0"/>
                <w:color w:val="000000"/>
                <w:kern w:val="0"/>
                <w:sz w:val="22"/>
                <w:szCs w:val="22"/>
                <w:u w:val="none"/>
                <w:lang w:val="en-US" w:eastAsia="zh-CN" w:bidi="ar"/>
              </w:rPr>
              <w:t>+有核红细胞计数</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幽门螺旋杆菌抗体分型、</w:t>
            </w:r>
            <w:r>
              <w:rPr>
                <w:rFonts w:hint="eastAsia" w:ascii="宋体" w:hAnsi="宋体" w:eastAsia="宋体" w:cs="宋体"/>
                <w:i w:val="0"/>
                <w:color w:val="000000"/>
                <w:kern w:val="0"/>
                <w:sz w:val="22"/>
                <w:szCs w:val="22"/>
                <w:u w:val="none"/>
                <w:lang w:val="en-US" w:eastAsia="zh-CN" w:bidi="ar"/>
              </w:rPr>
              <w:t>乙肝两对半、EB病毒抗体、甲胎蛋白(定性)、肝功八项、血脂四项、血糖、肾功三项、辨色力眼科常规结膜角膜晶体玻璃体眼底</w:t>
            </w: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tblHeader/>
        </w:trPr>
        <w:tc>
          <w:tcPr>
            <w:tcW w:w="366" w:type="dxa"/>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5</w:t>
            </w:r>
          </w:p>
        </w:tc>
        <w:tc>
          <w:tcPr>
            <w:tcW w:w="801" w:type="dxa"/>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r>
              <w:rPr>
                <w:rFonts w:hint="eastAsia" w:ascii="微软雅黑" w:hAnsi="微软雅黑" w:eastAsia="微软雅黑" w:cs="Arial"/>
                <w:spacing w:val="-5"/>
                <w:kern w:val="0"/>
                <w:sz w:val="20"/>
                <w:szCs w:val="20"/>
                <w:lang w:val="en-US" w:eastAsia="zh-CN"/>
              </w:rPr>
              <w:t>30-39</w:t>
            </w:r>
            <w:r>
              <w:rPr>
                <w:rFonts w:hint="eastAsia" w:ascii="微软雅黑" w:hAnsi="微软雅黑" w:eastAsia="微软雅黑" w:cs="Arial"/>
                <w:spacing w:val="-5"/>
                <w:kern w:val="0"/>
                <w:sz w:val="20"/>
                <w:szCs w:val="20"/>
              </w:rPr>
              <w:t>岁女性</w:t>
            </w:r>
          </w:p>
        </w:tc>
        <w:tc>
          <w:tcPr>
            <w:tcW w:w="6330" w:type="dxa"/>
            <w:tcBorders>
              <w:top w:val="nil"/>
              <w:left w:val="nil"/>
              <w:bottom w:val="single" w:color="auto" w:sz="4" w:space="0"/>
              <w:right w:val="single" w:color="auto" w:sz="4" w:space="0"/>
            </w:tcBorders>
            <w:shd w:val="clear" w:color="auto" w:fill="auto"/>
            <w:vAlign w:val="center"/>
          </w:tcPr>
          <w:tbl>
            <w:tblPr>
              <w:tblStyle w:val="7"/>
              <w:tblpPr w:leftFromText="180" w:rightFromText="180" w:vertAnchor="text" w:horzAnchor="page" w:tblpX="-104" w:tblpY="-2821"/>
              <w:tblOverlap w:val="never"/>
              <w:tblW w:w="6390" w:type="dxa"/>
              <w:tblInd w:w="0" w:type="dxa"/>
              <w:tblLayout w:type="fixed"/>
              <w:tblCellMar>
                <w:top w:w="0" w:type="dxa"/>
                <w:left w:w="108" w:type="dxa"/>
                <w:bottom w:w="0" w:type="dxa"/>
                <w:right w:w="108" w:type="dxa"/>
              </w:tblCellMar>
            </w:tblPr>
            <w:tblGrid>
              <w:gridCol w:w="6390"/>
            </w:tblGrid>
            <w:tr>
              <w:tblPrEx>
                <w:tblCellMar>
                  <w:top w:w="0" w:type="dxa"/>
                  <w:left w:w="108" w:type="dxa"/>
                  <w:bottom w:w="0" w:type="dxa"/>
                  <w:right w:w="108" w:type="dxa"/>
                </w:tblCellMar>
              </w:tblPrEx>
              <w:tc>
                <w:tcPr>
                  <w:tcW w:w="63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微软雅黑" w:hAnsi="微软雅黑" w:eastAsia="微软雅黑" w:cs="Arial"/>
                      <w:color w:val="FF0000"/>
                      <w:spacing w:val="-5"/>
                      <w:kern w:val="0"/>
                      <w:sz w:val="20"/>
                      <w:szCs w:val="20"/>
                    </w:rPr>
                  </w:pPr>
                  <w:r>
                    <w:rPr>
                      <w:rFonts w:hint="eastAsia" w:ascii="宋体" w:hAnsi="宋体" w:eastAsia="宋体" w:cs="宋体"/>
                      <w:i w:val="0"/>
                      <w:color w:val="000000"/>
                      <w:kern w:val="0"/>
                      <w:sz w:val="22"/>
                      <w:szCs w:val="22"/>
                      <w:u w:val="none"/>
                      <w:lang w:val="en-US" w:eastAsia="zh-CN" w:bidi="ar"/>
                    </w:rPr>
                    <w:t>耳鼻喉常规、口腔科常规、脉率血压、内科检查、皮肤科常规检查、身高、体重、体重指数、神经系统常规检查、外科检查、乳腺B超(彩色）、甲状腺B超(彩色）、子宫附件B超（彩色）、肝胆脾胰B超（彩色）、双肾输尿管膀胱B超(彩色)、肺部CT、常规心电图、癌胚抗原定性、糖类抗原CA19-9、甲功三项、尿液分析+尿沉渣定量、血常规五分类</w:t>
                  </w:r>
                  <w:r>
                    <w:rPr>
                      <w:rFonts w:hint="eastAsia" w:ascii="宋体" w:hAnsi="宋体" w:cs="宋体"/>
                      <w:i w:val="0"/>
                      <w:color w:val="000000"/>
                      <w:kern w:val="0"/>
                      <w:sz w:val="22"/>
                      <w:szCs w:val="22"/>
                      <w:u w:val="none"/>
                      <w:lang w:val="en-US" w:eastAsia="zh-CN" w:bidi="ar"/>
                    </w:rPr>
                    <w:t>+有核红细胞计数</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幽门螺旋杆菌抗体分型、</w:t>
                  </w:r>
                  <w:r>
                    <w:rPr>
                      <w:rFonts w:hint="eastAsia" w:ascii="宋体" w:hAnsi="宋体" w:eastAsia="宋体" w:cs="宋体"/>
                      <w:i w:val="0"/>
                      <w:color w:val="000000"/>
                      <w:kern w:val="0"/>
                      <w:sz w:val="22"/>
                      <w:szCs w:val="22"/>
                      <w:u w:val="none"/>
                      <w:lang w:val="en-US" w:eastAsia="zh-CN" w:bidi="ar"/>
                    </w:rPr>
                    <w:t>乙肝两对半、EB病毒抗体、甲胎蛋白(定性)、肝功八项、血脂四项、血糖、肾功三项、辨色力眼科常规结膜角膜晶体玻璃体眼底</w:t>
                  </w:r>
                </w:p>
              </w:tc>
            </w:tr>
          </w:tbl>
          <w:p>
            <w:pPr>
              <w:widowControl/>
              <w:overflowPunct w:val="0"/>
              <w:autoSpaceDE w:val="0"/>
              <w:autoSpaceDN w:val="0"/>
              <w:adjustRightInd w:val="0"/>
              <w:spacing w:line="0" w:lineRule="atLeast"/>
              <w:textAlignment w:val="baseline"/>
              <w:rPr>
                <w:rFonts w:ascii="微软雅黑" w:hAnsi="微软雅黑" w:eastAsia="微软雅黑" w:cs="Arial"/>
                <w:color w:val="FF0000"/>
                <w:spacing w:val="-5"/>
                <w:kern w:val="0"/>
                <w:sz w:val="20"/>
                <w:szCs w:val="20"/>
              </w:rPr>
            </w:pP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tblHeader/>
        </w:trPr>
        <w:tc>
          <w:tcPr>
            <w:tcW w:w="366" w:type="dxa"/>
            <w:tcBorders>
              <w:bottom w:val="single" w:color="auto" w:sz="4" w:space="0"/>
            </w:tcBorders>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6</w:t>
            </w:r>
          </w:p>
        </w:tc>
        <w:tc>
          <w:tcPr>
            <w:tcW w:w="801" w:type="dxa"/>
            <w:tcBorders>
              <w:bottom w:val="single" w:color="auto" w:sz="4" w:space="0"/>
            </w:tcBorders>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r>
              <w:rPr>
                <w:rFonts w:ascii="微软雅黑" w:hAnsi="微软雅黑" w:eastAsia="微软雅黑" w:cs="Arial"/>
                <w:spacing w:val="-5"/>
                <w:kern w:val="0"/>
                <w:sz w:val="20"/>
                <w:szCs w:val="20"/>
              </w:rPr>
              <w:t>4</w:t>
            </w:r>
            <w:r>
              <w:rPr>
                <w:rFonts w:hint="eastAsia" w:ascii="微软雅黑" w:hAnsi="微软雅黑" w:eastAsia="微软雅黑" w:cs="Arial"/>
                <w:spacing w:val="-5"/>
                <w:kern w:val="0"/>
                <w:sz w:val="20"/>
                <w:szCs w:val="20"/>
                <w:lang w:val="en-US" w:eastAsia="zh-CN"/>
              </w:rPr>
              <w:t>0</w:t>
            </w:r>
            <w:r>
              <w:rPr>
                <w:rFonts w:ascii="微软雅黑" w:hAnsi="微软雅黑" w:eastAsia="微软雅黑" w:cs="Arial"/>
                <w:spacing w:val="-5"/>
                <w:kern w:val="0"/>
                <w:sz w:val="20"/>
                <w:szCs w:val="20"/>
              </w:rPr>
              <w:t>岁以上女性</w:t>
            </w:r>
          </w:p>
        </w:tc>
        <w:tc>
          <w:tcPr>
            <w:tcW w:w="63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耳鼻喉常规、口腔科常规、脉率、血压、内科检查、皮肤科常规检查、身高、体重、体重指数、神经系统常规检查、外科检查、乳腺B超(彩色）、甲状腺B超(彩色）、心脏(彩超)套餐、子宫附件B超（彩色）、肝胆脾胰B超（彩色）、双肾输尿管膀胱B超(彩色)、颈动静脉彩超、颈椎正侧位片、肺部CT、常规心电图、癌胚抗原定性、糖类抗原CA19-9、甲功三项、肝功八项、血脂四项、血糖、糖化血红蛋白(GHb)、肾功三项、尿液分析+尿沉渣定量、血常规五分类</w:t>
            </w:r>
            <w:r>
              <w:rPr>
                <w:rFonts w:hint="eastAsia" w:ascii="宋体" w:hAnsi="宋体" w:cs="宋体"/>
                <w:i w:val="0"/>
                <w:color w:val="000000"/>
                <w:kern w:val="0"/>
                <w:sz w:val="22"/>
                <w:szCs w:val="22"/>
                <w:u w:val="none"/>
                <w:lang w:val="en-US" w:eastAsia="zh-CN" w:bidi="ar"/>
              </w:rPr>
              <w:t>+有核红细胞计数</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幽门螺旋杆菌抗体分型、</w:t>
            </w:r>
            <w:r>
              <w:rPr>
                <w:rFonts w:hint="eastAsia" w:ascii="宋体" w:hAnsi="宋体" w:eastAsia="宋体" w:cs="宋体"/>
                <w:i w:val="0"/>
                <w:color w:val="000000"/>
                <w:kern w:val="0"/>
                <w:sz w:val="22"/>
                <w:szCs w:val="22"/>
                <w:u w:val="none"/>
                <w:lang w:val="en-US" w:eastAsia="zh-CN" w:bidi="ar"/>
              </w:rPr>
              <w:t>乙肝两对半、EB病毒抗体、甲胎蛋白(定性)、辨色力眼科常规结膜角膜晶体玻璃体眼底</w:t>
            </w: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366" w:type="dxa"/>
            <w:tcBorders>
              <w:top w:val="single" w:color="auto" w:sz="4" w:space="0"/>
              <w:bottom w:val="single" w:color="auto" w:sz="4" w:space="0"/>
              <w:right w:val="single" w:color="auto" w:sz="4" w:space="0"/>
            </w:tcBorders>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7</w:t>
            </w:r>
          </w:p>
        </w:tc>
        <w:tc>
          <w:tcPr>
            <w:tcW w:w="80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已婚女性加做</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妇科常规检查、</w:t>
            </w:r>
            <w:r>
              <w:rPr>
                <w:rFonts w:hint="eastAsia" w:ascii="宋体" w:hAnsi="宋体" w:cs="宋体"/>
                <w:i w:val="0"/>
                <w:color w:val="000000"/>
                <w:kern w:val="0"/>
                <w:sz w:val="22"/>
                <w:szCs w:val="22"/>
                <w:u w:val="none"/>
                <w:lang w:val="en-US" w:eastAsia="zh-CN" w:bidi="ar"/>
              </w:rPr>
              <w:t>白带常规、</w:t>
            </w:r>
            <w:r>
              <w:rPr>
                <w:rFonts w:hint="eastAsia" w:ascii="宋体" w:hAnsi="宋体" w:eastAsia="宋体" w:cs="宋体"/>
                <w:i w:val="0"/>
                <w:color w:val="000000"/>
                <w:kern w:val="0"/>
                <w:sz w:val="22"/>
                <w:szCs w:val="22"/>
                <w:u w:val="none"/>
                <w:lang w:val="en-US" w:eastAsia="zh-CN" w:bidi="ar"/>
              </w:rPr>
              <w:t>液基细胞学检查</w:t>
            </w:r>
          </w:p>
        </w:tc>
        <w:tc>
          <w:tcPr>
            <w:tcW w:w="1815" w:type="dxa"/>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366" w:type="dxa"/>
            <w:vMerge w:val="restart"/>
            <w:tcBorders>
              <w:top w:val="single" w:color="auto" w:sz="4" w:space="0"/>
            </w:tcBorders>
            <w:vAlign w:val="center"/>
          </w:tcPr>
          <w:p>
            <w:pPr>
              <w:widowControl/>
              <w:overflowPunct w:val="0"/>
              <w:autoSpaceDE w:val="0"/>
              <w:autoSpaceDN w:val="0"/>
              <w:adjustRightInd w:val="0"/>
              <w:spacing w:line="0" w:lineRule="atLeast"/>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8</w:t>
            </w:r>
          </w:p>
        </w:tc>
        <w:tc>
          <w:tcPr>
            <w:tcW w:w="801" w:type="dxa"/>
            <w:vMerge w:val="restart"/>
            <w:tcBorders>
              <w:top w:val="single" w:color="auto" w:sz="4" w:space="0"/>
            </w:tcBorders>
            <w:vAlign w:val="center"/>
          </w:tcPr>
          <w:p>
            <w:pPr>
              <w:widowControl/>
              <w:overflowPunct w:val="0"/>
              <w:autoSpaceDE w:val="0"/>
              <w:autoSpaceDN w:val="0"/>
              <w:adjustRightInd w:val="0"/>
              <w:spacing w:line="0" w:lineRule="atLeast"/>
              <w:textAlignment w:val="baseline"/>
              <w:rPr>
                <w:rFonts w:hint="eastAsia" w:ascii="微软雅黑" w:hAnsi="微软雅黑" w:eastAsia="微软雅黑" w:cs="Arial"/>
                <w:spacing w:val="-5"/>
                <w:kern w:val="0"/>
                <w:sz w:val="20"/>
                <w:szCs w:val="20"/>
                <w:lang w:val="en-US" w:eastAsia="zh-CN" w:bidi="ar-SA"/>
              </w:rPr>
            </w:pPr>
            <w:r>
              <w:rPr>
                <w:rFonts w:ascii="微软雅黑" w:hAnsi="微软雅黑" w:eastAsia="微软雅黑" w:cs="Arial"/>
                <w:spacing w:val="-5"/>
                <w:kern w:val="0"/>
                <w:sz w:val="20"/>
                <w:szCs w:val="20"/>
              </w:rPr>
              <w:t>50岁以上</w:t>
            </w:r>
            <w:r>
              <w:rPr>
                <w:rFonts w:hint="eastAsia" w:ascii="微软雅黑" w:hAnsi="微软雅黑" w:eastAsia="微软雅黑" w:cs="Arial"/>
                <w:spacing w:val="-5"/>
                <w:kern w:val="0"/>
                <w:sz w:val="20"/>
                <w:szCs w:val="20"/>
                <w:lang w:val="en-US" w:eastAsia="zh-CN"/>
              </w:rPr>
              <w:t>加做</w:t>
            </w:r>
            <w:r>
              <w:rPr>
                <w:rFonts w:hint="eastAsia" w:ascii="微软雅黑" w:hAnsi="微软雅黑" w:eastAsia="微软雅黑" w:cs="Arial"/>
                <w:spacing w:val="-5"/>
                <w:kern w:val="0"/>
                <w:sz w:val="20"/>
                <w:szCs w:val="20"/>
                <w:lang w:eastAsia="zh-CN"/>
              </w:rPr>
              <w:t>（</w:t>
            </w:r>
            <w:r>
              <w:rPr>
                <w:rFonts w:hint="eastAsia" w:ascii="微软雅黑" w:hAnsi="微软雅黑" w:eastAsia="微软雅黑" w:cs="Arial"/>
                <w:spacing w:val="-5"/>
                <w:kern w:val="0"/>
                <w:sz w:val="20"/>
                <w:szCs w:val="20"/>
                <w:lang w:val="en-US" w:eastAsia="zh-CN"/>
              </w:rPr>
              <w:t>二选一</w:t>
            </w:r>
            <w:r>
              <w:rPr>
                <w:rFonts w:hint="eastAsia" w:ascii="微软雅黑" w:hAnsi="微软雅黑" w:eastAsia="微软雅黑" w:cs="Arial"/>
                <w:spacing w:val="-5"/>
                <w:kern w:val="0"/>
                <w:sz w:val="20"/>
                <w:szCs w:val="20"/>
                <w:lang w:eastAsia="zh-CN"/>
              </w:rPr>
              <w:t>）</w:t>
            </w:r>
          </w:p>
        </w:tc>
        <w:tc>
          <w:tcPr>
            <w:tcW w:w="6330" w:type="dxa"/>
            <w:tcBorders>
              <w:top w:val="single" w:color="auto" w:sz="4" w:space="0"/>
              <w:left w:val="nil"/>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加做项目二：</w:t>
            </w:r>
            <w:r>
              <w:rPr>
                <w:rFonts w:hint="eastAsia" w:ascii="宋体" w:hAnsi="宋体" w:cs="宋体"/>
                <w:i w:val="0"/>
                <w:color w:val="000000"/>
                <w:kern w:val="0"/>
                <w:sz w:val="22"/>
                <w:szCs w:val="22"/>
                <w:u w:val="none"/>
                <w:lang w:val="en-US" w:eastAsia="zh-CN" w:bidi="ar"/>
              </w:rPr>
              <w:t>无痛胃镜检查</w:t>
            </w:r>
          </w:p>
        </w:tc>
        <w:tc>
          <w:tcPr>
            <w:tcW w:w="1815" w:type="dxa"/>
            <w:vMerge w:val="restart"/>
            <w:vAlign w:val="center"/>
          </w:tcPr>
          <w:p>
            <w:pPr>
              <w:widowControl/>
              <w:overflowPunct w:val="0"/>
              <w:autoSpaceDE w:val="0"/>
              <w:autoSpaceDN w:val="0"/>
              <w:adjustRightInd w:val="0"/>
              <w:spacing w:line="0" w:lineRule="atLeast"/>
              <w:jc w:val="center"/>
              <w:textAlignment w:val="baseline"/>
              <w:rPr>
                <w:rFonts w:hint="default" w:ascii="微软雅黑" w:hAnsi="微软雅黑" w:eastAsia="微软雅黑" w:cs="Arial"/>
                <w:spacing w:val="-5"/>
                <w:kern w:val="0"/>
                <w:sz w:val="20"/>
                <w:szCs w:val="20"/>
                <w:lang w:val="en-US" w:eastAsia="zh-CN"/>
              </w:rPr>
            </w:pPr>
            <w:r>
              <w:rPr>
                <w:rFonts w:hint="eastAsia" w:ascii="微软雅黑" w:hAnsi="微软雅黑" w:eastAsia="微软雅黑" w:cs="Arial"/>
                <w:spacing w:val="-5"/>
                <w:kern w:val="0"/>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366" w:type="dxa"/>
            <w:vMerge w:val="continue"/>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p>
        </w:tc>
        <w:tc>
          <w:tcPr>
            <w:tcW w:w="801" w:type="dxa"/>
            <w:vMerge w:val="continue"/>
            <w:vAlign w:val="center"/>
          </w:tcPr>
          <w:p>
            <w:pPr>
              <w:widowControl/>
              <w:overflowPunct w:val="0"/>
              <w:autoSpaceDE w:val="0"/>
              <w:autoSpaceDN w:val="0"/>
              <w:adjustRightInd w:val="0"/>
              <w:spacing w:line="0" w:lineRule="atLeast"/>
              <w:textAlignment w:val="baseline"/>
              <w:rPr>
                <w:rFonts w:ascii="微软雅黑" w:hAnsi="微软雅黑" w:eastAsia="微软雅黑" w:cs="Arial"/>
                <w:spacing w:val="-5"/>
                <w:kern w:val="0"/>
                <w:sz w:val="20"/>
                <w:szCs w:val="20"/>
              </w:rPr>
            </w:pPr>
          </w:p>
        </w:tc>
        <w:tc>
          <w:tcPr>
            <w:tcW w:w="6330" w:type="dxa"/>
            <w:tcBorders>
              <w:left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加做项目二：无创性动脉硬化检测、胱抑素CYS-C、心肌酶四项、同型半胱氨酸测定</w:t>
            </w:r>
            <w:r>
              <w:rPr>
                <w:rFonts w:hint="eastAsia" w:ascii="宋体" w:hAnsi="宋体" w:cs="宋体"/>
                <w:i w:val="0"/>
                <w:color w:val="000000"/>
                <w:kern w:val="0"/>
                <w:sz w:val="22"/>
                <w:szCs w:val="22"/>
                <w:u w:val="none"/>
                <w:lang w:val="en-US" w:eastAsia="zh-CN" w:bidi="ar"/>
              </w:rPr>
              <w:t>、眼底照相</w:t>
            </w:r>
          </w:p>
        </w:tc>
        <w:tc>
          <w:tcPr>
            <w:tcW w:w="1815" w:type="dxa"/>
            <w:vMerge w:val="continue"/>
            <w:vAlign w:val="center"/>
          </w:tcPr>
          <w:p>
            <w:pPr>
              <w:widowControl/>
              <w:overflowPunct w:val="0"/>
              <w:autoSpaceDE w:val="0"/>
              <w:autoSpaceDN w:val="0"/>
              <w:adjustRightInd w:val="0"/>
              <w:spacing w:line="0" w:lineRule="atLeast"/>
              <w:jc w:val="center"/>
              <w:textAlignment w:val="baseline"/>
              <w:rPr>
                <w:rFonts w:hint="eastAsia" w:ascii="微软雅黑" w:hAnsi="微软雅黑" w:eastAsia="微软雅黑" w:cs="Arial"/>
                <w:spacing w:val="-5"/>
                <w:kern w:val="0"/>
                <w:sz w:val="20"/>
                <w:szCs w:val="20"/>
                <w:lang w:val="en-US" w:eastAsia="zh-CN"/>
              </w:rPr>
            </w:pPr>
          </w:p>
        </w:tc>
      </w:tr>
    </w:tbl>
    <w:p>
      <w:pPr>
        <w:widowControl/>
        <w:shd w:val="clear" w:color="auto" w:fill="FFFFFF"/>
        <w:spacing w:line="500" w:lineRule="atLeast"/>
        <w:jc w:val="left"/>
        <w:rPr>
          <w:rFonts w:ascii="宋体" w:hAnsi="宋体" w:cs="宋体"/>
          <w:kern w:val="0"/>
          <w:sz w:val="24"/>
          <w:szCs w:val="24"/>
        </w:rPr>
      </w:pPr>
    </w:p>
    <w:p>
      <w:pPr>
        <w:spacing w:line="360" w:lineRule="auto"/>
        <w:rPr>
          <w:rFonts w:ascii="宋体" w:hAnsi="宋体"/>
          <w:b/>
          <w:sz w:val="28"/>
          <w:szCs w:val="24"/>
        </w:rPr>
      </w:pPr>
      <w:r>
        <w:rPr>
          <w:rFonts w:hint="eastAsia" w:ascii="宋体" w:hAnsi="宋体"/>
          <w:b/>
          <w:sz w:val="28"/>
          <w:szCs w:val="24"/>
        </w:rPr>
        <w:t>C．商务需求：</w:t>
      </w:r>
    </w:p>
    <w:p>
      <w:pPr>
        <w:spacing w:line="360" w:lineRule="auto"/>
        <w:rPr>
          <w:rFonts w:ascii="宋体" w:hAnsi="宋体"/>
          <w:b/>
          <w:sz w:val="24"/>
          <w:szCs w:val="24"/>
        </w:rPr>
      </w:pPr>
      <w:r>
        <w:rPr>
          <w:rFonts w:ascii="宋体" w:hAnsi="宋体"/>
          <w:sz w:val="24"/>
          <w:szCs w:val="24"/>
        </w:rPr>
        <w:t>1</w:t>
      </w:r>
      <w:r>
        <w:rPr>
          <w:rFonts w:hint="eastAsia" w:ascii="宋体" w:hAnsi="宋体"/>
          <w:sz w:val="24"/>
          <w:szCs w:val="24"/>
        </w:rPr>
        <w:t>、报价：</w:t>
      </w:r>
      <w:r>
        <w:rPr>
          <w:rFonts w:hint="eastAsia" w:ascii="宋体" w:hAnsi="宋体"/>
          <w:sz w:val="24"/>
          <w:szCs w:val="24"/>
          <w:u w:val="single"/>
        </w:rPr>
        <w:t>要求单项报价</w:t>
      </w:r>
      <w:r>
        <w:rPr>
          <w:rFonts w:hint="eastAsia" w:ascii="宋体" w:hAnsi="宋体"/>
          <w:sz w:val="24"/>
          <w:szCs w:val="24"/>
        </w:rPr>
        <w:t>，人民币报价；</w:t>
      </w:r>
    </w:p>
    <w:p>
      <w:pPr>
        <w:spacing w:line="360" w:lineRule="auto"/>
        <w:rPr>
          <w:rFonts w:ascii="宋体" w:hAnsi="宋体"/>
          <w:bCs/>
          <w:color w:val="000000"/>
          <w:sz w:val="24"/>
          <w:szCs w:val="24"/>
        </w:rPr>
      </w:pPr>
      <w:r>
        <w:rPr>
          <w:rFonts w:ascii="宋体" w:hAnsi="宋体"/>
          <w:sz w:val="24"/>
          <w:szCs w:val="24"/>
        </w:rPr>
        <w:t>2</w:t>
      </w:r>
      <w:r>
        <w:rPr>
          <w:rFonts w:hint="eastAsia" w:ascii="宋体" w:hAnsi="宋体"/>
          <w:sz w:val="24"/>
          <w:szCs w:val="24"/>
        </w:rPr>
        <w:t>、</w:t>
      </w:r>
      <w:r>
        <w:rPr>
          <w:rFonts w:hint="eastAsia" w:ascii="宋体" w:hAnsi="宋体"/>
          <w:bCs/>
          <w:color w:val="000000"/>
          <w:sz w:val="24"/>
          <w:szCs w:val="24"/>
        </w:rPr>
        <w:t>完成期：签订合同后</w:t>
      </w:r>
      <w:r>
        <w:rPr>
          <w:rFonts w:ascii="宋体" w:hAnsi="宋体"/>
          <w:bCs/>
          <w:color w:val="auto"/>
          <w:sz w:val="24"/>
          <w:szCs w:val="24"/>
          <w:u w:val="single"/>
        </w:rPr>
        <w:t xml:space="preserve"> 30</w:t>
      </w:r>
      <w:r>
        <w:rPr>
          <w:rFonts w:hint="eastAsia" w:ascii="宋体" w:hAnsi="宋体"/>
          <w:bCs/>
          <w:color w:val="000000"/>
          <w:sz w:val="24"/>
          <w:szCs w:val="24"/>
        </w:rPr>
        <w:t>天（日历日）内；</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、本项目报价以人民币为结算币种，投标单位报价需包括项目过程中使用的专业软件、档案用品、工具、人工等全部费用；</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、投标单位本次投标涉及到的费用由投标单位自理；</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、付款方式为：合同签订后支付合同金额的</w:t>
      </w:r>
      <w:r>
        <w:rPr>
          <w:rFonts w:ascii="宋体" w:hAnsi="宋体"/>
          <w:sz w:val="24"/>
          <w:szCs w:val="24"/>
        </w:rPr>
        <w:t>50%</w:t>
      </w:r>
      <w:r>
        <w:rPr>
          <w:rFonts w:hint="eastAsia" w:ascii="宋体" w:hAnsi="宋体"/>
          <w:sz w:val="24"/>
          <w:szCs w:val="24"/>
        </w:rPr>
        <w:t>；项目完成且满足需求验收合格后，按实际使用数量后支付尾款。</w:t>
      </w:r>
    </w:p>
    <w:p>
      <w:pPr>
        <w:spacing w:line="360" w:lineRule="auto"/>
        <w:rPr>
          <w:rFonts w:ascii="宋体" w:hAnsi="宋体"/>
          <w:sz w:val="24"/>
          <w:szCs w:val="24"/>
        </w:rPr>
      </w:pPr>
      <w:r>
        <w:rPr>
          <w:rFonts w:ascii="宋体" w:hAnsi="宋体"/>
          <w:sz w:val="24"/>
          <w:szCs w:val="24"/>
        </w:rPr>
        <w:t xml:space="preserve">6. </w:t>
      </w:r>
      <w:r>
        <w:rPr>
          <w:rFonts w:hint="eastAsia" w:ascii="宋体" w:hAnsi="宋体"/>
          <w:sz w:val="24"/>
          <w:szCs w:val="24"/>
        </w:rPr>
        <w:t>投标单位需完成本项目的服务内容并提交项目实施相关文档后方可提出验收申请。</w:t>
      </w:r>
    </w:p>
    <w:p>
      <w:pPr>
        <w:spacing w:line="360" w:lineRule="auto"/>
        <w:rPr>
          <w:rFonts w:ascii="宋体" w:hAnsi="宋体"/>
          <w:sz w:val="24"/>
          <w:szCs w:val="24"/>
        </w:rPr>
      </w:pPr>
      <w:r>
        <w:rPr>
          <w:rFonts w:ascii="宋体" w:hAnsi="宋体"/>
          <w:sz w:val="24"/>
          <w:szCs w:val="24"/>
        </w:rPr>
        <w:t xml:space="preserve">7. </w:t>
      </w:r>
      <w:r>
        <w:rPr>
          <w:rFonts w:hint="eastAsia" w:ascii="宋体" w:hAnsi="宋体"/>
          <w:sz w:val="24"/>
          <w:szCs w:val="24"/>
        </w:rPr>
        <w:t>关于验收：</w:t>
      </w:r>
    </w:p>
    <w:p>
      <w:pPr>
        <w:spacing w:line="360" w:lineRule="auto"/>
        <w:rPr>
          <w:rFonts w:ascii="宋体" w:hAnsi="宋体"/>
          <w:sz w:val="24"/>
          <w:szCs w:val="24"/>
        </w:rPr>
      </w:pPr>
      <w:r>
        <w:rPr>
          <w:rFonts w:ascii="宋体" w:hAnsi="宋体"/>
          <w:sz w:val="24"/>
          <w:szCs w:val="24"/>
        </w:rPr>
        <w:t>7.1</w:t>
      </w:r>
      <w:r>
        <w:rPr>
          <w:rFonts w:hint="eastAsia" w:ascii="宋体" w:hAnsi="宋体"/>
          <w:bCs/>
          <w:sz w:val="24"/>
          <w:szCs w:val="24"/>
        </w:rPr>
        <w:t>项目服务经过双方认可后，签署验收报告。</w:t>
      </w:r>
    </w:p>
    <w:p>
      <w:pPr>
        <w:spacing w:line="360" w:lineRule="auto"/>
        <w:rPr>
          <w:rFonts w:ascii="宋体" w:hAnsi="宋体"/>
          <w:bCs/>
          <w:sz w:val="24"/>
          <w:szCs w:val="24"/>
        </w:rPr>
      </w:pPr>
      <w:r>
        <w:rPr>
          <w:rFonts w:hint="eastAsia" w:ascii="宋体" w:hAnsi="宋体"/>
          <w:bCs/>
          <w:sz w:val="24"/>
          <w:szCs w:val="24"/>
        </w:rPr>
        <w:t>当满足以下条件时，采购人才向中标人签发验收报告：</w:t>
      </w:r>
    </w:p>
    <w:p>
      <w:pPr>
        <w:tabs>
          <w:tab w:val="left" w:pos="1260"/>
        </w:tabs>
        <w:spacing w:line="360" w:lineRule="auto"/>
        <w:rPr>
          <w:rFonts w:ascii="宋体" w:hAnsi="宋体"/>
          <w:bCs/>
          <w:sz w:val="24"/>
          <w:szCs w:val="24"/>
        </w:rPr>
      </w:pPr>
      <w:r>
        <w:rPr>
          <w:rFonts w:ascii="宋体" w:hAnsi="宋体"/>
          <w:bCs/>
          <w:sz w:val="24"/>
          <w:szCs w:val="24"/>
        </w:rPr>
        <w:t>a</w:t>
      </w:r>
      <w:r>
        <w:rPr>
          <w:rFonts w:hint="eastAsia" w:ascii="宋体" w:hAnsi="宋体"/>
          <w:bCs/>
          <w:sz w:val="24"/>
          <w:szCs w:val="24"/>
        </w:rPr>
        <w:t>、中标人已按照合同规定提供了全部</w:t>
      </w:r>
      <w:r>
        <w:rPr>
          <w:rFonts w:hint="eastAsia" w:ascii="宋体" w:hAnsi="宋体"/>
          <w:sz w:val="24"/>
          <w:szCs w:val="24"/>
        </w:rPr>
        <w:t>档案服务</w:t>
      </w:r>
      <w:r>
        <w:rPr>
          <w:rFonts w:hint="eastAsia" w:ascii="宋体" w:hAnsi="宋体"/>
          <w:bCs/>
          <w:sz w:val="24"/>
          <w:szCs w:val="24"/>
        </w:rPr>
        <w:t>。</w:t>
      </w:r>
    </w:p>
    <w:p>
      <w:pPr>
        <w:tabs>
          <w:tab w:val="left" w:pos="1260"/>
        </w:tabs>
        <w:spacing w:line="360" w:lineRule="auto"/>
        <w:rPr>
          <w:rFonts w:ascii="宋体" w:hAnsi="宋体"/>
          <w:bCs/>
          <w:sz w:val="24"/>
          <w:szCs w:val="24"/>
        </w:rPr>
      </w:pPr>
      <w:r>
        <w:rPr>
          <w:rFonts w:ascii="宋体" w:hAnsi="宋体"/>
          <w:bCs/>
          <w:sz w:val="24"/>
          <w:szCs w:val="24"/>
        </w:rPr>
        <w:t>b</w:t>
      </w:r>
      <w:r>
        <w:rPr>
          <w:rFonts w:hint="eastAsia" w:ascii="宋体" w:hAnsi="宋体"/>
          <w:bCs/>
          <w:sz w:val="24"/>
          <w:szCs w:val="24"/>
        </w:rPr>
        <w:t>、服务内容符合招标文件的服务项目要求。</w:t>
      </w:r>
    </w:p>
    <w:p>
      <w:pPr>
        <w:tabs>
          <w:tab w:val="left" w:pos="1260"/>
        </w:tabs>
        <w:spacing w:line="360" w:lineRule="auto"/>
        <w:rPr>
          <w:rFonts w:ascii="宋体" w:hAnsi="宋体"/>
          <w:bCs/>
          <w:sz w:val="24"/>
          <w:szCs w:val="24"/>
        </w:rPr>
      </w:pPr>
    </w:p>
    <w:p>
      <w:pPr>
        <w:spacing w:line="360" w:lineRule="auto"/>
        <w:rPr>
          <w:rFonts w:ascii="宋体" w:hAnsi="宋体"/>
          <w:b/>
          <w:sz w:val="28"/>
          <w:szCs w:val="24"/>
        </w:rPr>
      </w:pPr>
      <w:r>
        <w:rPr>
          <w:rFonts w:hint="eastAsia" w:ascii="宋体" w:hAnsi="宋体"/>
          <w:b/>
          <w:sz w:val="28"/>
          <w:szCs w:val="24"/>
        </w:rPr>
        <w:t>D</w:t>
      </w:r>
      <w:r>
        <w:rPr>
          <w:rFonts w:ascii="宋体" w:hAnsi="宋体"/>
          <w:b/>
          <w:sz w:val="28"/>
          <w:szCs w:val="24"/>
        </w:rPr>
        <w:t xml:space="preserve">. </w:t>
      </w:r>
      <w:r>
        <w:rPr>
          <w:rFonts w:hint="eastAsia" w:ascii="宋体" w:hAnsi="宋体"/>
          <w:b/>
          <w:sz w:val="28"/>
          <w:szCs w:val="24"/>
        </w:rPr>
        <w:t>投标文件制作要求：</w:t>
      </w:r>
    </w:p>
    <w:p>
      <w:pPr>
        <w:spacing w:line="360" w:lineRule="auto"/>
        <w:rPr>
          <w:rFonts w:ascii="宋体" w:hAnsi="宋体"/>
          <w:b/>
          <w:sz w:val="24"/>
          <w:szCs w:val="24"/>
        </w:rPr>
      </w:pPr>
      <w:r>
        <w:rPr>
          <w:rFonts w:hint="eastAsia" w:ascii="宋体" w:hAnsi="宋体"/>
          <w:sz w:val="24"/>
          <w:szCs w:val="24"/>
        </w:rPr>
        <w:t>一、报价单位需提供</w:t>
      </w:r>
      <w:r>
        <w:rPr>
          <w:rFonts w:hint="eastAsia" w:ascii="宋体" w:hAnsi="宋体" w:cs="宋体"/>
          <w:color w:val="000000"/>
          <w:kern w:val="0"/>
          <w:sz w:val="24"/>
          <w:szCs w:val="24"/>
          <w:lang w:val="zh-CN"/>
        </w:rPr>
        <w:t>企业法人营业执照</w:t>
      </w:r>
      <w:r>
        <w:rPr>
          <w:rFonts w:hint="eastAsia" w:ascii="宋体" w:hAnsi="宋体"/>
          <w:sz w:val="24"/>
          <w:szCs w:val="24"/>
        </w:rPr>
        <w:t>副本复印件、组织机构代码证复印件、税务登记证复印件、档案整理业务资质（均须加盖单位公章、原件备查）。</w:t>
      </w:r>
    </w:p>
    <w:p>
      <w:pPr>
        <w:spacing w:line="360" w:lineRule="auto"/>
        <w:rPr>
          <w:rFonts w:ascii="宋体" w:hAnsi="宋体"/>
          <w:sz w:val="24"/>
          <w:szCs w:val="24"/>
        </w:rPr>
      </w:pPr>
      <w:r>
        <w:rPr>
          <w:rFonts w:hint="eastAsia" w:ascii="宋体" w:hAnsi="宋体"/>
          <w:sz w:val="24"/>
          <w:szCs w:val="24"/>
        </w:rPr>
        <w:t>二、提供法人代表证明书及身份证复印件正反面。（加盖公章）</w:t>
      </w:r>
    </w:p>
    <w:p>
      <w:pPr>
        <w:spacing w:line="360" w:lineRule="auto"/>
        <w:rPr>
          <w:rFonts w:ascii="宋体" w:hAnsi="宋体"/>
          <w:sz w:val="24"/>
          <w:szCs w:val="24"/>
        </w:rPr>
      </w:pPr>
      <w:r>
        <w:rPr>
          <w:rFonts w:hint="eastAsia" w:ascii="宋体" w:hAnsi="宋体"/>
          <w:sz w:val="24"/>
          <w:szCs w:val="24"/>
        </w:rPr>
        <w:t>三、授权委托书、被授权人身份证原件（验原件）及复印件。（加盖公章）。</w:t>
      </w:r>
    </w:p>
    <w:p>
      <w:pPr>
        <w:spacing w:line="360" w:lineRule="auto"/>
        <w:rPr>
          <w:rFonts w:ascii="宋体" w:hAnsi="宋体"/>
          <w:sz w:val="24"/>
          <w:szCs w:val="24"/>
        </w:rPr>
      </w:pPr>
      <w:r>
        <w:rPr>
          <w:rFonts w:hint="eastAsia" w:ascii="宋体" w:hAnsi="宋体"/>
          <w:sz w:val="24"/>
          <w:szCs w:val="24"/>
        </w:rPr>
        <w:t>四、投标文件还应包括：</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．报价函；（每项单项报价）</w:t>
      </w:r>
    </w:p>
    <w:p>
      <w:pPr>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．报价一览表；</w:t>
      </w:r>
    </w:p>
    <w:p>
      <w:pPr>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．服务承诺书；</w:t>
      </w:r>
    </w:p>
    <w:p>
      <w:pPr>
        <w:spacing w:line="360" w:lineRule="auto"/>
        <w:ind w:firstLine="480"/>
        <w:rPr>
          <w:rFonts w:ascii="宋体" w:hAnsi="宋体"/>
          <w:sz w:val="24"/>
          <w:szCs w:val="24"/>
        </w:rPr>
      </w:pPr>
      <w:r>
        <w:rPr>
          <w:rFonts w:ascii="宋体" w:hAnsi="宋体"/>
          <w:sz w:val="24"/>
          <w:szCs w:val="24"/>
        </w:rPr>
        <w:t xml:space="preserve">4. </w:t>
      </w:r>
      <w:r>
        <w:rPr>
          <w:rFonts w:hint="eastAsia" w:ascii="宋体" w:hAnsi="宋体"/>
          <w:sz w:val="24"/>
          <w:szCs w:val="24"/>
        </w:rPr>
        <w:t>服务要求响应表；</w:t>
      </w:r>
    </w:p>
    <w:p>
      <w:pPr>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．商务要求响应表。</w:t>
      </w:r>
    </w:p>
    <w:p>
      <w:pPr>
        <w:spacing w:line="360" w:lineRule="auto"/>
        <w:rPr>
          <w:rFonts w:ascii="宋体" w:hAnsi="宋体"/>
          <w:sz w:val="24"/>
          <w:szCs w:val="24"/>
        </w:rPr>
      </w:pPr>
      <w:r>
        <w:rPr>
          <w:rFonts w:hint="eastAsia" w:ascii="宋体" w:hAnsi="宋体"/>
          <w:sz w:val="24"/>
          <w:szCs w:val="24"/>
        </w:rPr>
        <w:t>五、投标文件需提供书面的正本</w:t>
      </w:r>
      <w:r>
        <w:rPr>
          <w:rFonts w:hint="eastAsia" w:ascii="宋体" w:hAnsi="宋体"/>
          <w:sz w:val="24"/>
          <w:szCs w:val="24"/>
          <w:lang w:eastAsia="zh-CN"/>
        </w:rPr>
        <w:t>二</w:t>
      </w:r>
      <w:r>
        <w:rPr>
          <w:rFonts w:hint="eastAsia" w:ascii="宋体" w:hAnsi="宋体"/>
          <w:sz w:val="24"/>
          <w:szCs w:val="24"/>
        </w:rPr>
        <w:t>份、副本</w:t>
      </w:r>
      <w:r>
        <w:rPr>
          <w:rFonts w:hint="eastAsia" w:ascii="宋体" w:hAnsi="宋体"/>
          <w:sz w:val="24"/>
          <w:szCs w:val="24"/>
          <w:lang w:eastAsia="zh-CN"/>
        </w:rPr>
        <w:t>二</w:t>
      </w:r>
      <w:r>
        <w:rPr>
          <w:rFonts w:hint="eastAsia" w:ascii="宋体" w:hAnsi="宋体"/>
          <w:sz w:val="24"/>
          <w:szCs w:val="24"/>
        </w:rPr>
        <w:t>份。</w:t>
      </w:r>
    </w:p>
    <w:p>
      <w:pPr>
        <w:spacing w:line="360" w:lineRule="auto"/>
        <w:rPr>
          <w:rFonts w:ascii="宋体" w:hAnsi="宋体"/>
          <w:sz w:val="24"/>
          <w:szCs w:val="24"/>
        </w:rPr>
      </w:pPr>
      <w:r>
        <w:rPr>
          <w:rFonts w:hint="eastAsia" w:ascii="宋体" w:hAnsi="宋体"/>
          <w:sz w:val="24"/>
          <w:szCs w:val="24"/>
        </w:rPr>
        <w:t>六、投标文件需密封并在封面上注明招标编号、投标项目名称、投标人名称、联系人、联系电话。</w:t>
      </w:r>
    </w:p>
    <w:p>
      <w:pPr>
        <w:spacing w:line="360" w:lineRule="auto"/>
        <w:rPr>
          <w:rFonts w:ascii="宋体" w:hAnsi="宋体"/>
          <w:b/>
          <w:sz w:val="24"/>
          <w:szCs w:val="24"/>
        </w:rPr>
      </w:pPr>
    </w:p>
    <w:p>
      <w:pPr>
        <w:spacing w:line="360" w:lineRule="auto"/>
        <w:rPr>
          <w:rFonts w:ascii="宋体" w:hAnsi="宋体"/>
          <w:b/>
          <w:snapToGrid w:val="0"/>
          <w:kern w:val="0"/>
          <w:sz w:val="28"/>
          <w:szCs w:val="24"/>
        </w:rPr>
      </w:pPr>
      <w:r>
        <w:rPr>
          <w:rFonts w:hint="eastAsia" w:ascii="宋体" w:hAnsi="宋体"/>
          <w:b/>
          <w:sz w:val="28"/>
          <w:szCs w:val="24"/>
        </w:rPr>
        <w:t>E</w:t>
      </w:r>
      <w:r>
        <w:rPr>
          <w:rFonts w:ascii="宋体" w:hAnsi="宋体"/>
          <w:b/>
          <w:sz w:val="28"/>
          <w:szCs w:val="24"/>
        </w:rPr>
        <w:t>.</w:t>
      </w:r>
      <w:r>
        <w:rPr>
          <w:rFonts w:hint="eastAsia" w:ascii="宋体" w:hAnsi="宋体"/>
          <w:b/>
          <w:snapToGrid w:val="0"/>
          <w:kern w:val="0"/>
          <w:sz w:val="28"/>
          <w:szCs w:val="24"/>
        </w:rPr>
        <w:t>开标和评标</w:t>
      </w:r>
    </w:p>
    <w:p>
      <w:pPr>
        <w:spacing w:line="360" w:lineRule="auto"/>
        <w:rPr>
          <w:rFonts w:ascii="宋体" w:hAnsi="宋体"/>
          <w:sz w:val="24"/>
          <w:szCs w:val="24"/>
        </w:rPr>
      </w:pPr>
      <w:r>
        <w:rPr>
          <w:rFonts w:hint="eastAsia" w:ascii="宋体" w:hAnsi="宋体"/>
          <w:sz w:val="24"/>
          <w:szCs w:val="24"/>
        </w:rPr>
        <w:t>一、开标</w:t>
      </w:r>
    </w:p>
    <w:p>
      <w:pPr>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开标前由本单位通知投标人在指定时间、指定地点开标；</w:t>
      </w:r>
    </w:p>
    <w:p>
      <w:pPr>
        <w:spacing w:line="360" w:lineRule="auto"/>
        <w:ind w:firstLine="480"/>
        <w:rPr>
          <w:rFonts w:ascii="宋体" w:hAnsi="宋体"/>
          <w:sz w:val="24"/>
          <w:szCs w:val="24"/>
        </w:rPr>
      </w:pPr>
      <w:r>
        <w:rPr>
          <w:rFonts w:ascii="宋体" w:hAnsi="宋体"/>
          <w:sz w:val="24"/>
          <w:szCs w:val="24"/>
        </w:rPr>
        <w:t xml:space="preserve">2. </w:t>
      </w:r>
      <w:r>
        <w:rPr>
          <w:rFonts w:hint="eastAsia" w:ascii="宋体" w:hAnsi="宋体"/>
          <w:sz w:val="24"/>
          <w:szCs w:val="24"/>
        </w:rPr>
        <w:t>所有投标人法人代表或授权代表都须按时参加开标会，否则视为放弃投标。</w:t>
      </w:r>
    </w:p>
    <w:p>
      <w:pPr>
        <w:spacing w:line="360" w:lineRule="auto"/>
        <w:ind w:firstLine="480"/>
        <w:rPr>
          <w:rFonts w:ascii="宋体" w:hAnsi="宋体"/>
          <w:sz w:val="24"/>
          <w:szCs w:val="24"/>
        </w:rPr>
      </w:pPr>
      <w:r>
        <w:rPr>
          <w:rFonts w:ascii="宋体" w:hAnsi="宋体"/>
          <w:sz w:val="24"/>
          <w:szCs w:val="24"/>
        </w:rPr>
        <w:t xml:space="preserve">3. </w:t>
      </w:r>
      <w:r>
        <w:rPr>
          <w:rFonts w:hint="eastAsia" w:ascii="宋体" w:hAnsi="宋体"/>
          <w:sz w:val="24"/>
          <w:szCs w:val="24"/>
        </w:rPr>
        <w:t>开标时，本单位将检查投标文件的密封情况，在确认无误后拆封唱标。</w:t>
      </w:r>
    </w:p>
    <w:p>
      <w:pPr>
        <w:spacing w:line="360" w:lineRule="auto"/>
        <w:rPr>
          <w:rFonts w:ascii="宋体" w:hAnsi="宋体"/>
          <w:sz w:val="24"/>
          <w:szCs w:val="24"/>
        </w:rPr>
      </w:pPr>
      <w:r>
        <w:rPr>
          <w:rFonts w:hint="eastAsia" w:ascii="宋体" w:hAnsi="宋体"/>
          <w:sz w:val="24"/>
          <w:szCs w:val="24"/>
        </w:rPr>
        <w:t>二、评标委员会</w:t>
      </w:r>
    </w:p>
    <w:p>
      <w:pPr>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深圳交响乐团将根据招标采购项目的特点组建评标委员会，评标委员会对投标文件进行审查、质疑、评估和比较。</w:t>
      </w:r>
    </w:p>
    <w:p>
      <w:pPr>
        <w:spacing w:line="360" w:lineRule="auto"/>
        <w:ind w:firstLine="480"/>
        <w:rPr>
          <w:rFonts w:ascii="宋体" w:hAnsi="宋体"/>
          <w:sz w:val="24"/>
          <w:szCs w:val="24"/>
        </w:rPr>
      </w:pPr>
      <w:r>
        <w:rPr>
          <w:rFonts w:ascii="宋体" w:hAnsi="宋体"/>
          <w:sz w:val="24"/>
          <w:szCs w:val="24"/>
        </w:rPr>
        <w:t xml:space="preserve">2. </w:t>
      </w:r>
      <w:r>
        <w:rPr>
          <w:rFonts w:hint="eastAsia" w:ascii="宋体" w:hAnsi="宋体"/>
          <w:sz w:val="24"/>
          <w:szCs w:val="24"/>
        </w:rPr>
        <w:t>评标期间，投标人应由法人代表或其授权代表参加询标。</w:t>
      </w:r>
    </w:p>
    <w:p>
      <w:pPr>
        <w:spacing w:line="360" w:lineRule="auto"/>
        <w:rPr>
          <w:rFonts w:ascii="宋体" w:hAnsi="宋体"/>
          <w:sz w:val="24"/>
          <w:szCs w:val="24"/>
        </w:rPr>
      </w:pPr>
      <w:r>
        <w:rPr>
          <w:rFonts w:hint="eastAsia" w:ascii="宋体" w:hAnsi="宋体"/>
          <w:sz w:val="24"/>
          <w:szCs w:val="24"/>
        </w:rPr>
        <w:t>三、评审方法</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本次招标项目采取综合评分法评标，其中价格分</w:t>
      </w:r>
      <w:r>
        <w:rPr>
          <w:rFonts w:ascii="宋体" w:hAnsi="宋体"/>
          <w:sz w:val="24"/>
          <w:szCs w:val="24"/>
        </w:rPr>
        <w:t>20</w:t>
      </w:r>
      <w:r>
        <w:rPr>
          <w:rFonts w:hint="eastAsia" w:ascii="宋体" w:hAnsi="宋体"/>
          <w:sz w:val="24"/>
          <w:szCs w:val="24"/>
        </w:rPr>
        <w:t>，技术分55，商务分25，总分</w:t>
      </w:r>
      <w:r>
        <w:rPr>
          <w:rFonts w:ascii="宋体" w:hAnsi="宋体"/>
          <w:sz w:val="24"/>
          <w:szCs w:val="24"/>
        </w:rPr>
        <w:t>100</w:t>
      </w:r>
      <w:r>
        <w:rPr>
          <w:rFonts w:hint="eastAsia" w:ascii="宋体" w:hAnsi="宋体"/>
          <w:sz w:val="24"/>
          <w:szCs w:val="24"/>
        </w:rPr>
        <w:t>分。</w:t>
      </w:r>
    </w:p>
    <w:p>
      <w:pPr>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价格分</w:t>
      </w:r>
      <w:r>
        <w:rPr>
          <w:rFonts w:ascii="宋体" w:hAnsi="宋体"/>
          <w:sz w:val="24"/>
          <w:szCs w:val="24"/>
        </w:rPr>
        <w:t>20</w:t>
      </w:r>
    </w:p>
    <w:p>
      <w:pPr>
        <w:spacing w:line="360" w:lineRule="auto"/>
        <w:ind w:firstLine="480"/>
        <w:rPr>
          <w:rFonts w:ascii="宋体" w:hAnsi="宋体"/>
          <w:sz w:val="24"/>
          <w:szCs w:val="24"/>
        </w:rPr>
      </w:pPr>
      <w:r>
        <w:rPr>
          <w:rFonts w:hint="eastAsia" w:ascii="宋体" w:hAnsi="宋体"/>
          <w:sz w:val="24"/>
          <w:szCs w:val="24"/>
        </w:rPr>
        <w:t>得分按以下公式计算：得分</w:t>
      </w:r>
      <w:r>
        <w:rPr>
          <w:rFonts w:ascii="宋体" w:hAnsi="宋体"/>
          <w:sz w:val="24"/>
          <w:szCs w:val="24"/>
        </w:rPr>
        <w:t>=Z/ Sn</w:t>
      </w:r>
      <w:r>
        <w:rPr>
          <w:rFonts w:hint="eastAsia" w:ascii="宋体" w:hAnsi="宋体"/>
          <w:sz w:val="24"/>
          <w:szCs w:val="24"/>
        </w:rPr>
        <w:t>×2</w:t>
      </w:r>
      <w:r>
        <w:rPr>
          <w:rFonts w:ascii="宋体" w:hAnsi="宋体"/>
          <w:sz w:val="24"/>
          <w:szCs w:val="24"/>
        </w:rPr>
        <w:t>0</w:t>
      </w:r>
    </w:p>
    <w:p>
      <w:pPr>
        <w:spacing w:line="360" w:lineRule="auto"/>
        <w:ind w:firstLine="480"/>
        <w:rPr>
          <w:rFonts w:ascii="宋体" w:hAnsi="宋体"/>
          <w:sz w:val="24"/>
          <w:szCs w:val="24"/>
        </w:rPr>
      </w:pPr>
      <w:r>
        <w:rPr>
          <w:rFonts w:hint="eastAsia" w:ascii="宋体" w:hAnsi="宋体"/>
          <w:sz w:val="24"/>
          <w:szCs w:val="24"/>
        </w:rPr>
        <w:t>其中：</w:t>
      </w:r>
      <w:r>
        <w:rPr>
          <w:rFonts w:ascii="宋体" w:hAnsi="宋体"/>
          <w:sz w:val="24"/>
          <w:szCs w:val="24"/>
        </w:rPr>
        <w:t xml:space="preserve"> Z ----</w:t>
      </w:r>
      <w:r>
        <w:rPr>
          <w:rFonts w:hint="eastAsia" w:ascii="宋体" w:hAnsi="宋体"/>
          <w:sz w:val="24"/>
          <w:szCs w:val="24"/>
        </w:rPr>
        <w:t>通过资格性审查和符合性审查的最低投标报价。</w:t>
      </w:r>
    </w:p>
    <w:p>
      <w:pPr>
        <w:spacing w:line="360" w:lineRule="auto"/>
        <w:ind w:firstLine="1320" w:firstLineChars="550"/>
        <w:rPr>
          <w:rFonts w:ascii="宋体" w:hAnsi="宋体"/>
          <w:sz w:val="24"/>
          <w:szCs w:val="24"/>
        </w:rPr>
      </w:pPr>
      <w:r>
        <w:rPr>
          <w:rFonts w:ascii="宋体" w:hAnsi="宋体"/>
          <w:sz w:val="24"/>
          <w:szCs w:val="24"/>
        </w:rPr>
        <w:t>Sn ----</w:t>
      </w:r>
      <w:r>
        <w:rPr>
          <w:rFonts w:hint="eastAsia" w:ascii="宋体" w:hAnsi="宋体"/>
          <w:sz w:val="24"/>
          <w:szCs w:val="24"/>
        </w:rPr>
        <w:t>通过资格性审查和符合性审查的投标报价。</w:t>
      </w:r>
    </w:p>
    <w:p>
      <w:pPr>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服务要求分5</w:t>
      </w:r>
      <w:r>
        <w:rPr>
          <w:rFonts w:ascii="宋体" w:hAnsi="宋体"/>
          <w:sz w:val="24"/>
          <w:szCs w:val="24"/>
        </w:rPr>
        <w:t>5</w:t>
      </w:r>
    </w:p>
    <w:p>
      <w:pPr>
        <w:spacing w:line="360" w:lineRule="auto"/>
        <w:ind w:firstLine="480"/>
        <w:rPr>
          <w:rFonts w:ascii="宋体" w:hAnsi="宋体"/>
          <w:sz w:val="24"/>
          <w:szCs w:val="24"/>
        </w:rPr>
      </w:pPr>
      <w:r>
        <w:rPr>
          <w:rFonts w:hint="eastAsia" w:ascii="宋体" w:hAnsi="宋体"/>
          <w:sz w:val="24"/>
          <w:szCs w:val="24"/>
        </w:rPr>
        <w:t>评标专家根据项目特点现场协商制定统一评分标准后打分，总分不超过</w:t>
      </w:r>
      <w:r>
        <w:rPr>
          <w:rFonts w:ascii="宋体" w:hAnsi="宋体"/>
          <w:sz w:val="24"/>
          <w:szCs w:val="24"/>
        </w:rPr>
        <w:t>5</w:t>
      </w:r>
      <w:r>
        <w:rPr>
          <w:rFonts w:hint="eastAsia" w:ascii="宋体" w:hAnsi="宋体"/>
          <w:sz w:val="24"/>
          <w:szCs w:val="24"/>
        </w:rPr>
        <w:t>5分。</w:t>
      </w:r>
    </w:p>
    <w:p>
      <w:pPr>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商务分25</w:t>
      </w:r>
    </w:p>
    <w:p>
      <w:pPr>
        <w:spacing w:line="360" w:lineRule="auto"/>
        <w:ind w:firstLine="480"/>
        <w:rPr>
          <w:rFonts w:ascii="宋体" w:hAnsi="宋体"/>
          <w:sz w:val="24"/>
          <w:szCs w:val="24"/>
        </w:rPr>
      </w:pPr>
      <w:r>
        <w:rPr>
          <w:rFonts w:hint="eastAsia" w:ascii="宋体" w:hAnsi="宋体"/>
          <w:sz w:val="24"/>
          <w:szCs w:val="24"/>
        </w:rPr>
        <w:t>评标专家根据项目特点现场协商制定统一评分标准后打分，总分不超过</w:t>
      </w:r>
      <w:r>
        <w:rPr>
          <w:rFonts w:ascii="宋体" w:hAnsi="宋体"/>
          <w:sz w:val="24"/>
          <w:szCs w:val="24"/>
        </w:rPr>
        <w:t>2</w:t>
      </w:r>
      <w:r>
        <w:rPr>
          <w:rFonts w:hint="eastAsia" w:ascii="宋体" w:hAnsi="宋体"/>
          <w:sz w:val="24"/>
          <w:szCs w:val="24"/>
        </w:rPr>
        <w:t>5分。</w:t>
      </w:r>
    </w:p>
    <w:p>
      <w:pPr>
        <w:spacing w:line="360" w:lineRule="auto"/>
        <w:ind w:firstLine="480"/>
        <w:rPr>
          <w:rFonts w:ascii="宋体" w:hAnsi="宋体"/>
          <w:sz w:val="24"/>
          <w:szCs w:val="24"/>
        </w:rPr>
      </w:pPr>
      <w:r>
        <w:rPr>
          <w:rFonts w:ascii="宋体" w:hAnsi="宋体"/>
          <w:sz w:val="24"/>
          <w:szCs w:val="24"/>
        </w:rPr>
        <w:t xml:space="preserve">2. </w:t>
      </w:r>
      <w:r>
        <w:rPr>
          <w:rFonts w:hint="eastAsia" w:ascii="宋体" w:hAnsi="宋体"/>
          <w:sz w:val="24"/>
          <w:szCs w:val="24"/>
        </w:rPr>
        <w:t>评委会将按照招标文件规定的各项因素对各投标文件进行量化打分并加权汇总，然后对每个投标人的总得分去掉一个最高分和一个最低分后，取算术平均值确定其评标总得分，评标总得分最高者为中标人，并作出评标结论。若得分相同的，按投标报价由低到高顺序排列；得分且投标报价相同的，按技术服务优劣顺序排列。</w:t>
      </w:r>
    </w:p>
    <w:p>
      <w:pPr>
        <w:spacing w:line="360" w:lineRule="auto"/>
        <w:rPr>
          <w:rFonts w:ascii="宋体" w:hAnsi="宋体"/>
          <w:sz w:val="24"/>
          <w:szCs w:val="24"/>
        </w:rPr>
      </w:pPr>
      <w:r>
        <w:rPr>
          <w:rFonts w:hint="eastAsia" w:ascii="宋体" w:hAnsi="宋体"/>
          <w:sz w:val="24"/>
          <w:szCs w:val="24"/>
        </w:rPr>
        <w:t>四、保密及其它注意事项</w:t>
      </w:r>
    </w:p>
    <w:p>
      <w:pPr>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评标是招标工作的重要环节，评标工作在评委会内独立进行。评委会将遵照评标原则，公正、平等地对待所有投标人。</w:t>
      </w:r>
    </w:p>
    <w:p>
      <w:pPr>
        <w:spacing w:line="360" w:lineRule="auto"/>
        <w:ind w:firstLine="480"/>
        <w:rPr>
          <w:rFonts w:ascii="宋体" w:hAnsi="宋体"/>
          <w:sz w:val="24"/>
          <w:szCs w:val="24"/>
        </w:rPr>
      </w:pPr>
      <w:r>
        <w:rPr>
          <w:rFonts w:ascii="宋体" w:hAnsi="宋体"/>
          <w:sz w:val="24"/>
          <w:szCs w:val="24"/>
        </w:rPr>
        <w:t xml:space="preserve">2. </w:t>
      </w:r>
      <w:r>
        <w:rPr>
          <w:rFonts w:hint="eastAsia" w:ascii="宋体" w:hAnsi="宋体"/>
          <w:sz w:val="24"/>
          <w:szCs w:val="24"/>
        </w:rPr>
        <w:t>评标期间，评委会将对投标文件中有关问题分别向投标人进行询问。各投标人应予以认真答复。重要或复杂问题的答复需以书面形式，并经法定代表人或授权人签署。澄清文件将作为投标文件的组成部份。</w:t>
      </w:r>
    </w:p>
    <w:p>
      <w:pPr>
        <w:spacing w:line="360" w:lineRule="auto"/>
        <w:ind w:firstLine="480"/>
        <w:rPr>
          <w:rFonts w:ascii="宋体" w:hAnsi="宋体"/>
          <w:sz w:val="24"/>
          <w:szCs w:val="24"/>
        </w:rPr>
      </w:pPr>
      <w:r>
        <w:rPr>
          <w:rFonts w:ascii="宋体" w:hAnsi="宋体"/>
          <w:sz w:val="24"/>
          <w:szCs w:val="24"/>
        </w:rPr>
        <w:t xml:space="preserve">3. </w:t>
      </w:r>
      <w:r>
        <w:rPr>
          <w:rFonts w:hint="eastAsia" w:ascii="宋体" w:hAnsi="宋体"/>
          <w:sz w:val="24"/>
          <w:szCs w:val="24"/>
        </w:rPr>
        <w:t>在开标、投标期间，投标人不得向评委询问评标情况，不得进行旨在影响评标结果的活动。</w:t>
      </w:r>
    </w:p>
    <w:p>
      <w:pPr>
        <w:spacing w:line="360" w:lineRule="auto"/>
        <w:ind w:firstLine="480"/>
        <w:rPr>
          <w:rFonts w:ascii="宋体" w:hAnsi="宋体"/>
          <w:sz w:val="24"/>
          <w:szCs w:val="24"/>
        </w:rPr>
      </w:pPr>
      <w:r>
        <w:rPr>
          <w:rFonts w:ascii="宋体" w:hAnsi="宋体"/>
          <w:sz w:val="24"/>
          <w:szCs w:val="24"/>
        </w:rPr>
        <w:t xml:space="preserve">4. </w:t>
      </w:r>
      <w:r>
        <w:rPr>
          <w:rFonts w:hint="eastAsia" w:ascii="宋体" w:hAnsi="宋体"/>
          <w:sz w:val="24"/>
          <w:szCs w:val="24"/>
        </w:rPr>
        <w:t>为保证定标的公正性，在评标过程中，评委不得与投标人私下交换意见。在招标工作结束后，凡与评标情况有接触的任何人，不得也不应将评标情况扩散出评委人员之外。</w:t>
      </w:r>
    </w:p>
    <w:p>
      <w:pPr>
        <w:spacing w:line="360" w:lineRule="auto"/>
        <w:ind w:firstLine="480"/>
        <w:rPr>
          <w:rFonts w:ascii="宋体" w:hAnsi="宋体"/>
          <w:sz w:val="24"/>
          <w:szCs w:val="24"/>
        </w:rPr>
      </w:pPr>
      <w:r>
        <w:rPr>
          <w:rFonts w:ascii="宋体" w:hAnsi="宋体"/>
          <w:sz w:val="24"/>
          <w:szCs w:val="24"/>
        </w:rPr>
        <w:t xml:space="preserve">5. </w:t>
      </w:r>
      <w:r>
        <w:rPr>
          <w:rFonts w:hint="eastAsia" w:ascii="宋体" w:hAnsi="宋体"/>
          <w:sz w:val="24"/>
          <w:szCs w:val="24"/>
        </w:rPr>
        <w:t>评委会不向落标方解释落标原因，不退还投标文件。</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A63F9"/>
    <w:multiLevelType w:val="singleLevel"/>
    <w:tmpl w:val="DC3A63F9"/>
    <w:lvl w:ilvl="0" w:tentative="0">
      <w:start w:val="1"/>
      <w:numFmt w:val="decimal"/>
      <w:suff w:val="space"/>
      <w:lvlText w:val="%1."/>
      <w:lvlJc w:val="left"/>
    </w:lvl>
  </w:abstractNum>
  <w:abstractNum w:abstractNumId="1">
    <w:nsid w:val="1BE5EFCC"/>
    <w:multiLevelType w:val="singleLevel"/>
    <w:tmpl w:val="1BE5EFCC"/>
    <w:lvl w:ilvl="0" w:tentative="0">
      <w:start w:val="5"/>
      <w:numFmt w:val="decimal"/>
      <w:suff w:val="space"/>
      <w:lvlText w:val="%1."/>
      <w:lvlJc w:val="left"/>
    </w:lvl>
  </w:abstractNum>
  <w:abstractNum w:abstractNumId="2">
    <w:nsid w:val="450B033E"/>
    <w:multiLevelType w:val="multilevel"/>
    <w:tmpl w:val="450B033E"/>
    <w:lvl w:ilvl="0" w:tentative="0">
      <w:start w:val="1"/>
      <w:numFmt w:val="upperLetter"/>
      <w:lvlText w:val="%1．"/>
      <w:lvlJc w:val="left"/>
      <w:pPr>
        <w:ind w:left="465" w:hanging="465"/>
      </w:pPr>
      <w:rPr>
        <w:rFonts w:hint="default" w:ascii="宋体" w:hAnsi="宋体" w:eastAsia="宋体" w:cs="Times New Roman"/>
        <w:sz w:val="28"/>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0007397D"/>
    <w:rsid w:val="00011456"/>
    <w:rsid w:val="00011AB8"/>
    <w:rsid w:val="000302B3"/>
    <w:rsid w:val="000649D4"/>
    <w:rsid w:val="00070B74"/>
    <w:rsid w:val="0007397D"/>
    <w:rsid w:val="000929D8"/>
    <w:rsid w:val="000A419E"/>
    <w:rsid w:val="000B53E0"/>
    <w:rsid w:val="000E5D71"/>
    <w:rsid w:val="000E6619"/>
    <w:rsid w:val="000F00CC"/>
    <w:rsid w:val="000F3ED7"/>
    <w:rsid w:val="001021B9"/>
    <w:rsid w:val="001059DF"/>
    <w:rsid w:val="00123F63"/>
    <w:rsid w:val="00125185"/>
    <w:rsid w:val="0013313F"/>
    <w:rsid w:val="00162096"/>
    <w:rsid w:val="0016440D"/>
    <w:rsid w:val="001A0033"/>
    <w:rsid w:val="001B3E4A"/>
    <w:rsid w:val="001B4A5B"/>
    <w:rsid w:val="001B7C9D"/>
    <w:rsid w:val="001C5866"/>
    <w:rsid w:val="001C6B00"/>
    <w:rsid w:val="001D0451"/>
    <w:rsid w:val="001D2300"/>
    <w:rsid w:val="001D6314"/>
    <w:rsid w:val="001E060F"/>
    <w:rsid w:val="001E55DF"/>
    <w:rsid w:val="001E7583"/>
    <w:rsid w:val="0021099E"/>
    <w:rsid w:val="0021220E"/>
    <w:rsid w:val="00230C9F"/>
    <w:rsid w:val="002337A4"/>
    <w:rsid w:val="0027204F"/>
    <w:rsid w:val="002844CF"/>
    <w:rsid w:val="00291218"/>
    <w:rsid w:val="00294039"/>
    <w:rsid w:val="002A6E8F"/>
    <w:rsid w:val="002C12B8"/>
    <w:rsid w:val="002C5D9D"/>
    <w:rsid w:val="002D211B"/>
    <w:rsid w:val="002E7078"/>
    <w:rsid w:val="002F4661"/>
    <w:rsid w:val="002F57C6"/>
    <w:rsid w:val="003015A6"/>
    <w:rsid w:val="003024BC"/>
    <w:rsid w:val="003315EB"/>
    <w:rsid w:val="00341599"/>
    <w:rsid w:val="003476D4"/>
    <w:rsid w:val="00360A67"/>
    <w:rsid w:val="00375BAE"/>
    <w:rsid w:val="00380275"/>
    <w:rsid w:val="0038564C"/>
    <w:rsid w:val="003A74FB"/>
    <w:rsid w:val="003B53A9"/>
    <w:rsid w:val="003C2DE9"/>
    <w:rsid w:val="003E055D"/>
    <w:rsid w:val="003E524B"/>
    <w:rsid w:val="00411112"/>
    <w:rsid w:val="00412899"/>
    <w:rsid w:val="004220C3"/>
    <w:rsid w:val="00422C87"/>
    <w:rsid w:val="00422FC5"/>
    <w:rsid w:val="00425DC8"/>
    <w:rsid w:val="00430018"/>
    <w:rsid w:val="00440206"/>
    <w:rsid w:val="0044067E"/>
    <w:rsid w:val="0044429A"/>
    <w:rsid w:val="00460893"/>
    <w:rsid w:val="00461D6B"/>
    <w:rsid w:val="004767BE"/>
    <w:rsid w:val="004879C7"/>
    <w:rsid w:val="004A1559"/>
    <w:rsid w:val="004A4179"/>
    <w:rsid w:val="004B262C"/>
    <w:rsid w:val="004D27BD"/>
    <w:rsid w:val="004E5A48"/>
    <w:rsid w:val="004E74B0"/>
    <w:rsid w:val="005159D3"/>
    <w:rsid w:val="00521AFB"/>
    <w:rsid w:val="00526BA2"/>
    <w:rsid w:val="00564D30"/>
    <w:rsid w:val="00567BD4"/>
    <w:rsid w:val="00587D72"/>
    <w:rsid w:val="005904C8"/>
    <w:rsid w:val="00591F5F"/>
    <w:rsid w:val="005B093C"/>
    <w:rsid w:val="005B138C"/>
    <w:rsid w:val="005B1633"/>
    <w:rsid w:val="005B24BB"/>
    <w:rsid w:val="005D2964"/>
    <w:rsid w:val="005D4D17"/>
    <w:rsid w:val="005D5A09"/>
    <w:rsid w:val="005D6D41"/>
    <w:rsid w:val="005E23DE"/>
    <w:rsid w:val="005E28FA"/>
    <w:rsid w:val="005F7BC3"/>
    <w:rsid w:val="00607047"/>
    <w:rsid w:val="00613631"/>
    <w:rsid w:val="00614A62"/>
    <w:rsid w:val="006173F3"/>
    <w:rsid w:val="00626CBC"/>
    <w:rsid w:val="00642EAB"/>
    <w:rsid w:val="0064447E"/>
    <w:rsid w:val="006733F5"/>
    <w:rsid w:val="00673449"/>
    <w:rsid w:val="00687328"/>
    <w:rsid w:val="00696CF2"/>
    <w:rsid w:val="00697AD5"/>
    <w:rsid w:val="006A7A3B"/>
    <w:rsid w:val="006B2D39"/>
    <w:rsid w:val="00730DC3"/>
    <w:rsid w:val="00731F18"/>
    <w:rsid w:val="0074611B"/>
    <w:rsid w:val="0075059A"/>
    <w:rsid w:val="00763174"/>
    <w:rsid w:val="00774FD2"/>
    <w:rsid w:val="0078069F"/>
    <w:rsid w:val="007929C9"/>
    <w:rsid w:val="007A0C81"/>
    <w:rsid w:val="007D429D"/>
    <w:rsid w:val="007D4377"/>
    <w:rsid w:val="007D651A"/>
    <w:rsid w:val="007E2F22"/>
    <w:rsid w:val="00842DE6"/>
    <w:rsid w:val="00857899"/>
    <w:rsid w:val="00871E46"/>
    <w:rsid w:val="00874CD1"/>
    <w:rsid w:val="00875C2D"/>
    <w:rsid w:val="0088129A"/>
    <w:rsid w:val="00881B1C"/>
    <w:rsid w:val="00882F7D"/>
    <w:rsid w:val="008A13E9"/>
    <w:rsid w:val="008B4063"/>
    <w:rsid w:val="008C3A1A"/>
    <w:rsid w:val="009035B0"/>
    <w:rsid w:val="00906844"/>
    <w:rsid w:val="00916BF7"/>
    <w:rsid w:val="0092027B"/>
    <w:rsid w:val="009232FD"/>
    <w:rsid w:val="00983CF9"/>
    <w:rsid w:val="00994FEB"/>
    <w:rsid w:val="009976E8"/>
    <w:rsid w:val="009A0BBA"/>
    <w:rsid w:val="009B4EE2"/>
    <w:rsid w:val="009D13C6"/>
    <w:rsid w:val="009D6939"/>
    <w:rsid w:val="009E0166"/>
    <w:rsid w:val="009E7580"/>
    <w:rsid w:val="009F2DBA"/>
    <w:rsid w:val="00A01F68"/>
    <w:rsid w:val="00A0251B"/>
    <w:rsid w:val="00A0534A"/>
    <w:rsid w:val="00A2126D"/>
    <w:rsid w:val="00A218BA"/>
    <w:rsid w:val="00A21FE5"/>
    <w:rsid w:val="00A31ACB"/>
    <w:rsid w:val="00A6028D"/>
    <w:rsid w:val="00A653D9"/>
    <w:rsid w:val="00A82ED5"/>
    <w:rsid w:val="00AD3FC1"/>
    <w:rsid w:val="00AE3EB2"/>
    <w:rsid w:val="00AE4BD3"/>
    <w:rsid w:val="00AE5197"/>
    <w:rsid w:val="00AE64DA"/>
    <w:rsid w:val="00B061FE"/>
    <w:rsid w:val="00B35B2B"/>
    <w:rsid w:val="00B368E9"/>
    <w:rsid w:val="00B56634"/>
    <w:rsid w:val="00B65081"/>
    <w:rsid w:val="00B7058F"/>
    <w:rsid w:val="00B74FFD"/>
    <w:rsid w:val="00B91885"/>
    <w:rsid w:val="00BA0A3B"/>
    <w:rsid w:val="00BA5E6B"/>
    <w:rsid w:val="00BA7E78"/>
    <w:rsid w:val="00BB538F"/>
    <w:rsid w:val="00BC63B1"/>
    <w:rsid w:val="00BF0979"/>
    <w:rsid w:val="00BF4D7E"/>
    <w:rsid w:val="00C03DCA"/>
    <w:rsid w:val="00C049AF"/>
    <w:rsid w:val="00C21E60"/>
    <w:rsid w:val="00C6152B"/>
    <w:rsid w:val="00C6190E"/>
    <w:rsid w:val="00C640DF"/>
    <w:rsid w:val="00C71ED4"/>
    <w:rsid w:val="00C72361"/>
    <w:rsid w:val="00C72D20"/>
    <w:rsid w:val="00C92206"/>
    <w:rsid w:val="00C9468E"/>
    <w:rsid w:val="00CA438A"/>
    <w:rsid w:val="00CB379A"/>
    <w:rsid w:val="00CB6DF1"/>
    <w:rsid w:val="00CD20B8"/>
    <w:rsid w:val="00CD5EAC"/>
    <w:rsid w:val="00D00C01"/>
    <w:rsid w:val="00D02CC0"/>
    <w:rsid w:val="00D068CC"/>
    <w:rsid w:val="00D07F04"/>
    <w:rsid w:val="00D11AEF"/>
    <w:rsid w:val="00D166CE"/>
    <w:rsid w:val="00D31B73"/>
    <w:rsid w:val="00D42786"/>
    <w:rsid w:val="00D46733"/>
    <w:rsid w:val="00D57B44"/>
    <w:rsid w:val="00D66473"/>
    <w:rsid w:val="00D719A9"/>
    <w:rsid w:val="00D75B3A"/>
    <w:rsid w:val="00D75FD4"/>
    <w:rsid w:val="00D768AA"/>
    <w:rsid w:val="00D85903"/>
    <w:rsid w:val="00D95A98"/>
    <w:rsid w:val="00DA4C37"/>
    <w:rsid w:val="00DB3581"/>
    <w:rsid w:val="00DB4943"/>
    <w:rsid w:val="00DF0181"/>
    <w:rsid w:val="00DF5356"/>
    <w:rsid w:val="00E15C13"/>
    <w:rsid w:val="00E17A0E"/>
    <w:rsid w:val="00E3492F"/>
    <w:rsid w:val="00E40E36"/>
    <w:rsid w:val="00E47835"/>
    <w:rsid w:val="00E5267D"/>
    <w:rsid w:val="00E52924"/>
    <w:rsid w:val="00E52BFC"/>
    <w:rsid w:val="00E64DA5"/>
    <w:rsid w:val="00E74EB6"/>
    <w:rsid w:val="00E7742F"/>
    <w:rsid w:val="00EA09C9"/>
    <w:rsid w:val="00EB563B"/>
    <w:rsid w:val="00EF77B1"/>
    <w:rsid w:val="00F17195"/>
    <w:rsid w:val="00F577B3"/>
    <w:rsid w:val="00F73A7D"/>
    <w:rsid w:val="00F75E2D"/>
    <w:rsid w:val="00F83A04"/>
    <w:rsid w:val="00F83FD2"/>
    <w:rsid w:val="00F87CA8"/>
    <w:rsid w:val="00F97C88"/>
    <w:rsid w:val="00FD078A"/>
    <w:rsid w:val="00FE1404"/>
    <w:rsid w:val="00FE66DD"/>
    <w:rsid w:val="00FE7B45"/>
    <w:rsid w:val="00FF552B"/>
    <w:rsid w:val="055C5A8D"/>
    <w:rsid w:val="112D591E"/>
    <w:rsid w:val="17657DFF"/>
    <w:rsid w:val="223B1EFD"/>
    <w:rsid w:val="243704F9"/>
    <w:rsid w:val="313E6CEB"/>
    <w:rsid w:val="3B8F5AD0"/>
    <w:rsid w:val="3F0C5DE4"/>
    <w:rsid w:val="429A2AA4"/>
    <w:rsid w:val="467A7786"/>
    <w:rsid w:val="4BAE4897"/>
    <w:rsid w:val="4D93778D"/>
    <w:rsid w:val="4E7C6DC9"/>
    <w:rsid w:val="5BC802F6"/>
    <w:rsid w:val="60B87FC8"/>
    <w:rsid w:val="668551D0"/>
    <w:rsid w:val="6EF1103E"/>
    <w:rsid w:val="7434659E"/>
    <w:rsid w:val="7C737903"/>
    <w:rsid w:val="7D357C93"/>
    <w:rsid w:val="7F1B0207"/>
    <w:rsid w:val="7F3A59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rFonts w:cs="Times New Roman"/>
      <w:color w:val="0000FF"/>
      <w:u w:val="single"/>
    </w:rPr>
  </w:style>
  <w:style w:type="character" w:styleId="11">
    <w:name w:val="annotation reference"/>
    <w:semiHidden/>
    <w:unhideWhenUsed/>
    <w:qFormat/>
    <w:uiPriority w:val="99"/>
    <w:rPr>
      <w:sz w:val="21"/>
      <w:szCs w:val="21"/>
    </w:rPr>
  </w:style>
  <w:style w:type="character" w:customStyle="1" w:styleId="12">
    <w:name w:val="页眉 Char"/>
    <w:link w:val="5"/>
    <w:semiHidden/>
    <w:qFormat/>
    <w:locked/>
    <w:uiPriority w:val="99"/>
    <w:rPr>
      <w:rFonts w:cs="Times New Roman"/>
      <w:sz w:val="18"/>
      <w:szCs w:val="18"/>
    </w:rPr>
  </w:style>
  <w:style w:type="character" w:customStyle="1" w:styleId="13">
    <w:name w:val="页脚 Char"/>
    <w:link w:val="4"/>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批注文字 Char"/>
    <w:link w:val="2"/>
    <w:semiHidden/>
    <w:qFormat/>
    <w:uiPriority w:val="99"/>
    <w:rPr>
      <w:rFonts w:ascii="Calibri" w:hAnsi="Calibri" w:eastAsia="宋体" w:cs="Times New Roman"/>
    </w:rPr>
  </w:style>
  <w:style w:type="character" w:customStyle="1" w:styleId="16">
    <w:name w:val="批注框文本 Char"/>
    <w:link w:val="3"/>
    <w:semiHidden/>
    <w:qFormat/>
    <w:uiPriority w:val="99"/>
    <w:rPr>
      <w:sz w:val="18"/>
      <w:szCs w:val="18"/>
    </w:rPr>
  </w:style>
  <w:style w:type="character" w:customStyle="1" w:styleId="17">
    <w:name w:val="批注主题 Char"/>
    <w:link w:val="6"/>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AEE6D5-3E91-4631-97AD-3C46F050AC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4054</Words>
  <Characters>4260</Characters>
  <Lines>25</Lines>
  <Paragraphs>7</Paragraphs>
  <TotalTime>5</TotalTime>
  <ScaleCrop>false</ScaleCrop>
  <LinksUpToDate>false</LinksUpToDate>
  <CharactersWithSpaces>4384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2017-05-22T01:02:00Z</dcterms:created>
  <dc:creator>雨林木风</dc:creator>
  <cp:lastModifiedBy>小容</cp:lastModifiedBy>
  <cp:lastPrinted>2017-05-22T03:36:00Z</cp:lastPrinted>
  <dcterms:modified xsi:type="dcterms:W3CDTF">2023-05-25T02:28:24Z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136EF48D078744D7A6FFCA8E774C4D93</vt:lpwstr>
  </property>
</Properties>
</file>