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kern w:val="0"/>
          <w:sz w:val="44"/>
          <w:szCs w:val="44"/>
        </w:rPr>
      </w:pPr>
      <w:r>
        <w:rPr>
          <w:rFonts w:hint="eastAsia" w:ascii="仿宋" w:hAnsi="仿宋" w:eastAsia="仿宋" w:cs="仿宋"/>
          <w:b/>
          <w:kern w:val="0"/>
          <w:sz w:val="44"/>
          <w:szCs w:val="44"/>
        </w:rPr>
        <w:t>深圳市广播电视技术中心</w:t>
      </w:r>
    </w:p>
    <w:p>
      <w:pPr>
        <w:jc w:val="center"/>
        <w:rPr>
          <w:rFonts w:ascii="仿宋" w:hAnsi="仿宋" w:eastAsia="仿宋" w:cs="仿宋"/>
          <w:b/>
          <w:kern w:val="0"/>
          <w:sz w:val="44"/>
          <w:szCs w:val="44"/>
        </w:rPr>
      </w:pPr>
      <w:r>
        <w:rPr>
          <w:rFonts w:hint="eastAsia" w:ascii="仿宋" w:hAnsi="仿宋" w:eastAsia="仿宋" w:cs="仿宋"/>
          <w:b/>
          <w:kern w:val="0"/>
          <w:sz w:val="44"/>
          <w:szCs w:val="44"/>
        </w:rPr>
        <w:t>技术中心配套建筑设施维护工程项目招标文件</w:t>
      </w:r>
    </w:p>
    <w:p>
      <w:pPr>
        <w:jc w:val="center"/>
        <w:rPr>
          <w:rFonts w:ascii="仿宋" w:hAnsi="仿宋" w:eastAsia="仿宋" w:cs="仿宋"/>
          <w:b/>
          <w:kern w:val="0"/>
          <w:sz w:val="28"/>
          <w:szCs w:val="28"/>
        </w:rPr>
      </w:pPr>
    </w:p>
    <w:p>
      <w:pPr>
        <w:jc w:val="center"/>
        <w:rPr>
          <w:rFonts w:ascii="仿宋" w:hAnsi="仿宋" w:eastAsia="仿宋" w:cs="仿宋"/>
          <w:sz w:val="28"/>
          <w:szCs w:val="28"/>
        </w:rPr>
      </w:pPr>
      <w:r>
        <w:rPr>
          <w:rFonts w:hint="eastAsia" w:ascii="仿宋" w:hAnsi="仿宋" w:eastAsia="仿宋" w:cs="仿宋"/>
          <w:b/>
          <w:kern w:val="0"/>
          <w:sz w:val="28"/>
          <w:szCs w:val="28"/>
        </w:rPr>
        <w:t xml:space="preserve"> 第一部分   投标须知</w:t>
      </w:r>
    </w:p>
    <w:p>
      <w:pPr>
        <w:tabs>
          <w:tab w:val="left" w:pos="7740"/>
        </w:tabs>
        <w:autoSpaceDE w:val="0"/>
        <w:autoSpaceDN w:val="0"/>
        <w:adjustRightInd w:val="0"/>
        <w:snapToGrid w:val="0"/>
        <w:spacing w:line="360" w:lineRule="auto"/>
        <w:ind w:firstLine="560" w:firstLineChars="200"/>
        <w:rPr>
          <w:rFonts w:ascii="仿宋" w:hAnsi="仿宋" w:eastAsia="仿宋" w:cs="仿宋"/>
          <w:sz w:val="28"/>
          <w:szCs w:val="28"/>
        </w:rPr>
      </w:pPr>
    </w:p>
    <w:p>
      <w:pPr>
        <w:tabs>
          <w:tab w:val="left" w:pos="7740"/>
        </w:tabs>
        <w:autoSpaceDE w:val="0"/>
        <w:autoSpaceDN w:val="0"/>
        <w:adjustRightInd w:val="0"/>
        <w:snapToGrid w:val="0"/>
        <w:spacing w:line="360" w:lineRule="auto"/>
        <w:ind w:firstLine="560" w:firstLineChars="200"/>
        <w:rPr>
          <w:rFonts w:ascii="仿宋" w:hAnsi="仿宋" w:eastAsia="仿宋" w:cs="仿宋"/>
          <w:b/>
          <w:sz w:val="28"/>
          <w:szCs w:val="28"/>
        </w:rPr>
      </w:pPr>
      <w:r>
        <w:rPr>
          <w:rFonts w:hint="eastAsia" w:ascii="仿宋" w:hAnsi="仿宋" w:eastAsia="仿宋" w:cs="仿宋"/>
          <w:sz w:val="28"/>
          <w:szCs w:val="28"/>
        </w:rPr>
        <w:t>一</w:t>
      </w:r>
      <w:r>
        <w:rPr>
          <w:rFonts w:hint="eastAsia" w:ascii="仿宋" w:hAnsi="仿宋" w:eastAsia="仿宋" w:cs="仿宋"/>
          <w:sz w:val="28"/>
          <w:szCs w:val="28"/>
          <w:lang w:val="zh-CN"/>
        </w:rPr>
        <w:t>、</w:t>
      </w:r>
      <w:r>
        <w:rPr>
          <w:rFonts w:hint="eastAsia" w:ascii="仿宋" w:hAnsi="仿宋" w:eastAsia="仿宋" w:cs="仿宋"/>
          <w:b/>
          <w:sz w:val="28"/>
          <w:szCs w:val="28"/>
        </w:rPr>
        <w:t>项目简介</w:t>
      </w:r>
    </w:p>
    <w:p>
      <w:pPr>
        <w:adjustRightInd w:val="0"/>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本项目为技术中心配套建筑设施维护工程，主要内容为梧桐山发射基地、石岩中波基地、技术大楼三个地点的建筑物及配套设施的维护工程。详细要求及清单请见文件第二部分内容，该项目为全包干工程。</w:t>
      </w:r>
    </w:p>
    <w:p>
      <w:pPr>
        <w:tabs>
          <w:tab w:val="left" w:pos="7740"/>
        </w:tabs>
        <w:adjustRightInd w:val="0"/>
        <w:snapToGrid w:val="0"/>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采购单位：</w:t>
      </w:r>
      <w:r>
        <w:rPr>
          <w:rFonts w:hint="eastAsia" w:ascii="仿宋" w:hAnsi="仿宋" w:eastAsia="仿宋" w:cs="仿宋"/>
          <w:sz w:val="28"/>
          <w:szCs w:val="28"/>
          <w:u w:val="single"/>
        </w:rPr>
        <w:t>深圳市广播电视技术中心</w:t>
      </w:r>
    </w:p>
    <w:p>
      <w:pPr>
        <w:tabs>
          <w:tab w:val="left" w:pos="7740"/>
        </w:tabs>
        <w:autoSpaceDE w:val="0"/>
        <w:autoSpaceDN w:val="0"/>
        <w:adjustRightInd w:val="0"/>
        <w:snapToGrid w:val="0"/>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项目名称：</w:t>
      </w:r>
      <w:r>
        <w:rPr>
          <w:rFonts w:hint="eastAsia" w:ascii="仿宋" w:hAnsi="仿宋" w:eastAsia="仿宋" w:cs="仿宋"/>
          <w:sz w:val="28"/>
          <w:szCs w:val="28"/>
          <w:u w:val="single"/>
        </w:rPr>
        <w:t>技术中心配套建筑设施维护工程</w:t>
      </w:r>
    </w:p>
    <w:p>
      <w:pPr>
        <w:pStyle w:val="2"/>
        <w:adjustRightInd w:val="0"/>
        <w:snapToGrid w:val="0"/>
        <w:spacing w:after="0"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施工地点：</w:t>
      </w:r>
      <w:r>
        <w:rPr>
          <w:rFonts w:hint="eastAsia" w:ascii="仿宋" w:hAnsi="仿宋" w:eastAsia="仿宋" w:cs="仿宋"/>
          <w:sz w:val="28"/>
          <w:szCs w:val="28"/>
          <w:u w:val="single"/>
        </w:rPr>
        <w:t>南山区龙珠大道54号技术大楼</w:t>
      </w:r>
    </w:p>
    <w:p>
      <w:pPr>
        <w:pStyle w:val="2"/>
        <w:adjustRightInd w:val="0"/>
        <w:snapToGrid w:val="0"/>
        <w:spacing w:after="0" w:line="360" w:lineRule="auto"/>
        <w:ind w:firstLine="1960" w:firstLineChars="700"/>
        <w:rPr>
          <w:rFonts w:ascii="仿宋" w:hAnsi="仿宋" w:eastAsia="仿宋" w:cs="仿宋"/>
          <w:sz w:val="28"/>
          <w:szCs w:val="28"/>
          <w:u w:val="single"/>
        </w:rPr>
      </w:pPr>
      <w:r>
        <w:rPr>
          <w:rFonts w:hint="eastAsia" w:ascii="仿宋" w:hAnsi="仿宋" w:eastAsia="仿宋" w:cs="仿宋"/>
          <w:sz w:val="28"/>
          <w:szCs w:val="28"/>
          <w:u w:val="single"/>
        </w:rPr>
        <w:t xml:space="preserve">技术中心石岩中波基地 </w:t>
      </w:r>
    </w:p>
    <w:p>
      <w:pPr>
        <w:pStyle w:val="2"/>
        <w:adjustRightInd w:val="0"/>
        <w:snapToGrid w:val="0"/>
        <w:spacing w:after="0" w:line="360" w:lineRule="auto"/>
        <w:ind w:firstLine="1960" w:firstLineChars="700"/>
        <w:rPr>
          <w:rFonts w:ascii="仿宋" w:hAnsi="仿宋" w:eastAsia="仿宋" w:cs="仿宋"/>
          <w:sz w:val="28"/>
          <w:szCs w:val="28"/>
          <w:u w:val="single"/>
        </w:rPr>
      </w:pPr>
      <w:r>
        <w:rPr>
          <w:rFonts w:hint="eastAsia" w:ascii="仿宋" w:hAnsi="仿宋" w:eastAsia="仿宋" w:cs="仿宋"/>
          <w:sz w:val="28"/>
          <w:szCs w:val="28"/>
          <w:u w:val="single"/>
        </w:rPr>
        <w:t>罗湖区梧桐山广播电视发射基地</w:t>
      </w:r>
    </w:p>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项目预算：本项目最高限价为人民币</w:t>
      </w:r>
      <w:r>
        <w:rPr>
          <w:rFonts w:hint="eastAsia" w:ascii="仿宋" w:hAnsi="仿宋" w:eastAsia="仿宋" w:cs="仿宋"/>
          <w:sz w:val="28"/>
          <w:szCs w:val="28"/>
          <w:u w:val="single"/>
        </w:rPr>
        <w:t xml:space="preserve"> </w:t>
      </w:r>
      <w:r>
        <w:rPr>
          <w:rFonts w:ascii="仿宋" w:hAnsi="仿宋" w:eastAsia="仿宋" w:cs="仿宋"/>
          <w:sz w:val="28"/>
          <w:szCs w:val="28"/>
          <w:u w:val="single"/>
        </w:rPr>
        <w:t>70</w:t>
      </w:r>
      <w:r>
        <w:rPr>
          <w:rFonts w:hint="eastAsia" w:ascii="仿宋" w:hAnsi="仿宋" w:eastAsia="仿宋" w:cs="仿宋"/>
          <w:sz w:val="28"/>
          <w:szCs w:val="28"/>
        </w:rPr>
        <w:t>万元，报价人所报总价不能高于最高限价，若高于最高限价将导致报价无效。</w:t>
      </w:r>
    </w:p>
    <w:p>
      <w:pPr>
        <w:pStyle w:val="2"/>
        <w:adjustRightInd w:val="0"/>
        <w:snapToGrid w:val="0"/>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 二、</w:t>
      </w:r>
      <w:r>
        <w:rPr>
          <w:rFonts w:hint="eastAsia" w:ascii="仿宋" w:hAnsi="仿宋" w:eastAsia="仿宋" w:cs="仿宋"/>
          <w:b/>
          <w:sz w:val="28"/>
          <w:szCs w:val="28"/>
        </w:rPr>
        <w:t>投标人资质：</w:t>
      </w:r>
    </w:p>
    <w:p>
      <w:pPr>
        <w:tabs>
          <w:tab w:val="left" w:pos="7740"/>
        </w:tabs>
        <w:autoSpaceDE w:val="0"/>
        <w:autoSpaceDN w:val="0"/>
        <w:adjustRightInd w:val="0"/>
        <w:snapToGrid w:val="0"/>
        <w:spacing w:line="360" w:lineRule="auto"/>
        <w:ind w:firstLine="560" w:firstLineChars="200"/>
        <w:rPr>
          <w:rFonts w:ascii="仿宋" w:hAnsi="仿宋" w:eastAsia="仿宋" w:cs="仿宋"/>
          <w:sz w:val="28"/>
          <w:szCs w:val="28"/>
          <w:lang w:val="hr-HR"/>
        </w:rPr>
      </w:pPr>
      <w:r>
        <w:rPr>
          <w:rFonts w:hint="eastAsia" w:ascii="仿宋" w:hAnsi="仿宋" w:eastAsia="仿宋" w:cs="仿宋"/>
          <w:sz w:val="28"/>
          <w:szCs w:val="28"/>
          <w:lang w:val="zh-CN"/>
        </w:rPr>
        <w:t>1．</w:t>
      </w:r>
      <w:r>
        <w:rPr>
          <w:rFonts w:hint="eastAsia" w:ascii="仿宋" w:hAnsi="仿宋" w:eastAsia="仿宋" w:cs="仿宋"/>
          <w:sz w:val="28"/>
          <w:szCs w:val="28"/>
        </w:rPr>
        <w:t>投标人</w:t>
      </w:r>
      <w:r>
        <w:rPr>
          <w:rFonts w:hint="eastAsia" w:ascii="仿宋" w:hAnsi="仿宋" w:eastAsia="仿宋" w:cs="仿宋"/>
          <w:sz w:val="28"/>
          <w:szCs w:val="28"/>
          <w:lang w:val="hr-HR"/>
        </w:rPr>
        <w:t>应具备《中华人民共和国政府采购法》第二十二条规定的条件：</w:t>
      </w:r>
    </w:p>
    <w:p>
      <w:pPr>
        <w:tabs>
          <w:tab w:val="left" w:pos="7740"/>
        </w:tabs>
        <w:autoSpaceDE w:val="0"/>
        <w:autoSpaceDN w:val="0"/>
        <w:adjustRightInd w:val="0"/>
        <w:snapToGrid w:val="0"/>
        <w:spacing w:line="360" w:lineRule="auto"/>
        <w:ind w:firstLine="560" w:firstLineChars="200"/>
        <w:rPr>
          <w:rFonts w:ascii="仿宋" w:hAnsi="仿宋" w:eastAsia="仿宋" w:cs="仿宋"/>
          <w:sz w:val="28"/>
          <w:szCs w:val="28"/>
          <w:lang w:val="hr-HR"/>
        </w:rPr>
      </w:pPr>
      <w:r>
        <w:rPr>
          <w:rFonts w:hint="eastAsia" w:ascii="仿宋" w:hAnsi="仿宋" w:eastAsia="仿宋" w:cs="仿宋"/>
          <w:sz w:val="28"/>
          <w:szCs w:val="28"/>
        </w:rPr>
        <w:t xml:space="preserve">1.1 </w:t>
      </w:r>
      <w:r>
        <w:rPr>
          <w:rFonts w:hint="eastAsia" w:ascii="仿宋" w:hAnsi="仿宋" w:eastAsia="仿宋" w:cs="仿宋"/>
          <w:sz w:val="28"/>
          <w:szCs w:val="28"/>
          <w:lang w:val="hr-HR"/>
        </w:rPr>
        <w:t>具有独立承担民事责任的能力;</w:t>
      </w:r>
    </w:p>
    <w:p>
      <w:pPr>
        <w:tabs>
          <w:tab w:val="left" w:pos="7740"/>
        </w:tabs>
        <w:autoSpaceDE w:val="0"/>
        <w:autoSpaceDN w:val="0"/>
        <w:adjustRightInd w:val="0"/>
        <w:snapToGrid w:val="0"/>
        <w:spacing w:line="360" w:lineRule="auto"/>
        <w:ind w:firstLine="560" w:firstLineChars="200"/>
        <w:rPr>
          <w:rFonts w:ascii="仿宋" w:hAnsi="仿宋" w:eastAsia="仿宋" w:cs="仿宋"/>
          <w:sz w:val="28"/>
          <w:szCs w:val="28"/>
          <w:lang w:val="hr-HR"/>
        </w:rPr>
      </w:pPr>
      <w:bookmarkStart w:id="0" w:name="_Hlk107511169"/>
      <w:r>
        <w:rPr>
          <w:rFonts w:hint="eastAsia" w:ascii="仿宋" w:hAnsi="仿宋" w:eastAsia="仿宋" w:cs="仿宋"/>
          <w:sz w:val="28"/>
          <w:szCs w:val="28"/>
        </w:rPr>
        <w:t xml:space="preserve">1.2 </w:t>
      </w:r>
      <w:r>
        <w:rPr>
          <w:rFonts w:hint="eastAsia" w:ascii="仿宋" w:hAnsi="仿宋" w:eastAsia="仿宋" w:cs="仿宋"/>
          <w:sz w:val="28"/>
          <w:szCs w:val="28"/>
          <w:lang w:val="hr-HR"/>
        </w:rPr>
        <w:t>具有良好的商业信誉和健全的财务会计制度</w:t>
      </w:r>
      <w:bookmarkEnd w:id="0"/>
      <w:r>
        <w:rPr>
          <w:rFonts w:hint="eastAsia" w:ascii="仿宋" w:hAnsi="仿宋" w:eastAsia="仿宋" w:cs="仿宋"/>
          <w:sz w:val="28"/>
          <w:szCs w:val="28"/>
          <w:lang w:val="hr-HR"/>
        </w:rPr>
        <w:t>;</w:t>
      </w:r>
    </w:p>
    <w:p>
      <w:pPr>
        <w:tabs>
          <w:tab w:val="left" w:pos="7740"/>
        </w:tabs>
        <w:autoSpaceDE w:val="0"/>
        <w:autoSpaceDN w:val="0"/>
        <w:adjustRightInd w:val="0"/>
        <w:snapToGrid w:val="0"/>
        <w:spacing w:line="360" w:lineRule="auto"/>
        <w:ind w:firstLine="560" w:firstLineChars="200"/>
        <w:rPr>
          <w:rFonts w:ascii="仿宋" w:hAnsi="仿宋" w:eastAsia="仿宋" w:cs="仿宋"/>
          <w:sz w:val="28"/>
          <w:szCs w:val="28"/>
          <w:lang w:val="hr-HR"/>
        </w:rPr>
      </w:pPr>
      <w:r>
        <w:rPr>
          <w:rFonts w:hint="eastAsia" w:ascii="仿宋" w:hAnsi="仿宋" w:eastAsia="仿宋" w:cs="仿宋"/>
          <w:sz w:val="28"/>
          <w:szCs w:val="28"/>
        </w:rPr>
        <w:t>1.</w:t>
      </w:r>
      <w:r>
        <w:rPr>
          <w:rFonts w:ascii="仿宋" w:hAnsi="仿宋" w:eastAsia="仿宋" w:cs="仿宋"/>
          <w:sz w:val="28"/>
          <w:szCs w:val="28"/>
        </w:rPr>
        <w:t xml:space="preserve">3 </w:t>
      </w:r>
      <w:r>
        <w:rPr>
          <w:rFonts w:hint="eastAsia" w:ascii="仿宋" w:hAnsi="仿宋" w:eastAsia="仿宋" w:cs="仿宋"/>
          <w:sz w:val="28"/>
          <w:szCs w:val="28"/>
          <w:lang w:val="hr-HR"/>
        </w:rPr>
        <w:t>具有履行合同所必需的设备和专业技术能力;</w:t>
      </w:r>
    </w:p>
    <w:p>
      <w:pPr>
        <w:tabs>
          <w:tab w:val="left" w:pos="7740"/>
        </w:tabs>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4</w:t>
      </w:r>
      <w:r>
        <w:rPr>
          <w:rFonts w:hint="eastAsia" w:ascii="仿宋" w:hAnsi="仿宋" w:eastAsia="仿宋" w:cs="仿宋"/>
          <w:sz w:val="28"/>
          <w:szCs w:val="28"/>
        </w:rPr>
        <w:t xml:space="preserve"> 有依法缴纳税收和社会保障资金的良好记录;</w:t>
      </w:r>
    </w:p>
    <w:p>
      <w:pPr>
        <w:tabs>
          <w:tab w:val="left" w:pos="7740"/>
        </w:tabs>
        <w:autoSpaceDE w:val="0"/>
        <w:autoSpaceDN w:val="0"/>
        <w:adjustRightInd w:val="0"/>
        <w:snapToGrid w:val="0"/>
        <w:spacing w:line="360" w:lineRule="auto"/>
        <w:ind w:firstLine="560" w:firstLineChars="200"/>
        <w:rPr>
          <w:rFonts w:ascii="仿宋" w:hAnsi="仿宋" w:eastAsia="仿宋" w:cs="仿宋"/>
          <w:sz w:val="28"/>
          <w:szCs w:val="28"/>
          <w:lang w:val="hr-HR"/>
        </w:rPr>
      </w:pPr>
      <w:r>
        <w:rPr>
          <w:rFonts w:hint="eastAsia" w:ascii="仿宋" w:hAnsi="仿宋" w:eastAsia="仿宋" w:cs="仿宋"/>
          <w:sz w:val="28"/>
          <w:szCs w:val="28"/>
        </w:rPr>
        <w:t>1.</w:t>
      </w:r>
      <w:r>
        <w:rPr>
          <w:rFonts w:ascii="仿宋" w:hAnsi="仿宋" w:eastAsia="仿宋" w:cs="仿宋"/>
          <w:sz w:val="28"/>
          <w:szCs w:val="28"/>
        </w:rPr>
        <w:t>5</w:t>
      </w:r>
      <w:r>
        <w:rPr>
          <w:rFonts w:hint="eastAsia" w:ascii="仿宋" w:hAnsi="仿宋" w:eastAsia="仿宋" w:cs="仿宋"/>
          <w:sz w:val="28"/>
          <w:szCs w:val="28"/>
        </w:rPr>
        <w:t xml:space="preserve"> 参加政府采购活动前三年内，在经营活动中没有重大违法记</w:t>
      </w:r>
      <w:r>
        <w:rPr>
          <w:rFonts w:hint="eastAsia" w:ascii="仿宋" w:hAnsi="仿宋" w:eastAsia="仿宋" w:cs="仿宋"/>
          <w:sz w:val="28"/>
          <w:szCs w:val="28"/>
          <w:lang w:val="hr-HR"/>
        </w:rPr>
        <w:t>录;</w:t>
      </w:r>
    </w:p>
    <w:p>
      <w:pPr>
        <w:tabs>
          <w:tab w:val="left" w:pos="7740"/>
        </w:tabs>
        <w:autoSpaceDE w:val="0"/>
        <w:autoSpaceDN w:val="0"/>
        <w:adjustRightInd w:val="0"/>
        <w:snapToGrid w:val="0"/>
        <w:spacing w:line="360" w:lineRule="auto"/>
        <w:ind w:firstLine="560" w:firstLineChars="200"/>
        <w:rPr>
          <w:rFonts w:ascii="仿宋" w:hAnsi="仿宋" w:eastAsia="仿宋" w:cs="仿宋"/>
          <w:sz w:val="28"/>
          <w:szCs w:val="28"/>
          <w:lang w:val="hr-HR"/>
        </w:rPr>
      </w:pPr>
      <w:r>
        <w:rPr>
          <w:rFonts w:hint="eastAsia" w:ascii="仿宋" w:hAnsi="仿宋" w:eastAsia="仿宋" w:cs="仿宋"/>
          <w:sz w:val="28"/>
          <w:szCs w:val="28"/>
        </w:rPr>
        <w:t>1.</w:t>
      </w:r>
      <w:r>
        <w:rPr>
          <w:rFonts w:ascii="仿宋" w:hAnsi="仿宋" w:eastAsia="仿宋" w:cs="仿宋"/>
          <w:sz w:val="28"/>
          <w:szCs w:val="28"/>
        </w:rPr>
        <w:t xml:space="preserve">6 </w:t>
      </w:r>
      <w:r>
        <w:rPr>
          <w:rFonts w:hint="eastAsia" w:ascii="仿宋" w:hAnsi="仿宋" w:eastAsia="仿宋" w:cs="仿宋"/>
          <w:sz w:val="28"/>
          <w:szCs w:val="28"/>
          <w:lang w:val="hr-HR"/>
        </w:rPr>
        <w:t>法律、行政法规规定的其他条件。</w:t>
      </w:r>
    </w:p>
    <w:p>
      <w:pPr>
        <w:tabs>
          <w:tab w:val="left" w:pos="7740"/>
        </w:tabs>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符合以上资格的投标人须提供以下资料：</w:t>
      </w:r>
    </w:p>
    <w:p>
      <w:pPr>
        <w:tabs>
          <w:tab w:val="left" w:pos="7740"/>
        </w:tabs>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1.7 营业执照副本、纳税证明（复印件加盖公章）；</w:t>
      </w:r>
    </w:p>
    <w:p>
      <w:pPr>
        <w:tabs>
          <w:tab w:val="left" w:pos="7740"/>
        </w:tabs>
        <w:autoSpaceDE w:val="0"/>
        <w:autoSpaceDN w:val="0"/>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 xml:space="preserve">1.8 </w:t>
      </w:r>
      <w:r>
        <w:rPr>
          <w:rFonts w:hint="eastAsia" w:ascii="仿宋" w:hAnsi="仿宋" w:eastAsia="仿宋" w:cs="仿宋"/>
          <w:sz w:val="28"/>
          <w:szCs w:val="28"/>
        </w:rPr>
        <w:t>法定代表人/负责人资格证明书及授权委托书；</w:t>
      </w:r>
    </w:p>
    <w:p>
      <w:pPr>
        <w:tabs>
          <w:tab w:val="left" w:pos="7740"/>
        </w:tabs>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9</w:t>
      </w:r>
      <w:r>
        <w:rPr>
          <w:rFonts w:hint="eastAsia" w:ascii="仿宋" w:hAnsi="仿宋" w:eastAsia="仿宋" w:cs="仿宋"/>
          <w:sz w:val="28"/>
          <w:szCs w:val="28"/>
        </w:rPr>
        <w:t xml:space="preserve"> 具有相应等级建筑业专业资质证书（复印件加盖公章）：</w:t>
      </w:r>
    </w:p>
    <w:p>
      <w:pPr>
        <w:tabs>
          <w:tab w:val="left" w:pos="7740"/>
        </w:tabs>
        <w:autoSpaceDE w:val="0"/>
        <w:autoSpaceDN w:val="0"/>
        <w:adjustRightInd w:val="0"/>
        <w:snapToGrid w:val="0"/>
        <w:spacing w:line="360" w:lineRule="auto"/>
        <w:ind w:firstLine="560" w:firstLineChars="200"/>
      </w:pPr>
      <w:r>
        <w:rPr>
          <w:rFonts w:hint="eastAsia" w:ascii="仿宋" w:hAnsi="仿宋" w:eastAsia="仿宋" w:cs="仿宋"/>
          <w:sz w:val="28"/>
          <w:szCs w:val="28"/>
        </w:rPr>
        <w:t>1.</w:t>
      </w:r>
      <w:r>
        <w:rPr>
          <w:rFonts w:ascii="仿宋" w:hAnsi="仿宋" w:eastAsia="仿宋" w:cs="仿宋"/>
          <w:sz w:val="28"/>
          <w:szCs w:val="28"/>
        </w:rPr>
        <w:t>10</w:t>
      </w:r>
      <w:r>
        <w:rPr>
          <w:rFonts w:hint="eastAsia" w:ascii="仿宋" w:hAnsi="仿宋" w:eastAsia="仿宋" w:cs="仿宋"/>
          <w:sz w:val="28"/>
          <w:szCs w:val="28"/>
        </w:rPr>
        <w:t xml:space="preserve"> 安全生产许可证（复印件加盖公章）</w:t>
      </w:r>
    </w:p>
    <w:p>
      <w:pPr>
        <w:numPr>
          <w:ilvl w:val="0"/>
          <w:numId w:val="1"/>
        </w:numPr>
        <w:tabs>
          <w:tab w:val="left" w:pos="7740"/>
        </w:tabs>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hr-HR"/>
        </w:rPr>
        <w:t>投标人未被列入“信用中国”网站(www.creditchina.gov.cn)“记录失信被执行人或重大税收违法案件当事人名单或政府采购严重违法失信行为”记录名单；未处于中国政府采购网(www.ccgp.gov.cn)“政府采购严重违法失信行为信息记录”中的禁止参加政府采购活动期间。投标文件中需提供“信用中国”信息报告。</w:t>
      </w:r>
    </w:p>
    <w:p>
      <w:pPr>
        <w:numPr>
          <w:ilvl w:val="0"/>
          <w:numId w:val="1"/>
        </w:numPr>
        <w:tabs>
          <w:tab w:val="left" w:pos="7740"/>
        </w:tabs>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本项目不接受联合体投标，投标人中标后不允许分包、转包。</w:t>
      </w:r>
    </w:p>
    <w:p>
      <w:pPr>
        <w:tabs>
          <w:tab w:val="left" w:pos="7740"/>
        </w:tabs>
        <w:autoSpaceDE w:val="0"/>
        <w:autoSpaceDN w:val="0"/>
        <w:adjustRightInd w:val="0"/>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rPr>
        <w:t>三</w:t>
      </w:r>
      <w:r>
        <w:rPr>
          <w:rFonts w:hint="eastAsia" w:ascii="仿宋" w:hAnsi="仿宋" w:eastAsia="仿宋" w:cs="仿宋"/>
          <w:sz w:val="28"/>
          <w:szCs w:val="28"/>
          <w:lang w:val="zh-CN"/>
        </w:rPr>
        <w:t>、</w:t>
      </w:r>
      <w:r>
        <w:rPr>
          <w:rFonts w:hint="eastAsia" w:ascii="仿宋" w:hAnsi="仿宋" w:eastAsia="仿宋" w:cs="仿宋"/>
          <w:b/>
          <w:sz w:val="28"/>
          <w:szCs w:val="28"/>
          <w:lang w:val="zh-CN"/>
        </w:rPr>
        <w:t>现场踏勘(答疑会)时间、地点</w:t>
      </w:r>
      <w:r>
        <w:rPr>
          <w:rFonts w:hint="eastAsia" w:ascii="仿宋" w:hAnsi="仿宋" w:eastAsia="仿宋" w:cs="仿宋"/>
          <w:sz w:val="28"/>
          <w:szCs w:val="28"/>
          <w:lang w:val="zh-CN"/>
        </w:rPr>
        <w:t>：不组织踏勘现场，投标人可以</w:t>
      </w:r>
      <w:r>
        <w:rPr>
          <w:rFonts w:hint="eastAsia" w:ascii="仿宋" w:hAnsi="仿宋" w:eastAsia="仿宋" w:cs="仿宋"/>
          <w:sz w:val="28"/>
          <w:szCs w:val="28"/>
        </w:rPr>
        <w:t>联系采购单位安排</w:t>
      </w:r>
      <w:r>
        <w:rPr>
          <w:rFonts w:hint="eastAsia" w:ascii="仿宋" w:hAnsi="仿宋" w:eastAsia="仿宋" w:cs="仿宋"/>
          <w:sz w:val="28"/>
          <w:szCs w:val="28"/>
          <w:lang w:val="zh-CN"/>
        </w:rPr>
        <w:t>对工作现场进行考察。</w:t>
      </w:r>
    </w:p>
    <w:p>
      <w:pPr>
        <w:tabs>
          <w:tab w:val="left" w:pos="7740"/>
        </w:tabs>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w:t>
      </w:r>
      <w:r>
        <w:rPr>
          <w:rFonts w:hint="eastAsia" w:ascii="仿宋" w:hAnsi="仿宋" w:eastAsia="仿宋" w:cs="仿宋"/>
          <w:sz w:val="28"/>
          <w:szCs w:val="28"/>
          <w:lang w:val="zh-CN"/>
        </w:rPr>
        <w:t>、</w:t>
      </w:r>
      <w:r>
        <w:rPr>
          <w:rFonts w:hint="eastAsia" w:ascii="仿宋" w:hAnsi="仿宋" w:eastAsia="仿宋" w:cs="仿宋"/>
          <w:b/>
          <w:sz w:val="28"/>
          <w:szCs w:val="28"/>
        </w:rPr>
        <w:t>评标方法</w:t>
      </w:r>
      <w:r>
        <w:rPr>
          <w:rFonts w:hint="eastAsia" w:ascii="仿宋" w:hAnsi="仿宋" w:eastAsia="仿宋" w:cs="仿宋"/>
          <w:sz w:val="28"/>
          <w:szCs w:val="28"/>
        </w:rPr>
        <w:t>：综合评分法</w:t>
      </w:r>
    </w:p>
    <w:p>
      <w:pPr>
        <w:adjustRightInd w:val="0"/>
        <w:snapToGrid w:val="0"/>
        <w:spacing w:line="360" w:lineRule="auto"/>
      </w:pPr>
    </w:p>
    <w:p>
      <w:pPr>
        <w:numPr>
          <w:ilvl w:val="0"/>
          <w:numId w:val="2"/>
        </w:numPr>
        <w:adjustRightInd w:val="0"/>
        <w:snapToGrid w:val="0"/>
        <w:spacing w:line="360" w:lineRule="auto"/>
        <w:jc w:val="center"/>
        <w:rPr>
          <w:rFonts w:ascii="仿宋" w:hAnsi="仿宋" w:eastAsia="仿宋" w:cs="仿宋"/>
          <w:b/>
          <w:sz w:val="28"/>
          <w:szCs w:val="28"/>
        </w:rPr>
      </w:pPr>
      <w:r>
        <w:rPr>
          <w:rFonts w:hint="eastAsia" w:ascii="仿宋" w:hAnsi="仿宋" w:eastAsia="仿宋" w:cs="仿宋"/>
          <w:b/>
          <w:sz w:val="28"/>
          <w:szCs w:val="28"/>
        </w:rPr>
        <w:t>项目要求及清单</w:t>
      </w:r>
    </w:p>
    <w:p>
      <w:pPr>
        <w:pStyle w:val="2"/>
        <w:adjustRightInd w:val="0"/>
        <w:snapToGrid w:val="0"/>
        <w:spacing w:after="0" w:line="360" w:lineRule="auto"/>
        <w:ind w:firstLine="420" w:firstLineChars="200"/>
      </w:pPr>
    </w:p>
    <w:p>
      <w:pPr>
        <w:pStyle w:val="2"/>
        <w:adjustRightInd w:val="0"/>
        <w:snapToGrid w:val="0"/>
        <w:spacing w:after="0" w:line="360" w:lineRule="auto"/>
        <w:ind w:firstLine="420" w:firstLineChars="200"/>
        <w:rPr>
          <w:rFonts w:ascii="仿宋" w:hAnsi="仿宋" w:eastAsia="仿宋" w:cs="仿宋"/>
          <w:sz w:val="28"/>
          <w:szCs w:val="28"/>
        </w:rPr>
      </w:pPr>
      <w:r>
        <w:rPr>
          <w:rFonts w:hint="eastAsia"/>
        </w:rPr>
        <w:t>一、</w:t>
      </w:r>
      <w:r>
        <w:rPr>
          <w:rFonts w:hint="eastAsia" w:ascii="仿宋" w:hAnsi="仿宋" w:eastAsia="仿宋" w:cs="仿宋"/>
          <w:b/>
          <w:sz w:val="28"/>
          <w:szCs w:val="28"/>
        </w:rPr>
        <w:t>项目要求</w:t>
      </w:r>
    </w:p>
    <w:p>
      <w:pPr>
        <w:widowControl/>
        <w:adjustRightInd w:val="0"/>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lang w:val="zh-CN"/>
        </w:rPr>
        <w:t>1、技术</w:t>
      </w:r>
      <w:r>
        <w:rPr>
          <w:rFonts w:hint="eastAsia" w:ascii="仿宋" w:hAnsi="仿宋" w:eastAsia="仿宋" w:cs="仿宋"/>
          <w:sz w:val="28"/>
          <w:szCs w:val="28"/>
        </w:rPr>
        <w:t>中心配套建筑设施维护工程主要包括梧桐山发射基地值班员宿舍楼、柴油机房、保安室三处外墙翻新改造、值班员宿舍阳台排水管更换、部分房间漏水修复、3楼阳台排水沟改造、茶水间门口漏水修复和发射基地木地板地面翻新等；技术大楼一楼监测部机房外墙翻新改造、楼梯间墙面修复和厨房改造；石岩基地值班员宿舍踢脚线修复等。本项目主要对原有建筑物及配套设施进行维护，主要依据为招标文件中的工程量清单。</w:t>
      </w:r>
    </w:p>
    <w:p>
      <w:pPr>
        <w:adjustRightInd w:val="0"/>
        <w:snapToGrid w:val="0"/>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2、本次招标以满足本项目需要为主要目的，包括但不限于：分项工程相关材料供货及安装、</w:t>
      </w:r>
      <w:r>
        <w:rPr>
          <w:rFonts w:hint="eastAsia" w:ascii="仿宋" w:hAnsi="仿宋" w:eastAsia="仿宋" w:cs="仿宋"/>
          <w:sz w:val="28"/>
          <w:szCs w:val="28"/>
        </w:rPr>
        <w:t>修缮</w:t>
      </w:r>
      <w:r>
        <w:rPr>
          <w:rFonts w:hint="eastAsia" w:ascii="仿宋" w:hAnsi="仿宋" w:eastAsia="仿宋" w:cs="仿宋"/>
          <w:sz w:val="28"/>
          <w:szCs w:val="28"/>
          <w:lang w:val="zh-CN"/>
        </w:rPr>
        <w:t>、水电联动调试、验收等。本项目费用包括所有前期费用、材料、辅材、安装、调试、人工、</w:t>
      </w:r>
      <w:r>
        <w:rPr>
          <w:rFonts w:hint="eastAsia" w:ascii="仿宋" w:hAnsi="仿宋" w:eastAsia="仿宋" w:cs="仿宋"/>
          <w:sz w:val="28"/>
          <w:szCs w:val="28"/>
        </w:rPr>
        <w:t>安全</w:t>
      </w:r>
      <w:r>
        <w:rPr>
          <w:rFonts w:hint="eastAsia" w:ascii="仿宋" w:hAnsi="仿宋" w:eastAsia="仿宋" w:cs="仿宋"/>
          <w:sz w:val="28"/>
          <w:szCs w:val="28"/>
          <w:lang w:val="zh-CN"/>
        </w:rPr>
        <w:t>防护、</w:t>
      </w:r>
      <w:r>
        <w:rPr>
          <w:rFonts w:hint="eastAsia" w:ascii="仿宋" w:hAnsi="仿宋" w:eastAsia="仿宋" w:cs="仿宋"/>
          <w:sz w:val="28"/>
          <w:szCs w:val="28"/>
        </w:rPr>
        <w:t>劳保、</w:t>
      </w:r>
      <w:r>
        <w:rPr>
          <w:rFonts w:hint="eastAsia" w:ascii="仿宋" w:hAnsi="仿宋" w:eastAsia="仿宋" w:cs="仿宋"/>
          <w:sz w:val="28"/>
          <w:szCs w:val="28"/>
          <w:lang w:val="zh-CN"/>
        </w:rPr>
        <w:t>垃圾清运等所有费用。</w:t>
      </w:r>
    </w:p>
    <w:p>
      <w:pPr>
        <w:pStyle w:val="2"/>
        <w:adjustRightInd w:val="0"/>
        <w:snapToGrid w:val="0"/>
        <w:spacing w:after="0" w:line="360" w:lineRule="auto"/>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3、本项目施工地址地处水源保护区和森林保护区，投标企业必须严格遵守相关法律法规规定，服从各保护区管理单位管理，并具备获得管理单位运送材料、人员进出所要求的条件，自行承担由此造成的风险和损失。</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4、投标方承担本项目全部安全作业责任。投标方承担本项目作业人员的所有国家法律法规规定的各项保险和其他费用，此费用已包含在本项目投标费用内。</w:t>
      </w:r>
    </w:p>
    <w:p>
      <w:pPr>
        <w:pStyle w:val="2"/>
        <w:ind w:firstLine="560" w:firstLineChars="200"/>
      </w:pPr>
      <w:r>
        <w:rPr>
          <w:rFonts w:hint="eastAsia" w:ascii="仿宋" w:hAnsi="仿宋" w:eastAsia="仿宋" w:cs="仿宋"/>
          <w:sz w:val="28"/>
          <w:szCs w:val="28"/>
        </w:rPr>
        <w:t>5、投标方</w:t>
      </w:r>
      <w:r>
        <w:rPr>
          <w:rFonts w:hint="eastAsia" w:ascii="仿宋" w:hAnsi="仿宋" w:eastAsia="仿宋" w:cs="仿宋"/>
          <w:bCs/>
          <w:color w:val="000000"/>
          <w:sz w:val="28"/>
          <w:szCs w:val="28"/>
        </w:rPr>
        <w:t>报价明细表内项目报价不得超过市财政规定的有关项目支出标准。</w:t>
      </w:r>
    </w:p>
    <w:p>
      <w:pPr>
        <w:adjustRightInd w:val="0"/>
        <w:snapToGrid w:val="0"/>
        <w:spacing w:line="360" w:lineRule="auto"/>
        <w:ind w:firstLine="560" w:firstLineChars="200"/>
        <w:rPr>
          <w:rFonts w:ascii="仿宋" w:hAnsi="仿宋" w:eastAsia="仿宋" w:cs="仿宋"/>
          <w:b/>
          <w:sz w:val="28"/>
          <w:szCs w:val="28"/>
          <w:lang w:val="zh-CN"/>
        </w:rPr>
      </w:pPr>
      <w:r>
        <w:rPr>
          <w:rFonts w:hint="eastAsia" w:ascii="仿宋" w:hAnsi="仿宋" w:eastAsia="仿宋" w:cs="仿宋"/>
          <w:sz w:val="28"/>
          <w:szCs w:val="28"/>
          <w:lang w:val="zh-CN"/>
        </w:rPr>
        <w:t>二、</w:t>
      </w:r>
      <w:r>
        <w:rPr>
          <w:rFonts w:hint="eastAsia" w:ascii="仿宋" w:hAnsi="仿宋" w:eastAsia="仿宋" w:cs="仿宋"/>
          <w:b/>
          <w:sz w:val="28"/>
          <w:szCs w:val="28"/>
          <w:lang w:val="zh-CN"/>
        </w:rPr>
        <w:t>项目清单</w:t>
      </w:r>
    </w:p>
    <w:tbl>
      <w:tblPr>
        <w:tblStyle w:val="8"/>
        <w:tblW w:w="8217" w:type="dxa"/>
        <w:tblInd w:w="0" w:type="dxa"/>
        <w:tblLayout w:type="autofit"/>
        <w:tblCellMar>
          <w:top w:w="0" w:type="dxa"/>
          <w:left w:w="108" w:type="dxa"/>
          <w:bottom w:w="0" w:type="dxa"/>
          <w:right w:w="108" w:type="dxa"/>
        </w:tblCellMar>
      </w:tblPr>
      <w:tblGrid>
        <w:gridCol w:w="960"/>
        <w:gridCol w:w="2437"/>
        <w:gridCol w:w="2410"/>
        <w:gridCol w:w="1134"/>
        <w:gridCol w:w="1276"/>
      </w:tblGrid>
      <w:tr>
        <w:tblPrEx>
          <w:tblCellMar>
            <w:top w:w="0" w:type="dxa"/>
            <w:left w:w="108" w:type="dxa"/>
            <w:bottom w:w="0" w:type="dxa"/>
            <w:right w:w="108" w:type="dxa"/>
          </w:tblCellMar>
        </w:tblPrEx>
        <w:trPr>
          <w:trHeight w:val="372" w:hRule="atLeast"/>
        </w:trPr>
        <w:tc>
          <w:tcPr>
            <w:tcW w:w="960" w:type="dxa"/>
            <w:vMerge w:val="restart"/>
            <w:tcBorders>
              <w:top w:val="single" w:color="auto" w:sz="4" w:space="0"/>
              <w:left w:val="single" w:color="auto"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2437"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2410"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项目特征描述</w:t>
            </w:r>
          </w:p>
        </w:tc>
        <w:tc>
          <w:tcPr>
            <w:tcW w:w="1134"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单位</w:t>
            </w:r>
          </w:p>
        </w:tc>
        <w:tc>
          <w:tcPr>
            <w:tcW w:w="1276" w:type="dxa"/>
            <w:vMerge w:val="restart"/>
            <w:tcBorders>
              <w:top w:val="single" w:color="auto"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工程量</w:t>
            </w:r>
          </w:p>
        </w:tc>
      </w:tr>
      <w:tr>
        <w:tblPrEx>
          <w:tblCellMar>
            <w:top w:w="0" w:type="dxa"/>
            <w:left w:w="108" w:type="dxa"/>
            <w:bottom w:w="0" w:type="dxa"/>
            <w:right w:w="108" w:type="dxa"/>
          </w:tblCellMar>
        </w:tblPrEx>
        <w:trPr>
          <w:trHeight w:val="392" w:hRule="atLeast"/>
        </w:trPr>
        <w:tc>
          <w:tcPr>
            <w:tcW w:w="96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2437"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241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27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372"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w:t>
            </w:r>
          </w:p>
        </w:tc>
        <w:tc>
          <w:tcPr>
            <w:tcW w:w="4847" w:type="dxa"/>
            <w:gridSpan w:val="2"/>
            <w:tcBorders>
              <w:top w:val="single" w:color="000000"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外墙油漆工程</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宿舍楼</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2140.00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外墙面刷漆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1.刮耐水腻子两遍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2.砂纸打磨平整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3.刷防水外墙漆三遍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2140.00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外墙钢管脚手架搭拆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1.双排外墙钢管脚手架搭拆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2.表面挂尼龙安全网</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2140.00</w:t>
            </w:r>
          </w:p>
        </w:tc>
      </w:tr>
      <w:tr>
        <w:tblPrEx>
          <w:tblCellMar>
            <w:top w:w="0" w:type="dxa"/>
            <w:left w:w="108" w:type="dxa"/>
            <w:bottom w:w="0" w:type="dxa"/>
            <w:right w:w="108" w:type="dxa"/>
          </w:tblCellMar>
        </w:tblPrEx>
        <w:trPr>
          <w:trHeight w:val="372"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柴油机房</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330.00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外墙面刷漆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1.刮耐水腻子两遍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2.砂纸打磨平整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3.刷防水外墙漆三遍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330.00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外墙钢管脚手架搭拆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1.双排外墙钢管脚手架搭拆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2.表面挂尼龙安全网</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330.00</w:t>
            </w:r>
          </w:p>
        </w:tc>
      </w:tr>
      <w:tr>
        <w:tblPrEx>
          <w:tblCellMar>
            <w:top w:w="0" w:type="dxa"/>
            <w:left w:w="108" w:type="dxa"/>
            <w:bottom w:w="0" w:type="dxa"/>
            <w:right w:w="108" w:type="dxa"/>
          </w:tblCellMar>
        </w:tblPrEx>
        <w:trPr>
          <w:trHeight w:val="372"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保安门卫室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180.00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外墙面刷漆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1.刮耐水腻子两遍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2.砂纸打磨平整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3.刷防水外墙漆三遍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180.00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外墙钢管脚手架搭拆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1.双排外墙钢管脚手架搭拆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2.表面挂尼龙安全网</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180.00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技术中心大楼一楼监测部</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457.60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外墙面刷漆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1.刮耐水腻子两遍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2.砂纸打磨平整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3.刷防水外墙漆三遍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457.60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外墙钢管脚手架搭拆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1.双排外墙钢管脚手架搭拆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2.表面挂尼龙安全网</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457.60</w:t>
            </w:r>
          </w:p>
        </w:tc>
      </w:tr>
      <w:tr>
        <w:tblPrEx>
          <w:tblCellMar>
            <w:top w:w="0" w:type="dxa"/>
            <w:left w:w="108" w:type="dxa"/>
            <w:bottom w:w="0" w:type="dxa"/>
            <w:right w:w="108" w:type="dxa"/>
          </w:tblCellMar>
        </w:tblPrEx>
        <w:trPr>
          <w:trHeight w:val="372"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阳台排水管更换工程</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原塑料排水管拆除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1.规格：PVC50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2.房号：101-114、201-217、301-308</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450.00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新做塑料排水管</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1.规格：PVC75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2.房号：101-114、201-217、301-308</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450.00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排水管支架</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1.排水管支架制作及安装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2.房号：101-114、201-217、301-308</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kg</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84.00</w:t>
            </w:r>
          </w:p>
        </w:tc>
      </w:tr>
      <w:tr>
        <w:tblPrEx>
          <w:tblCellMar>
            <w:top w:w="0" w:type="dxa"/>
            <w:left w:w="108" w:type="dxa"/>
            <w:bottom w:w="0" w:type="dxa"/>
            <w:right w:w="108" w:type="dxa"/>
          </w:tblCellMar>
        </w:tblPrEx>
        <w:trPr>
          <w:trHeight w:val="135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楼板开孔</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1.钢筋混凝土楼板开孔</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2.规格：DN75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3.房号：101-114、201-217、301-308</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78</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不锈钢地漏</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1.规格：DN75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2.房号：101-114、201-217、301-308</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39</w:t>
            </w:r>
          </w:p>
        </w:tc>
      </w:tr>
      <w:tr>
        <w:tblPrEx>
          <w:tblCellMar>
            <w:top w:w="0" w:type="dxa"/>
            <w:left w:w="108" w:type="dxa"/>
            <w:bottom w:w="0" w:type="dxa"/>
            <w:right w:w="108" w:type="dxa"/>
          </w:tblCellMar>
        </w:tblPrEx>
        <w:trPr>
          <w:trHeight w:val="372"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宿舍楼排水管工程</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新做塑料排水管</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1.规格：PVC32</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2.39套宿舍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320.00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排水管支架</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1.排水管支架制作及安装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2.房号：101-114、201-217、301-308</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kg</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58.00</w:t>
            </w:r>
          </w:p>
        </w:tc>
      </w:tr>
      <w:tr>
        <w:tblPrEx>
          <w:tblCellMar>
            <w:top w:w="0" w:type="dxa"/>
            <w:left w:w="108" w:type="dxa"/>
            <w:bottom w:w="0" w:type="dxa"/>
            <w:right w:w="108" w:type="dxa"/>
          </w:tblCellMar>
        </w:tblPrEx>
        <w:trPr>
          <w:trHeight w:val="372"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房间漏水修复工程</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72"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308房</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原空鼓及开裂外墙漆及水泥砂浆基层铲除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原空鼓及开裂外墙漆及水泥砂浆基层铲除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原外墙面基层挂铁丝网</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原外墙面基层挂铁丝网</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原外墙面基层水泥砂浆抹灰</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1.20mm厚1:2.5水泥砂浆抹灰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外墙面防水</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1.基层处理剂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2.面刷2mm厚聚氨酯涂抹防水</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内墙油漆及水泥砂浆基层铲除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内墙油漆及水泥砂浆基层铲除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原内墙面基层水泥砂浆抹灰</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20mm厚1:2.5水泥砂浆抹灰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内墙面防水</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1.基层处理剂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2.面刷2mm厚聚氨酯涂抹防水</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内墙面刷漆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1.刮腻子两遍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2.砂纸打磨平整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3.刷内墙乳胶漆三遍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372"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214房</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原空鼓及开裂外墙漆及水泥砂浆基层铲除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原空鼓及开裂外墙漆及水泥砂浆基层铲除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原外墙面基层挂铁丝网</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原外墙面基层挂铁丝网</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原外墙面基层水泥砂浆抹灰</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20mm厚1:2.5水泥砂浆抹灰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外墙面防水</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1.基层处理剂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2.面刷2mm厚聚氨酯涂抹防水</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内墙油漆及水泥砂浆基层铲除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内墙油漆及水泥砂浆基层铲除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原内墙面基层水泥砂浆抹灰</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20mm厚1:2.5水泥砂浆抹灰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内墙面防水</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1.基层处理剂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2.面刷2mm厚聚氨酯涂抹防水</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内墙面刷漆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1.刮腻子两遍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2.砂纸打磨平整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3.刷内墙乳胶漆三遍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372"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204房</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原空鼓及开裂外墙漆及水泥砂浆基层铲除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原空鼓及开裂外墙漆及水泥砂浆基层铲除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16.00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原外墙面基层挂铁丝网</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原外墙面基层挂铁丝网</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16.00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原外墙面基层水泥砂浆抹灰</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20mm厚1:2.5水泥砂浆抹灰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16.00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外墙面防水</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1.基层处理剂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2.面刷2mm厚聚氨酯涂抹防水</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16.00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内墙油漆及水泥砂浆基层铲除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内墙油漆及水泥砂浆基层铲除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16.00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原内墙面基层水泥砂浆抹灰</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20mm厚1:2.5水泥砂浆抹灰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16.00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42</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内墙面防水</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1.基层处理剂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2.面刷2mm厚聚氨酯涂抹防水</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16.00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内墙面刷漆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1.刮腻子两遍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2.砂纸打磨平整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3.刷内墙乳胶漆三遍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16.00</w:t>
            </w:r>
          </w:p>
        </w:tc>
      </w:tr>
      <w:tr>
        <w:tblPrEx>
          <w:tblCellMar>
            <w:top w:w="0" w:type="dxa"/>
            <w:left w:w="108" w:type="dxa"/>
            <w:bottom w:w="0" w:type="dxa"/>
            <w:right w:w="108" w:type="dxa"/>
          </w:tblCellMar>
        </w:tblPrEx>
        <w:trPr>
          <w:trHeight w:val="372"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203房</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原空鼓及开裂外墙漆及水泥砂浆基层铲除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原空鼓及开裂外墙漆及水泥砂浆基层铲除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12.00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原外墙面基层挂铁丝网</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原外墙面基层挂铁丝网</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12.00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46</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原外墙面基层水泥砂浆抹灰</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20mm厚1:2.5水泥砂浆抹灰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12.00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47</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外墙面防水</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1.基层处理剂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2.面刷2mm厚聚氨酯涂抹防水</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12.00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内墙油漆及水泥砂浆基层铲除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内墙油漆及水泥砂浆基层铲除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12.00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原内墙面基层水泥砂浆抹灰</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20mm厚1:2.5水泥砂浆抹灰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12.00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内墙面防水</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1.基层处理剂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2.面刷2mm厚聚氨酯涂抹防水</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12.00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内墙面刷漆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1.刮腻子两遍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2.砂纸打磨平整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3.刷内墙乳胶漆三遍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12.00</w:t>
            </w:r>
          </w:p>
        </w:tc>
      </w:tr>
      <w:tr>
        <w:tblPrEx>
          <w:tblCellMar>
            <w:top w:w="0" w:type="dxa"/>
            <w:left w:w="108" w:type="dxa"/>
            <w:bottom w:w="0" w:type="dxa"/>
            <w:right w:w="108" w:type="dxa"/>
          </w:tblCellMar>
        </w:tblPrEx>
        <w:trPr>
          <w:trHeight w:val="372"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202房</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原空鼓及开裂外墙漆及水泥砂浆基层铲除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原空鼓及开裂外墙漆及水泥砂浆基层铲除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原外墙面基层挂铁丝网</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原外墙面基层挂铁丝网</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原外墙面基层水泥砂浆抹灰</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20mm厚1:2.5水泥砂浆抹灰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55</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外墙面防水</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1.基层处理剂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2.面刷2mm厚聚氨酯涂抹防水</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内墙油漆及水泥砂浆基层铲除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内墙油漆及水泥砂浆基层铲除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原内墙面基层水泥砂浆抹灰</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20mm厚1:2.5水泥砂浆抹灰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58</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内墙面防水</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1.基层处理剂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2.面刷2mm厚聚氨酯涂抹防水</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59</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内墙面刷漆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1.刮腻子两遍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2.砂纸打磨平整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3.刷内墙乳胶漆三遍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w:t>
            </w:r>
          </w:p>
        </w:tc>
      </w:tr>
      <w:tr>
        <w:tblPrEx>
          <w:tblCellMar>
            <w:top w:w="0" w:type="dxa"/>
            <w:left w:w="108" w:type="dxa"/>
            <w:bottom w:w="0" w:type="dxa"/>
            <w:right w:w="108" w:type="dxa"/>
          </w:tblCellMar>
        </w:tblPrEx>
        <w:trPr>
          <w:trHeight w:val="372"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102房</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原空鼓及开裂外墙漆及水泥砂浆基层铲除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原空鼓及开裂外墙漆及水泥砂浆基层铲除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7.00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原外墙面基层挂铁丝网</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原外墙面基层挂铁丝网</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7.00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62</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原外墙面基层水泥砂浆抹灰</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20mm厚1:2.5水泥砂浆抹灰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7.00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63</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外墙面防水</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1.基层处理剂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2.面刷2mm厚聚氨酯涂抹防水</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7.00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内墙油漆及水泥砂浆基层铲除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内墙油漆及水泥砂浆基层铲除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7.00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原内墙面基层水泥砂浆抹灰</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20mm厚1:2.5水泥砂浆抹灰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7.00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内墙面防水</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1.基层处理剂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2.面刷2mm厚聚氨酯涂抹防水</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7.00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67</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内墙面刷漆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1.刮腻子两遍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2.砂纸打磨平整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3.刷内墙乳胶漆三遍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7.00</w:t>
            </w:r>
          </w:p>
        </w:tc>
      </w:tr>
      <w:tr>
        <w:tblPrEx>
          <w:tblCellMar>
            <w:top w:w="0" w:type="dxa"/>
            <w:left w:w="108" w:type="dxa"/>
            <w:bottom w:w="0" w:type="dxa"/>
            <w:right w:w="108" w:type="dxa"/>
          </w:tblCellMar>
        </w:tblPrEx>
        <w:trPr>
          <w:trHeight w:val="372"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109房</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68</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楼板地面地砖凿除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楼板地面地砖及砂浆层凿除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15.00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69</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基层水泥砂浆找平</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20mm厚1:2.5水泥砂浆地面找平</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15.00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70</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基层防水处理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1.基层处理剂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2.面刷2mm厚聚氨酯涂抹防水</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15.00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71</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地砖地面</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1.20mm厚1:2.5水泥砂浆地面找平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2.地面铺贴600*600mm防滑地砖</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15.00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内墙油漆及水泥砂浆基层铲除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内墙油漆及水泥砂浆基层铲除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15.00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73</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原内墙面基层水泥砂浆抹灰</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20mm厚1:2.5水泥砂浆抹灰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15.00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74</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内墙面防水</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1.基层处理剂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2.面刷2mm厚聚氨酯涂抹防水</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15.00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内墙面刷漆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1.刮腻子两遍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2.砂纸打磨平整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3.刷内墙乳胶漆三遍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15.00</w:t>
            </w:r>
          </w:p>
        </w:tc>
      </w:tr>
      <w:tr>
        <w:tblPrEx>
          <w:tblCellMar>
            <w:top w:w="0" w:type="dxa"/>
            <w:left w:w="108" w:type="dxa"/>
            <w:bottom w:w="0" w:type="dxa"/>
            <w:right w:w="108" w:type="dxa"/>
          </w:tblCellMar>
        </w:tblPrEx>
        <w:trPr>
          <w:trHeight w:val="372"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111房</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76</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楼板地面地砖凿除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楼板地面地砖及砂浆层凿除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15.00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77</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基层水泥砂浆找平</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20mm厚1:2.5水泥砂浆地面找平</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15.00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78</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基层防水处理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1.基层处理剂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2.面刷2mm厚聚氨酯涂抹防水</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15.00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79</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地砖地面</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1.20mm厚1:2.5水泥砂浆地面找平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2.地面铺贴600*600mm防滑地砖</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15.00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内墙油漆及水泥砂浆基层铲除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内墙油漆及水泥砂浆基层铲除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15.00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81</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原内墙面基层水泥砂浆抹灰</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20mm厚1:2.5水泥砂浆抹灰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15.00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82</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内墙面防水</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1.基层处理剂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2.面刷2mm厚聚氨酯涂抹防水</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15.00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83</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内墙面刷漆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1.刮腻子两遍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2.砂纸打磨平整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3.刷内墙乳胶漆三遍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15.00</w:t>
            </w:r>
          </w:p>
        </w:tc>
      </w:tr>
      <w:tr>
        <w:tblPrEx>
          <w:tblCellMar>
            <w:top w:w="0" w:type="dxa"/>
            <w:left w:w="108" w:type="dxa"/>
            <w:bottom w:w="0" w:type="dxa"/>
            <w:right w:w="108" w:type="dxa"/>
          </w:tblCellMar>
        </w:tblPrEx>
        <w:trPr>
          <w:trHeight w:val="372"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五、</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3楼阳台排水沟工程</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84</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阳台地面开槽</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1.机械锯缝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2.人工凿除地砖地面基混凝土基层</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8.50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85</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基层水泥砂浆找平</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1.20mm厚1:2.5水泥砂浆地面找平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2.规格：100*100mm</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8.50</w:t>
            </w:r>
          </w:p>
        </w:tc>
      </w:tr>
      <w:tr>
        <w:tblPrEx>
          <w:tblCellMar>
            <w:top w:w="0" w:type="dxa"/>
            <w:left w:w="108" w:type="dxa"/>
            <w:bottom w:w="0" w:type="dxa"/>
            <w:right w:w="108" w:type="dxa"/>
          </w:tblCellMar>
        </w:tblPrEx>
        <w:trPr>
          <w:trHeight w:val="135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86</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基层防水处理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1.基层处理剂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2.面刷2mm厚聚氨酯涂抹防水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3.规格：100*100mm</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8.50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87</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排水沟内侧贴瓷砖</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1.20mm厚1:2.5水泥砂浆地面找平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2.地面铺贴600*600mm防滑地砖</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8.50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六、</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茶水门口漏水修复工程</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88</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原蜂窝铝板吊顶拆除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原蜂窝铝板吊顶拆除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12.00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89</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蜂窝铝板吊顶</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w:t>
            </w:r>
            <w:r>
              <w:rPr>
                <w:rFonts w:hint="eastAsia" w:ascii="宋体" w:hAnsi="宋体" w:cs="宋体"/>
                <w:color w:val="000000"/>
                <w:kern w:val="0"/>
                <w:sz w:val="18"/>
                <w:szCs w:val="18"/>
              </w:rPr>
              <w:t>轻钢龙骨骨架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2.12mm厚蜂窝铝板面层</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12.00</w:t>
            </w:r>
          </w:p>
        </w:tc>
      </w:tr>
      <w:tr>
        <w:tblPrEx>
          <w:tblCellMar>
            <w:top w:w="0" w:type="dxa"/>
            <w:left w:w="108" w:type="dxa"/>
            <w:bottom w:w="0" w:type="dxa"/>
            <w:right w:w="108" w:type="dxa"/>
          </w:tblCellMar>
        </w:tblPrEx>
        <w:trPr>
          <w:trHeight w:val="372"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七、</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木地板翻新工程</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90</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栈道木材地板翻新</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w:t>
            </w:r>
            <w:r>
              <w:rPr>
                <w:rFonts w:hint="eastAsia" w:ascii="宋体" w:hAnsi="宋体" w:cs="宋体"/>
                <w:color w:val="000000"/>
                <w:kern w:val="0"/>
                <w:sz w:val="18"/>
                <w:szCs w:val="18"/>
              </w:rPr>
              <w:t>原有防腐木漆简易清污打磨处理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2.重新油刷底油一遍、面漆二遍处理</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145.00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91</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电视塔15楼平台木材地板翻新</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w:t>
            </w:r>
            <w:r>
              <w:rPr>
                <w:rFonts w:hint="eastAsia" w:ascii="宋体" w:hAnsi="宋体" w:cs="宋体"/>
                <w:color w:val="000000"/>
                <w:kern w:val="0"/>
                <w:sz w:val="18"/>
                <w:szCs w:val="18"/>
              </w:rPr>
              <w:t>原有防腐木漆简易清污打磨处理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2.重新油刷底油一遍、面漆二遍处理</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317.00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92</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综合楼四楼室外木材地板及葡萄架翻新</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w:t>
            </w:r>
            <w:r>
              <w:rPr>
                <w:rFonts w:hint="eastAsia" w:ascii="宋体" w:hAnsi="宋体" w:cs="宋体"/>
                <w:color w:val="000000"/>
                <w:kern w:val="0"/>
                <w:sz w:val="18"/>
                <w:szCs w:val="18"/>
              </w:rPr>
              <w:t>原有防腐木漆简易清污打磨处理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2.重新油刷底油一遍、面漆二遍处理</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310.00</w:t>
            </w:r>
          </w:p>
        </w:tc>
      </w:tr>
      <w:tr>
        <w:tblPrEx>
          <w:tblCellMar>
            <w:top w:w="0" w:type="dxa"/>
            <w:left w:w="108" w:type="dxa"/>
            <w:bottom w:w="0" w:type="dxa"/>
            <w:right w:w="108" w:type="dxa"/>
          </w:tblCellMar>
        </w:tblPrEx>
        <w:trPr>
          <w:trHeight w:val="372"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八、</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玻璃雨棚修复工程</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93</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原玻璃雨棚修复</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1.老化玻璃胶铲除</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2.表面结构胶嵌缝加固</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300.00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九、</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阳台天花底部翻新工程</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94</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阳台天花底部外墙漆铲除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阳台天花底部外墙漆铲除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260.00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阳台天花底部刷漆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1.刮耐水腻子两遍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2.砂纸打磨平整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3.刷防水外墙漆三遍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260.00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十、</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石岩基地值班员工宿舍踢脚线修复工程</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96</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原踢脚线拆除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原踢脚线拆除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130.00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97</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踢脚线</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1.1:2.5粘结层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2.面贴100mm高踢脚线</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130.00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十一、</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中心大楼一楼厨房改造工程</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98</w:t>
            </w:r>
          </w:p>
        </w:tc>
        <w:tc>
          <w:tcPr>
            <w:tcW w:w="2437" w:type="dxa"/>
            <w:tcBorders>
              <w:top w:val="nil"/>
              <w:left w:val="nil"/>
              <w:bottom w:val="single" w:color="auto" w:sz="4" w:space="0"/>
              <w:right w:val="single" w:color="auto" w:sz="4" w:space="0"/>
            </w:tcBorders>
            <w:shd w:val="clear" w:color="000000" w:fill="FFFFFF"/>
            <w:vAlign w:val="center"/>
          </w:tcPr>
          <w:p>
            <w:pPr>
              <w:widowControl/>
              <w:spacing w:after="240"/>
              <w:jc w:val="left"/>
              <w:rPr>
                <w:rFonts w:ascii="宋体" w:hAnsi="宋体" w:cs="宋体"/>
                <w:color w:val="000000"/>
                <w:kern w:val="0"/>
                <w:sz w:val="18"/>
                <w:szCs w:val="18"/>
              </w:rPr>
            </w:pPr>
            <w:r>
              <w:rPr>
                <w:rFonts w:hint="eastAsia" w:ascii="宋体" w:hAnsi="宋体" w:cs="宋体"/>
                <w:color w:val="000000"/>
                <w:kern w:val="0"/>
                <w:sz w:val="18"/>
                <w:szCs w:val="18"/>
              </w:rPr>
              <w:t>拆除原厨房排风管道</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拆除原厨房排风管道</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99</w:t>
            </w:r>
          </w:p>
        </w:tc>
        <w:tc>
          <w:tcPr>
            <w:tcW w:w="2437" w:type="dxa"/>
            <w:tcBorders>
              <w:top w:val="nil"/>
              <w:left w:val="nil"/>
              <w:bottom w:val="single" w:color="auto" w:sz="4" w:space="0"/>
              <w:right w:val="single" w:color="auto" w:sz="4" w:space="0"/>
            </w:tcBorders>
            <w:shd w:val="clear" w:color="000000" w:fill="FFFFFF"/>
            <w:vAlign w:val="center"/>
          </w:tcPr>
          <w:p>
            <w:pPr>
              <w:widowControl/>
              <w:spacing w:after="240"/>
              <w:jc w:val="left"/>
              <w:rPr>
                <w:rFonts w:ascii="宋体" w:hAnsi="宋体" w:cs="宋体"/>
                <w:color w:val="000000"/>
                <w:kern w:val="0"/>
                <w:sz w:val="18"/>
                <w:szCs w:val="18"/>
              </w:rPr>
            </w:pPr>
            <w:r>
              <w:rPr>
                <w:rFonts w:hint="eastAsia" w:ascii="宋体" w:hAnsi="宋体" w:cs="宋体"/>
                <w:color w:val="000000"/>
                <w:kern w:val="0"/>
                <w:sz w:val="18"/>
                <w:szCs w:val="18"/>
              </w:rPr>
              <w:t>拆除原厨房电线、线管</w:t>
            </w:r>
          </w:p>
        </w:tc>
        <w:tc>
          <w:tcPr>
            <w:tcW w:w="2410" w:type="dxa"/>
            <w:tcBorders>
              <w:top w:val="nil"/>
              <w:left w:val="nil"/>
              <w:bottom w:val="single" w:color="auto" w:sz="4" w:space="0"/>
              <w:right w:val="single" w:color="auto" w:sz="4" w:space="0"/>
            </w:tcBorders>
            <w:shd w:val="clear" w:color="000000" w:fill="FFFFFF"/>
            <w:vAlign w:val="center"/>
          </w:tcPr>
          <w:p>
            <w:pPr>
              <w:widowControl/>
              <w:spacing w:after="240"/>
              <w:jc w:val="left"/>
              <w:rPr>
                <w:rFonts w:ascii="宋体" w:hAnsi="宋体" w:cs="宋体"/>
                <w:color w:val="000000"/>
                <w:kern w:val="0"/>
                <w:sz w:val="18"/>
                <w:szCs w:val="18"/>
              </w:rPr>
            </w:pPr>
            <w:r>
              <w:rPr>
                <w:rFonts w:hint="eastAsia" w:ascii="宋体" w:hAnsi="宋体" w:cs="宋体"/>
                <w:color w:val="000000"/>
                <w:kern w:val="0"/>
                <w:sz w:val="18"/>
                <w:szCs w:val="18"/>
              </w:rPr>
              <w:t>拆除原厨房电线、线管</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40.00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楼板地面地砖凿除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楼板地面地砖及砂浆层凿除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40.00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101</w:t>
            </w:r>
          </w:p>
        </w:tc>
        <w:tc>
          <w:tcPr>
            <w:tcW w:w="2437" w:type="dxa"/>
            <w:tcBorders>
              <w:top w:val="nil"/>
              <w:left w:val="nil"/>
              <w:bottom w:val="single" w:color="auto" w:sz="4" w:space="0"/>
              <w:right w:val="single" w:color="auto" w:sz="4" w:space="0"/>
            </w:tcBorders>
            <w:shd w:val="clear" w:color="000000" w:fill="FFFFFF"/>
            <w:vAlign w:val="center"/>
          </w:tcPr>
          <w:p>
            <w:pPr>
              <w:widowControl/>
              <w:spacing w:after="240"/>
              <w:jc w:val="left"/>
              <w:rPr>
                <w:rFonts w:ascii="宋体" w:hAnsi="宋体" w:cs="宋体"/>
                <w:color w:val="000000"/>
                <w:kern w:val="0"/>
                <w:sz w:val="18"/>
                <w:szCs w:val="18"/>
              </w:rPr>
            </w:pPr>
            <w:r>
              <w:rPr>
                <w:rFonts w:hint="eastAsia" w:ascii="宋体" w:hAnsi="宋体" w:cs="宋体"/>
                <w:color w:val="000000"/>
                <w:kern w:val="0"/>
                <w:sz w:val="18"/>
                <w:szCs w:val="18"/>
              </w:rPr>
              <w:t>拆除原排水沟盖板</w:t>
            </w:r>
          </w:p>
        </w:tc>
        <w:tc>
          <w:tcPr>
            <w:tcW w:w="2410" w:type="dxa"/>
            <w:tcBorders>
              <w:top w:val="nil"/>
              <w:left w:val="nil"/>
              <w:bottom w:val="single" w:color="auto" w:sz="4" w:space="0"/>
              <w:right w:val="single" w:color="auto" w:sz="4" w:space="0"/>
            </w:tcBorders>
            <w:shd w:val="clear" w:color="000000" w:fill="FFFFFF"/>
            <w:vAlign w:val="center"/>
          </w:tcPr>
          <w:p>
            <w:pPr>
              <w:widowControl/>
              <w:spacing w:after="240"/>
              <w:jc w:val="left"/>
              <w:rPr>
                <w:rFonts w:ascii="宋体" w:hAnsi="宋体" w:cs="宋体"/>
                <w:color w:val="000000"/>
                <w:kern w:val="0"/>
                <w:sz w:val="18"/>
                <w:szCs w:val="18"/>
              </w:rPr>
            </w:pPr>
            <w:r>
              <w:rPr>
                <w:rFonts w:hint="eastAsia" w:ascii="宋体" w:hAnsi="宋体" w:cs="宋体"/>
                <w:color w:val="000000"/>
                <w:kern w:val="0"/>
                <w:sz w:val="18"/>
                <w:szCs w:val="18"/>
              </w:rPr>
              <w:t>拆除原排水沟盖板</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15.00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102</w:t>
            </w:r>
          </w:p>
        </w:tc>
        <w:tc>
          <w:tcPr>
            <w:tcW w:w="2437" w:type="dxa"/>
            <w:tcBorders>
              <w:top w:val="nil"/>
              <w:left w:val="nil"/>
              <w:bottom w:val="single" w:color="auto" w:sz="4" w:space="0"/>
              <w:right w:val="single" w:color="auto" w:sz="4" w:space="0"/>
            </w:tcBorders>
            <w:shd w:val="clear" w:color="000000" w:fill="FFFFFF"/>
            <w:vAlign w:val="center"/>
          </w:tcPr>
          <w:p>
            <w:pPr>
              <w:widowControl/>
              <w:spacing w:after="240"/>
              <w:jc w:val="left"/>
              <w:rPr>
                <w:rFonts w:ascii="宋体" w:hAnsi="宋体" w:cs="宋体"/>
                <w:color w:val="000000"/>
                <w:kern w:val="0"/>
                <w:sz w:val="18"/>
                <w:szCs w:val="18"/>
              </w:rPr>
            </w:pPr>
            <w:r>
              <w:rPr>
                <w:rFonts w:hint="eastAsia" w:ascii="宋体" w:hAnsi="宋体" w:cs="宋体"/>
                <w:color w:val="000000"/>
                <w:kern w:val="0"/>
                <w:sz w:val="18"/>
                <w:szCs w:val="18"/>
              </w:rPr>
              <w:t>拆除原电箱柜</w:t>
            </w:r>
          </w:p>
        </w:tc>
        <w:tc>
          <w:tcPr>
            <w:tcW w:w="2410" w:type="dxa"/>
            <w:tcBorders>
              <w:top w:val="nil"/>
              <w:left w:val="nil"/>
              <w:bottom w:val="single" w:color="auto" w:sz="4" w:space="0"/>
              <w:right w:val="single" w:color="auto" w:sz="4" w:space="0"/>
            </w:tcBorders>
            <w:shd w:val="clear" w:color="000000" w:fill="FFFFFF"/>
            <w:vAlign w:val="center"/>
          </w:tcPr>
          <w:p>
            <w:pPr>
              <w:widowControl/>
              <w:spacing w:after="240"/>
              <w:jc w:val="left"/>
              <w:rPr>
                <w:rFonts w:ascii="宋体" w:hAnsi="宋体" w:cs="宋体"/>
                <w:color w:val="000000"/>
                <w:kern w:val="0"/>
                <w:sz w:val="18"/>
                <w:szCs w:val="18"/>
              </w:rPr>
            </w:pPr>
            <w:r>
              <w:rPr>
                <w:rFonts w:hint="eastAsia" w:ascii="宋体" w:hAnsi="宋体" w:cs="宋体"/>
                <w:color w:val="000000"/>
                <w:kern w:val="0"/>
                <w:sz w:val="18"/>
                <w:szCs w:val="18"/>
              </w:rPr>
              <w:t>拆除原电箱柜</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103</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拆除后门双开铝合金门</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拆除后门双开铝合金门</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104</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地砖地面</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1.20mm厚1:2.5水泥砂浆地面找平</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2.地面铺贴600*600mm防滑地砖</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40.00</w:t>
            </w:r>
          </w:p>
        </w:tc>
      </w:tr>
      <w:tr>
        <w:tblPrEx>
          <w:tblCellMar>
            <w:top w:w="0" w:type="dxa"/>
            <w:left w:w="108" w:type="dxa"/>
            <w:bottom w:w="0" w:type="dxa"/>
            <w:right w:w="108" w:type="dxa"/>
          </w:tblCellMar>
        </w:tblPrEx>
        <w:trPr>
          <w:trHeight w:val="1827"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105</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重新建排水沟槽</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1.MD7.5水泥砂浆砌筑排水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2.内侧水泥砂浆抹灰、防水、表面贴瓷砖</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3.规格：100+100+100mm</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19.00</w:t>
            </w:r>
          </w:p>
        </w:tc>
      </w:tr>
      <w:tr>
        <w:tblPrEx>
          <w:tblCellMar>
            <w:top w:w="0" w:type="dxa"/>
            <w:left w:w="108" w:type="dxa"/>
            <w:bottom w:w="0" w:type="dxa"/>
            <w:right w:w="108" w:type="dxa"/>
          </w:tblCellMar>
        </w:tblPrEx>
        <w:trPr>
          <w:trHeight w:val="1590"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106</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照明配电箱</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1.成品配电箱安装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2.含断路器、漏电开关、箱体等主配件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3.配电箱规格：800*100mm</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107</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304不锈钢排水沟盖板</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1.成品304不锈钢排水沟盖板安装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2.规格：350*350mm</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38</w:t>
            </w:r>
          </w:p>
        </w:tc>
      </w:tr>
      <w:tr>
        <w:tblPrEx>
          <w:tblCellMar>
            <w:top w:w="0" w:type="dxa"/>
            <w:left w:w="108" w:type="dxa"/>
            <w:bottom w:w="0" w:type="dxa"/>
            <w:right w:w="108" w:type="dxa"/>
          </w:tblCellMar>
        </w:tblPrEx>
        <w:trPr>
          <w:trHeight w:val="1590"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108</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双开不锈钢门</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1.成品双开不锈钢门安装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2.含门锁、合页等五金配件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3.规格：1500*2100mm</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樘</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109</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部分瓷砖墙面修复</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部分瓷砖墙面修复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110</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厨房照明电气管线及开关插座、灯具安装</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含线管，6平方电线，灯管，开关，插座</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40.00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111</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不锈钢排风管道</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1.不锈钢排风管道安装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2.规格：400*400mm</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16.00</w:t>
            </w:r>
          </w:p>
        </w:tc>
      </w:tr>
      <w:tr>
        <w:tblPrEx>
          <w:tblCellMar>
            <w:top w:w="0" w:type="dxa"/>
            <w:left w:w="108" w:type="dxa"/>
            <w:bottom w:w="0" w:type="dxa"/>
            <w:right w:w="108" w:type="dxa"/>
          </w:tblCellMar>
        </w:tblPrEx>
        <w:trPr>
          <w:trHeight w:val="372"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112</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管道排风机</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管道排风机安装</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113</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管道排油烟风机</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管道排油烟风机安装</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114</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原杂物间洗菜盆拆除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原杂物间洗菜盆拆除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杂物间铝合金玻璃隔断</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1.12mm钢化玻璃隔断安装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2.铝合金边框</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13.00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116</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新装不锈钢洗菜盆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1.新装不锈钢洗菜盆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2.含龙头、角阀等主配件</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1590"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117</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杂物间新装铝合金玻璃门</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1.成品铝合金玻璃门安装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2.含门锁、合页等五金配件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3.规格：800*2100mm</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樘</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118</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杂物间照明电气管线及开关插座、灯具安装</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含线管，6平方电线，灯管，开关，插座</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15.00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119</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排风管铝合金出风口</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1.成品铝合金出风口安装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2.规格：300*600mm</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w:t>
            </w:r>
          </w:p>
        </w:tc>
      </w:tr>
      <w:tr>
        <w:tblPrEx>
          <w:tblCellMar>
            <w:top w:w="0" w:type="dxa"/>
            <w:left w:w="108" w:type="dxa"/>
            <w:bottom w:w="0" w:type="dxa"/>
            <w:right w:w="108" w:type="dxa"/>
          </w:tblCellMar>
        </w:tblPrEx>
        <w:trPr>
          <w:trHeight w:val="1590"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120</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后门双开不锈钢门</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1.成品双开不锈钢门安装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2.含门锁、合页等五金配件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3.规格：1500*2100mm</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樘</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121</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原铝合金棚顶阳光板拆除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原铝合金棚顶阳光板拆除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13.50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122</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耐力板雨棚</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1.铝合金骨架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2.面铺耐力板</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13.50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123</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铝扣板吊顶</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1.轻钢龙骨骨架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2.600*300铝扣板面层</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13.50</w:t>
            </w:r>
          </w:p>
        </w:tc>
      </w:tr>
      <w:tr>
        <w:tblPrEx>
          <w:tblCellMar>
            <w:top w:w="0" w:type="dxa"/>
            <w:left w:w="108" w:type="dxa"/>
            <w:bottom w:w="0" w:type="dxa"/>
            <w:right w:w="108" w:type="dxa"/>
          </w:tblCellMar>
        </w:tblPrEx>
        <w:trPr>
          <w:trHeight w:val="63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十二、</w:t>
            </w:r>
          </w:p>
        </w:tc>
        <w:tc>
          <w:tcPr>
            <w:tcW w:w="4847"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技术中心大楼楼梯间防水修复工程</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124</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二楼梯外墙渗水处理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外墙与二楼天棚交接处，注浆填满，用抗裂砂浆，再用911防水涂料</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135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125</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五楼梯间墙与女卫生间墙交接渗水处理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女卫生间蹲位地面做防水，用水不漏水泥填缝，再用透明防水涂料刷二遍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126</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二楼梯间墙及五楼梯间墙脱漆空鼓表面铲除</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内墙油漆及水泥砂浆基层铲除</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127</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二楼梯间墙及五楼梯间墙基层水泥砂浆抹灰</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20mm厚1:2.5水泥砂浆抹灰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60.00</w:t>
            </w:r>
          </w:p>
        </w:tc>
      </w:tr>
      <w:tr>
        <w:tblPrEx>
          <w:tblCellMar>
            <w:top w:w="0" w:type="dxa"/>
            <w:left w:w="108" w:type="dxa"/>
            <w:bottom w:w="0" w:type="dxa"/>
            <w:right w:w="108" w:type="dxa"/>
          </w:tblCellMar>
        </w:tblPrEx>
        <w:trPr>
          <w:trHeight w:val="879"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128</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二楼梯间墙及五楼梯间墙基层防水</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1.基层处理剂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2.面刷2mm厚聚氨酯涂抹防水</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60.00</w:t>
            </w:r>
          </w:p>
        </w:tc>
      </w:tr>
      <w:tr>
        <w:tblPrEx>
          <w:tblCellMar>
            <w:top w:w="0" w:type="dxa"/>
            <w:left w:w="108" w:type="dxa"/>
            <w:bottom w:w="0" w:type="dxa"/>
            <w:right w:w="108" w:type="dxa"/>
          </w:tblCellMar>
        </w:tblPrEx>
        <w:trPr>
          <w:trHeight w:val="1113" w:hRule="atLeast"/>
        </w:trPr>
        <w:tc>
          <w:tcPr>
            <w:tcW w:w="96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129</w:t>
            </w:r>
          </w:p>
        </w:tc>
        <w:tc>
          <w:tcPr>
            <w:tcW w:w="24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二楼梯间墙及五楼梯间墙刷漆</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1.刮腻子两遍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2.砂纸打磨平整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3.刷内墙乳胶漆三遍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180.00</w:t>
            </w:r>
          </w:p>
        </w:tc>
      </w:tr>
    </w:tbl>
    <w:p>
      <w:pPr>
        <w:adjustRightInd w:val="0"/>
        <w:snapToGrid w:val="0"/>
        <w:spacing w:line="360" w:lineRule="auto"/>
        <w:rPr>
          <w:rFonts w:ascii="仿宋" w:hAnsi="仿宋" w:eastAsia="仿宋" w:cs="仿宋"/>
          <w:b/>
          <w:sz w:val="28"/>
          <w:szCs w:val="28"/>
          <w:lang w:val="zh-CN"/>
        </w:rPr>
      </w:pPr>
    </w:p>
    <w:p>
      <w:pPr>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 xml:space="preserve"> </w:t>
      </w:r>
    </w:p>
    <w:p>
      <w:pPr>
        <w:pStyle w:val="5"/>
        <w:tabs>
          <w:tab w:val="left" w:pos="7740"/>
        </w:tabs>
        <w:adjustRightInd w:val="0"/>
        <w:snapToGrid w:val="0"/>
        <w:spacing w:line="360" w:lineRule="auto"/>
        <w:ind w:firstLine="562" w:firstLineChars="200"/>
        <w:jc w:val="center"/>
        <w:rPr>
          <w:rFonts w:ascii="仿宋" w:hAnsi="仿宋" w:eastAsia="仿宋" w:cs="仿宋"/>
          <w:b/>
          <w:bCs/>
          <w:sz w:val="28"/>
          <w:szCs w:val="28"/>
          <w:lang w:val="zh-CN"/>
        </w:rPr>
      </w:pPr>
      <w:r>
        <w:rPr>
          <w:rFonts w:hint="eastAsia" w:ascii="仿宋" w:hAnsi="仿宋" w:eastAsia="仿宋" w:cs="仿宋"/>
          <w:b/>
          <w:bCs/>
          <w:sz w:val="28"/>
          <w:szCs w:val="28"/>
        </w:rPr>
        <w:t xml:space="preserve">第三部分  </w:t>
      </w:r>
      <w:r>
        <w:rPr>
          <w:rFonts w:hint="eastAsia" w:ascii="仿宋" w:hAnsi="仿宋" w:eastAsia="仿宋" w:cs="仿宋"/>
          <w:b/>
          <w:bCs/>
          <w:sz w:val="28"/>
          <w:szCs w:val="28"/>
          <w:lang w:val="zh-CN"/>
        </w:rPr>
        <w:t>采购项目商务要求</w:t>
      </w:r>
    </w:p>
    <w:p>
      <w:pPr>
        <w:tabs>
          <w:tab w:val="left" w:pos="7740"/>
        </w:tabs>
        <w:autoSpaceDE w:val="0"/>
        <w:autoSpaceDN w:val="0"/>
        <w:adjustRightInd w:val="0"/>
        <w:snapToGrid w:val="0"/>
        <w:spacing w:line="360" w:lineRule="auto"/>
        <w:ind w:firstLine="560" w:firstLineChars="200"/>
        <w:rPr>
          <w:rFonts w:ascii="仿宋" w:hAnsi="仿宋" w:eastAsia="仿宋" w:cs="仿宋"/>
          <w:sz w:val="28"/>
          <w:szCs w:val="28"/>
        </w:rPr>
      </w:pPr>
    </w:p>
    <w:p>
      <w:pPr>
        <w:tabs>
          <w:tab w:val="left" w:pos="7740"/>
        </w:tabs>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一、竣工期限：签订合同起</w:t>
      </w:r>
      <w:r>
        <w:rPr>
          <w:rFonts w:ascii="仿宋" w:hAnsi="仿宋" w:eastAsia="仿宋" w:cs="仿宋"/>
          <w:sz w:val="28"/>
          <w:szCs w:val="28"/>
        </w:rPr>
        <w:t>100</w:t>
      </w:r>
      <w:r>
        <w:rPr>
          <w:rFonts w:hint="eastAsia" w:ascii="仿宋" w:hAnsi="仿宋" w:eastAsia="仿宋" w:cs="仿宋"/>
          <w:sz w:val="28"/>
          <w:szCs w:val="28"/>
        </w:rPr>
        <w:t>个日历天；</w:t>
      </w:r>
    </w:p>
    <w:p>
      <w:pPr>
        <w:tabs>
          <w:tab w:val="left" w:pos="7740"/>
        </w:tabs>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二、保修期（含保修期服务要求）：1年或以上；</w:t>
      </w:r>
    </w:p>
    <w:p>
      <w:pPr>
        <w:tabs>
          <w:tab w:val="left" w:pos="7740"/>
        </w:tabs>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三、采购单位将自投标人履行完合同义务之日起10个工作日内组织验收；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四、付款方式：另行约定。</w:t>
      </w:r>
    </w:p>
    <w:p>
      <w:pPr>
        <w:adjustRightInd w:val="0"/>
        <w:snapToGrid w:val="0"/>
        <w:spacing w:line="360" w:lineRule="auto"/>
        <w:jc w:val="center"/>
        <w:rPr>
          <w:rFonts w:ascii="仿宋" w:hAnsi="仿宋" w:eastAsia="仿宋" w:cs="仿宋"/>
          <w:b/>
          <w:bCs/>
          <w:sz w:val="28"/>
          <w:szCs w:val="28"/>
        </w:rPr>
      </w:pPr>
    </w:p>
    <w:p>
      <w:pPr>
        <w:adjustRightInd w:val="0"/>
        <w:snapToGrid w:val="0"/>
        <w:spacing w:line="360" w:lineRule="auto"/>
        <w:jc w:val="center"/>
        <w:rPr>
          <w:rFonts w:ascii="仿宋" w:hAnsi="仿宋" w:eastAsia="仿宋" w:cs="仿宋"/>
          <w:b/>
          <w:bCs/>
          <w:sz w:val="28"/>
          <w:szCs w:val="28"/>
        </w:rPr>
      </w:pPr>
      <w:r>
        <w:rPr>
          <w:rFonts w:hint="eastAsia" w:ascii="仿宋" w:hAnsi="仿宋" w:eastAsia="仿宋" w:cs="仿宋"/>
          <w:b/>
          <w:bCs/>
          <w:sz w:val="28"/>
          <w:szCs w:val="28"/>
        </w:rPr>
        <w:t>第四部分  投标人须知</w:t>
      </w:r>
    </w:p>
    <w:p>
      <w:pPr>
        <w:pStyle w:val="5"/>
        <w:tabs>
          <w:tab w:val="left" w:pos="7740"/>
        </w:tabs>
        <w:adjustRightInd w:val="0"/>
        <w:snapToGrid w:val="0"/>
        <w:spacing w:line="360" w:lineRule="auto"/>
        <w:jc w:val="center"/>
        <w:rPr>
          <w:rFonts w:ascii="仿宋" w:hAnsi="仿宋" w:eastAsia="仿宋" w:cs="仿宋"/>
          <w:b/>
          <w:sz w:val="28"/>
          <w:szCs w:val="28"/>
          <w:lang w:val="zh-CN"/>
        </w:rPr>
      </w:pPr>
    </w:p>
    <w:p>
      <w:pPr>
        <w:tabs>
          <w:tab w:val="left" w:pos="7740"/>
        </w:tabs>
        <w:autoSpaceDE w:val="0"/>
        <w:autoSpaceDN w:val="0"/>
        <w:adjustRightInd w:val="0"/>
        <w:snapToGrid w:val="0"/>
        <w:spacing w:line="360" w:lineRule="auto"/>
        <w:ind w:left="420" w:leftChars="200" w:right="34"/>
        <w:rPr>
          <w:rFonts w:ascii="仿宋" w:hAnsi="仿宋" w:eastAsia="仿宋" w:cs="仿宋"/>
          <w:b/>
          <w:bCs/>
          <w:sz w:val="28"/>
          <w:szCs w:val="28"/>
        </w:rPr>
      </w:pPr>
      <w:r>
        <w:rPr>
          <w:rFonts w:hint="eastAsia" w:ascii="仿宋" w:hAnsi="仿宋" w:eastAsia="仿宋" w:cs="仿宋"/>
          <w:b/>
          <w:bCs/>
          <w:sz w:val="28"/>
          <w:szCs w:val="28"/>
        </w:rPr>
        <w:t>一、投标文件的递交</w:t>
      </w:r>
    </w:p>
    <w:p>
      <w:pPr>
        <w:tabs>
          <w:tab w:val="left" w:pos="7740"/>
        </w:tabs>
        <w:autoSpaceDE w:val="0"/>
        <w:autoSpaceDN w:val="0"/>
        <w:adjustRightInd w:val="0"/>
        <w:snapToGrid w:val="0"/>
        <w:spacing w:line="360" w:lineRule="auto"/>
        <w:ind w:right="34" w:firstLine="560" w:firstLineChars="200"/>
        <w:rPr>
          <w:rFonts w:ascii="仿宋" w:hAnsi="仿宋" w:eastAsia="仿宋" w:cs="仿宋"/>
          <w:bCs/>
          <w:sz w:val="28"/>
          <w:szCs w:val="28"/>
        </w:rPr>
      </w:pPr>
      <w:r>
        <w:rPr>
          <w:rFonts w:hint="eastAsia" w:ascii="仿宋" w:hAnsi="仿宋" w:eastAsia="仿宋" w:cs="仿宋"/>
          <w:bCs/>
          <w:sz w:val="28"/>
          <w:szCs w:val="28"/>
        </w:rPr>
        <w:t>1. 投标文件应进行包装、加贴封条。一式五份（正本1份、副本4份），外包装上应当注明采购项目名称、注明“在规定的开标日期和时点之前不得启封”的字样，封口处应加盖投标人印章。</w:t>
      </w:r>
    </w:p>
    <w:p>
      <w:pPr>
        <w:tabs>
          <w:tab w:val="left" w:pos="7740"/>
        </w:tabs>
        <w:autoSpaceDE w:val="0"/>
        <w:autoSpaceDN w:val="0"/>
        <w:adjustRightInd w:val="0"/>
        <w:snapToGrid w:val="0"/>
        <w:spacing w:line="360" w:lineRule="auto"/>
        <w:ind w:right="34" w:firstLine="560" w:firstLineChars="200"/>
        <w:rPr>
          <w:rFonts w:ascii="仿宋" w:hAnsi="仿宋" w:eastAsia="仿宋" w:cs="仿宋"/>
          <w:bCs/>
          <w:sz w:val="28"/>
          <w:szCs w:val="28"/>
        </w:rPr>
      </w:pPr>
      <w:r>
        <w:rPr>
          <w:rFonts w:hint="eastAsia" w:ascii="仿宋" w:hAnsi="仿宋" w:eastAsia="仿宋" w:cs="仿宋"/>
          <w:bCs/>
          <w:sz w:val="28"/>
          <w:szCs w:val="28"/>
        </w:rPr>
        <w:t>2. 投标文件可以通过快递寄送到采购单位，由采购单位联系人签收。</w:t>
      </w:r>
    </w:p>
    <w:p>
      <w:pPr>
        <w:tabs>
          <w:tab w:val="left" w:pos="7740"/>
        </w:tabs>
        <w:autoSpaceDE w:val="0"/>
        <w:autoSpaceDN w:val="0"/>
        <w:adjustRightInd w:val="0"/>
        <w:snapToGrid w:val="0"/>
        <w:spacing w:line="360" w:lineRule="auto"/>
        <w:ind w:right="34" w:firstLine="560" w:firstLineChars="200"/>
        <w:rPr>
          <w:rFonts w:ascii="仿宋" w:hAnsi="仿宋" w:eastAsia="仿宋" w:cs="仿宋"/>
          <w:bCs/>
          <w:sz w:val="28"/>
          <w:szCs w:val="28"/>
        </w:rPr>
      </w:pPr>
      <w:r>
        <w:rPr>
          <w:rFonts w:hint="eastAsia" w:ascii="仿宋" w:hAnsi="仿宋" w:eastAsia="仿宋" w:cs="仿宋"/>
          <w:bCs/>
          <w:sz w:val="28"/>
          <w:szCs w:val="28"/>
        </w:rPr>
        <w:t>3. 投标人所提交的投标文件在评标结束后，无论中标与否都不予退还。</w:t>
      </w:r>
    </w:p>
    <w:p>
      <w:pPr>
        <w:pStyle w:val="5"/>
        <w:tabs>
          <w:tab w:val="left" w:pos="7740"/>
        </w:tabs>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二、开标与评标</w:t>
      </w:r>
    </w:p>
    <w:p>
      <w:pPr>
        <w:tabs>
          <w:tab w:val="left" w:pos="7740"/>
        </w:tabs>
        <w:autoSpaceDE w:val="0"/>
        <w:autoSpaceDN w:val="0"/>
        <w:adjustRightInd w:val="0"/>
        <w:snapToGrid w:val="0"/>
        <w:spacing w:line="360" w:lineRule="auto"/>
        <w:ind w:right="32" w:firstLine="560" w:firstLineChars="200"/>
        <w:rPr>
          <w:rFonts w:ascii="仿宋" w:hAnsi="仿宋" w:eastAsia="仿宋" w:cs="仿宋"/>
          <w:bCs/>
          <w:sz w:val="28"/>
          <w:szCs w:val="28"/>
        </w:rPr>
      </w:pPr>
      <w:r>
        <w:rPr>
          <w:rFonts w:hint="eastAsia" w:ascii="仿宋" w:hAnsi="仿宋" w:eastAsia="仿宋" w:cs="仿宋"/>
          <w:bCs/>
          <w:sz w:val="28"/>
          <w:szCs w:val="28"/>
        </w:rPr>
        <w:t>1. 采购人在规定的日期、时间和地点组织公开开标。</w:t>
      </w:r>
    </w:p>
    <w:p>
      <w:pPr>
        <w:tabs>
          <w:tab w:val="left" w:pos="7740"/>
        </w:tabs>
        <w:autoSpaceDE w:val="0"/>
        <w:autoSpaceDN w:val="0"/>
        <w:adjustRightInd w:val="0"/>
        <w:snapToGrid w:val="0"/>
        <w:spacing w:line="360" w:lineRule="auto"/>
        <w:ind w:right="32" w:firstLine="560" w:firstLineChars="200"/>
        <w:rPr>
          <w:rFonts w:ascii="仿宋" w:hAnsi="仿宋" w:eastAsia="仿宋" w:cs="仿宋"/>
          <w:bCs/>
          <w:sz w:val="28"/>
          <w:szCs w:val="28"/>
        </w:rPr>
      </w:pPr>
      <w:r>
        <w:rPr>
          <w:rFonts w:hint="eastAsia" w:ascii="仿宋" w:hAnsi="仿宋" w:eastAsia="仿宋" w:cs="仿宋"/>
          <w:bCs/>
          <w:sz w:val="28"/>
          <w:szCs w:val="28"/>
        </w:rPr>
        <w:t>2. 评标委员会只对确定为实质上响应招标文件要求的投标文件进行评价和比较。</w:t>
      </w:r>
    </w:p>
    <w:p>
      <w:pPr>
        <w:tabs>
          <w:tab w:val="left" w:pos="7740"/>
        </w:tabs>
        <w:autoSpaceDE w:val="0"/>
        <w:autoSpaceDN w:val="0"/>
        <w:adjustRightInd w:val="0"/>
        <w:snapToGrid w:val="0"/>
        <w:spacing w:line="360" w:lineRule="auto"/>
        <w:ind w:right="32" w:firstLine="560" w:firstLineChars="200"/>
        <w:rPr>
          <w:rFonts w:ascii="仿宋" w:hAnsi="仿宋" w:eastAsia="仿宋" w:cs="仿宋"/>
          <w:bCs/>
          <w:sz w:val="28"/>
          <w:szCs w:val="28"/>
        </w:rPr>
      </w:pPr>
      <w:r>
        <w:rPr>
          <w:rFonts w:hint="eastAsia" w:ascii="仿宋" w:hAnsi="仿宋" w:eastAsia="仿宋" w:cs="仿宋"/>
          <w:bCs/>
          <w:sz w:val="28"/>
          <w:szCs w:val="28"/>
        </w:rPr>
        <w:t>3. 采用综合评分法的，按评审的综合得分由高到低顺序排列。</w:t>
      </w:r>
    </w:p>
    <w:p>
      <w:pPr>
        <w:tabs>
          <w:tab w:val="left" w:pos="7740"/>
        </w:tabs>
        <w:autoSpaceDE w:val="0"/>
        <w:autoSpaceDN w:val="0"/>
        <w:adjustRightInd w:val="0"/>
        <w:snapToGrid w:val="0"/>
        <w:spacing w:line="360" w:lineRule="auto"/>
        <w:ind w:left="420" w:right="32" w:hanging="420"/>
        <w:rPr>
          <w:rFonts w:ascii="仿宋" w:hAnsi="仿宋" w:eastAsia="仿宋" w:cs="仿宋"/>
          <w:sz w:val="28"/>
          <w:szCs w:val="28"/>
        </w:rPr>
      </w:pPr>
    </w:p>
    <w:p>
      <w:pPr>
        <w:pStyle w:val="2"/>
      </w:pPr>
    </w:p>
    <w:p/>
    <w:p>
      <w:pPr>
        <w:pStyle w:val="4"/>
        <w:tabs>
          <w:tab w:val="left" w:pos="7740"/>
        </w:tabs>
        <w:adjustRightInd w:val="0"/>
        <w:snapToGrid w:val="0"/>
        <w:spacing w:line="360" w:lineRule="auto"/>
        <w:ind w:firstLine="0"/>
        <w:jc w:val="center"/>
        <w:rPr>
          <w:rFonts w:ascii="仿宋" w:hAnsi="仿宋" w:eastAsia="仿宋" w:cs="仿宋"/>
          <w:b/>
          <w:sz w:val="28"/>
          <w:szCs w:val="28"/>
        </w:rPr>
      </w:pPr>
      <w:r>
        <w:rPr>
          <w:rFonts w:hint="eastAsia" w:ascii="仿宋" w:hAnsi="仿宋" w:eastAsia="仿宋" w:cs="仿宋"/>
          <w:b/>
          <w:sz w:val="28"/>
          <w:szCs w:val="28"/>
        </w:rPr>
        <w:t>第五部分  评标方法、步骤及标准</w:t>
      </w:r>
    </w:p>
    <w:p>
      <w:pPr>
        <w:pStyle w:val="4"/>
        <w:tabs>
          <w:tab w:val="left" w:pos="7740"/>
        </w:tabs>
        <w:adjustRightInd w:val="0"/>
        <w:snapToGrid w:val="0"/>
        <w:spacing w:line="360" w:lineRule="auto"/>
        <w:ind w:firstLine="0"/>
        <w:rPr>
          <w:rFonts w:ascii="仿宋" w:hAnsi="仿宋" w:eastAsia="仿宋" w:cs="仿宋"/>
          <w:b/>
          <w:sz w:val="28"/>
          <w:szCs w:val="28"/>
        </w:rPr>
      </w:pPr>
    </w:p>
    <w:p>
      <w:pPr>
        <w:pStyle w:val="4"/>
        <w:tabs>
          <w:tab w:val="left" w:pos="7740"/>
        </w:tabs>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根据《中华人民共和国政府采购法》、《中华人民共和国招标投标法》的相关规定确定以下评标方法、步骤及标准：</w:t>
      </w:r>
    </w:p>
    <w:p>
      <w:pPr>
        <w:pStyle w:val="4"/>
        <w:tabs>
          <w:tab w:val="left" w:pos="7740"/>
        </w:tabs>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一、评标方法</w:t>
      </w:r>
    </w:p>
    <w:p>
      <w:pPr>
        <w:pStyle w:val="4"/>
        <w:tabs>
          <w:tab w:val="left" w:pos="7740"/>
        </w:tabs>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1.本次评标采用综合评分法。</w:t>
      </w:r>
    </w:p>
    <w:p>
      <w:pPr>
        <w:pStyle w:val="4"/>
        <w:tabs>
          <w:tab w:val="left" w:pos="7740"/>
        </w:tabs>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2.本次评标是以招标文件为依据，按公正、科学、客观、平等竞争的要求，推荐有技术实力、报价</w:t>
      </w:r>
      <w:bookmarkStart w:id="5" w:name="_GoBack"/>
      <w:bookmarkEnd w:id="5"/>
      <w:r>
        <w:rPr>
          <w:rFonts w:hint="eastAsia" w:ascii="仿宋" w:hAnsi="仿宋" w:eastAsia="仿宋" w:cs="仿宋"/>
          <w:sz w:val="28"/>
          <w:szCs w:val="28"/>
        </w:rPr>
        <w:t>合理、经验丰富、信誉良好、售后服务好以及综合实力强的中标人。</w:t>
      </w:r>
    </w:p>
    <w:p>
      <w:pPr>
        <w:pStyle w:val="4"/>
        <w:tabs>
          <w:tab w:val="left" w:pos="7740"/>
        </w:tabs>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二、评标步骤</w:t>
      </w:r>
    </w:p>
    <w:p>
      <w:pPr>
        <w:pStyle w:val="4"/>
        <w:tabs>
          <w:tab w:val="left" w:pos="7740"/>
        </w:tabs>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评标委员会进行符合性评审，再进行技术、商务及价格的详细评审。只有通过符合性评审的投标才能进入详细的评审。最后评标委员会出具评标报告，并排序推荐中标候选人。</w:t>
      </w:r>
    </w:p>
    <w:p>
      <w:pPr>
        <w:pStyle w:val="4"/>
        <w:tabs>
          <w:tab w:val="left" w:pos="7740"/>
        </w:tabs>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三、评分及其统计</w:t>
      </w:r>
    </w:p>
    <w:p>
      <w:pPr>
        <w:pStyle w:val="4"/>
        <w:tabs>
          <w:tab w:val="left" w:pos="7740"/>
        </w:tabs>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1.综合比较与评价</w:t>
      </w:r>
    </w:p>
    <w:p>
      <w:pPr>
        <w:adjustRightInd w:val="0"/>
        <w:snapToGrid w:val="0"/>
        <w:spacing w:line="360" w:lineRule="auto"/>
        <w:ind w:firstLine="560" w:firstLineChars="200"/>
        <w:rPr>
          <w:rFonts w:ascii="仿宋" w:hAnsi="仿宋" w:eastAsia="仿宋" w:cs="仿宋"/>
          <w:b/>
          <w:bCs/>
          <w:color w:val="000000"/>
          <w:sz w:val="28"/>
          <w:szCs w:val="28"/>
        </w:rPr>
      </w:pPr>
      <w:r>
        <w:rPr>
          <w:rFonts w:hint="eastAsia" w:ascii="仿宋" w:hAnsi="仿宋" w:eastAsia="仿宋" w:cs="仿宋"/>
          <w:color w:val="000000"/>
          <w:sz w:val="28"/>
          <w:szCs w:val="28"/>
        </w:rPr>
        <w:t>本次招标的评标方法采用综合评分法，评标委员会应当按照招标文件中规定的评标方法和标准，对符合性审查合格的投标文件进行商务和技术评估，综合比较与评价。评标时，评标委员会各成员应当独立对每个投标人的投标文件进行评价，并汇总每个投标人的得分。</w:t>
      </w:r>
    </w:p>
    <w:p>
      <w:pPr>
        <w:adjustRightInd w:val="0"/>
        <w:snapToGrid w:val="0"/>
        <w:spacing w:line="360" w:lineRule="auto"/>
        <w:ind w:firstLine="490" w:firstLineChars="175"/>
        <w:rPr>
          <w:rFonts w:ascii="仿宋" w:hAnsi="仿宋" w:eastAsia="仿宋" w:cs="仿宋"/>
          <w:color w:val="000000"/>
          <w:sz w:val="28"/>
          <w:szCs w:val="28"/>
        </w:rPr>
      </w:pPr>
      <w:r>
        <w:rPr>
          <w:rFonts w:hint="eastAsia" w:ascii="仿宋" w:hAnsi="仿宋" w:eastAsia="仿宋" w:cs="仿宋"/>
          <w:color w:val="000000"/>
          <w:sz w:val="28"/>
          <w:szCs w:val="28"/>
        </w:rPr>
        <w:t>技术、商务、价格评分应分别考虑下列因素(计算得分均保留小数点后2位，第3位四舍五入)：</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268"/>
        <w:gridCol w:w="212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评分项目</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技术部分</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商务部分</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分数分配</w:t>
            </w:r>
          </w:p>
        </w:tc>
        <w:tc>
          <w:tcPr>
            <w:tcW w:w="2268"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360" w:lineRule="auto"/>
              <w:ind w:firstLine="31"/>
              <w:jc w:val="center"/>
              <w:rPr>
                <w:rFonts w:ascii="仿宋" w:hAnsi="仿宋" w:eastAsia="仿宋" w:cs="仿宋"/>
                <w:color w:val="000000"/>
                <w:sz w:val="28"/>
                <w:szCs w:val="28"/>
              </w:rPr>
            </w:pPr>
            <w:r>
              <w:rPr>
                <w:rFonts w:ascii="仿宋" w:hAnsi="仿宋" w:eastAsia="仿宋" w:cs="仿宋"/>
                <w:color w:val="000000"/>
                <w:sz w:val="28"/>
                <w:szCs w:val="28"/>
              </w:rPr>
              <w:t>45</w:t>
            </w:r>
          </w:p>
        </w:tc>
        <w:tc>
          <w:tcPr>
            <w:tcW w:w="2126"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360" w:lineRule="auto"/>
              <w:ind w:firstLine="0"/>
              <w:jc w:val="center"/>
              <w:rPr>
                <w:rFonts w:ascii="仿宋" w:hAnsi="仿宋" w:eastAsia="仿宋" w:cs="仿宋"/>
                <w:color w:val="000000"/>
                <w:sz w:val="28"/>
                <w:szCs w:val="28"/>
              </w:rPr>
            </w:pPr>
            <w:r>
              <w:rPr>
                <w:rFonts w:hint="eastAsia" w:ascii="仿宋" w:hAnsi="仿宋" w:eastAsia="仿宋" w:cs="仿宋"/>
                <w:color w:val="000000"/>
                <w:sz w:val="28"/>
                <w:szCs w:val="28"/>
              </w:rPr>
              <w:t>2</w:t>
            </w:r>
            <w:r>
              <w:rPr>
                <w:rFonts w:ascii="仿宋" w:hAnsi="仿宋" w:eastAsia="仿宋" w:cs="仿宋"/>
                <w:color w:val="000000"/>
                <w:sz w:val="28"/>
                <w:szCs w:val="28"/>
              </w:rPr>
              <w:t>5</w:t>
            </w:r>
          </w:p>
        </w:tc>
        <w:tc>
          <w:tcPr>
            <w:tcW w:w="198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360" w:lineRule="auto"/>
              <w:jc w:val="center"/>
              <w:rPr>
                <w:rFonts w:ascii="仿宋" w:hAnsi="仿宋" w:eastAsia="仿宋" w:cs="仿宋"/>
                <w:color w:val="000000"/>
                <w:sz w:val="28"/>
                <w:szCs w:val="28"/>
              </w:rPr>
            </w:pPr>
            <w:r>
              <w:rPr>
                <w:rFonts w:ascii="仿宋" w:hAnsi="仿宋" w:eastAsia="仿宋" w:cs="仿宋"/>
                <w:color w:val="000000"/>
                <w:sz w:val="28"/>
                <w:szCs w:val="28"/>
              </w:rPr>
              <w:t>3</w:t>
            </w:r>
            <w:r>
              <w:rPr>
                <w:rFonts w:hint="eastAsia" w:ascii="仿宋" w:hAnsi="仿宋" w:eastAsia="仿宋" w:cs="仿宋"/>
                <w:color w:val="000000"/>
                <w:sz w:val="28"/>
                <w:szCs w:val="28"/>
              </w:rPr>
              <w:t>0</w:t>
            </w:r>
          </w:p>
        </w:tc>
      </w:tr>
    </w:tbl>
    <w:p>
      <w:pPr>
        <w:adjustRightInd w:val="0"/>
        <w:snapToGrid w:val="0"/>
        <w:spacing w:line="360" w:lineRule="auto"/>
        <w:ind w:firstLine="537" w:firstLineChars="192"/>
        <w:rPr>
          <w:rFonts w:ascii="仿宋" w:hAnsi="仿宋" w:eastAsia="仿宋" w:cs="仿宋"/>
          <w:color w:val="000000"/>
          <w:sz w:val="28"/>
          <w:szCs w:val="28"/>
        </w:rPr>
      </w:pPr>
      <w:r>
        <w:rPr>
          <w:rFonts w:hint="eastAsia" w:ascii="仿宋" w:hAnsi="仿宋" w:eastAsia="仿宋" w:cs="仿宋"/>
          <w:color w:val="000000"/>
          <w:sz w:val="28"/>
          <w:szCs w:val="28"/>
        </w:rPr>
        <w:t>（1）技术评分</w:t>
      </w:r>
    </w:p>
    <w:p>
      <w:pPr>
        <w:adjustRightInd w:val="0"/>
        <w:snapToGrid w:val="0"/>
        <w:spacing w:line="360" w:lineRule="auto"/>
        <w:ind w:firstLine="537" w:firstLineChars="192"/>
        <w:rPr>
          <w:rFonts w:ascii="仿宋" w:hAnsi="仿宋" w:eastAsia="仿宋" w:cs="仿宋"/>
          <w:color w:val="000000"/>
          <w:sz w:val="28"/>
          <w:szCs w:val="28"/>
        </w:rPr>
      </w:pPr>
      <w:r>
        <w:rPr>
          <w:rFonts w:hint="eastAsia" w:ascii="仿宋" w:hAnsi="仿宋" w:eastAsia="仿宋" w:cs="仿宋"/>
          <w:color w:val="000000"/>
          <w:sz w:val="28"/>
          <w:szCs w:val="28"/>
        </w:rPr>
        <w:t>计算公式：技术得分=各评委评分之和/评委人数</w:t>
      </w:r>
    </w:p>
    <w:p>
      <w:pPr>
        <w:adjustRightInd w:val="0"/>
        <w:snapToGrid w:val="0"/>
        <w:spacing w:line="360" w:lineRule="auto"/>
        <w:ind w:firstLine="537" w:firstLineChars="192"/>
        <w:rPr>
          <w:rFonts w:ascii="仿宋" w:hAnsi="仿宋" w:eastAsia="仿宋" w:cs="仿宋"/>
          <w:color w:val="000000"/>
          <w:sz w:val="28"/>
          <w:szCs w:val="28"/>
        </w:rPr>
      </w:pPr>
      <w:r>
        <w:rPr>
          <w:rFonts w:hint="eastAsia" w:ascii="仿宋" w:hAnsi="仿宋" w:eastAsia="仿宋" w:cs="仿宋"/>
          <w:color w:val="000000"/>
          <w:sz w:val="28"/>
          <w:szCs w:val="28"/>
        </w:rPr>
        <w:t>（2）商务评分</w:t>
      </w:r>
    </w:p>
    <w:p>
      <w:pPr>
        <w:adjustRightInd w:val="0"/>
        <w:snapToGrid w:val="0"/>
        <w:spacing w:line="360" w:lineRule="auto"/>
        <w:ind w:left="540"/>
        <w:rPr>
          <w:rFonts w:ascii="仿宋" w:hAnsi="仿宋" w:eastAsia="仿宋" w:cs="仿宋"/>
          <w:color w:val="000000"/>
          <w:sz w:val="28"/>
          <w:szCs w:val="28"/>
        </w:rPr>
      </w:pPr>
      <w:r>
        <w:rPr>
          <w:rFonts w:hint="eastAsia" w:ascii="仿宋" w:hAnsi="仿宋" w:eastAsia="仿宋" w:cs="仿宋"/>
          <w:color w:val="000000"/>
          <w:sz w:val="28"/>
          <w:szCs w:val="28"/>
        </w:rPr>
        <w:t>计算公式：商务得分=各评委评分之和/评委人数</w:t>
      </w:r>
    </w:p>
    <w:p>
      <w:pPr>
        <w:adjustRightInd w:val="0"/>
        <w:snapToGrid w:val="0"/>
        <w:spacing w:line="360" w:lineRule="auto"/>
        <w:ind w:left="540"/>
        <w:rPr>
          <w:rFonts w:ascii="仿宋" w:hAnsi="仿宋" w:eastAsia="仿宋" w:cs="仿宋"/>
          <w:color w:val="000000"/>
          <w:sz w:val="28"/>
          <w:szCs w:val="28"/>
        </w:rPr>
      </w:pPr>
      <w:r>
        <w:rPr>
          <w:rFonts w:hint="eastAsia" w:ascii="仿宋" w:hAnsi="仿宋" w:eastAsia="仿宋" w:cs="仿宋"/>
          <w:color w:val="000000"/>
          <w:sz w:val="28"/>
          <w:szCs w:val="28"/>
        </w:rPr>
        <w:t>（3）价格评分</w:t>
      </w:r>
    </w:p>
    <w:p>
      <w:pPr>
        <w:adjustRightInd w:val="0"/>
        <w:snapToGrid w:val="0"/>
        <w:spacing w:line="360" w:lineRule="auto"/>
        <w:ind w:left="540"/>
        <w:rPr>
          <w:rFonts w:ascii="仿宋" w:hAnsi="仿宋" w:eastAsia="仿宋" w:cs="仿宋"/>
          <w:color w:val="000000"/>
          <w:sz w:val="28"/>
          <w:szCs w:val="28"/>
        </w:rPr>
      </w:pPr>
      <w:r>
        <w:rPr>
          <w:rFonts w:hint="eastAsia" w:ascii="仿宋" w:hAnsi="仿宋" w:eastAsia="仿宋" w:cs="仿宋"/>
          <w:color w:val="000000"/>
          <w:sz w:val="28"/>
          <w:szCs w:val="28"/>
        </w:rPr>
        <w:t>将不同投标人的有效报价中最低价为基准价格，基准价格的投标报价定为满分。折算公式：</w:t>
      </w:r>
    </w:p>
    <w:p>
      <w:pPr>
        <w:adjustRightInd w:val="0"/>
        <w:snapToGrid w:val="0"/>
        <w:spacing w:line="360" w:lineRule="auto"/>
        <w:ind w:left="540"/>
        <w:rPr>
          <w:rFonts w:ascii="仿宋" w:hAnsi="仿宋" w:eastAsia="仿宋" w:cs="仿宋"/>
          <w:color w:val="000000"/>
          <w:sz w:val="28"/>
          <w:szCs w:val="28"/>
        </w:rPr>
      </w:pPr>
      <w:r>
        <w:rPr>
          <w:rFonts w:hint="eastAsia" w:ascii="仿宋" w:hAnsi="仿宋" w:eastAsia="仿宋" w:cs="仿宋"/>
          <w:color w:val="000000"/>
          <w:sz w:val="28"/>
          <w:szCs w:val="28"/>
        </w:rPr>
        <w:t xml:space="preserve">    基准价格=有效报价中最低价</w:t>
      </w:r>
    </w:p>
    <w:p>
      <w:pPr>
        <w:adjustRightInd w:val="0"/>
        <w:snapToGrid w:val="0"/>
        <w:spacing w:line="360" w:lineRule="auto"/>
        <w:ind w:left="540"/>
        <w:rPr>
          <w:rFonts w:ascii="仿宋" w:hAnsi="仿宋" w:eastAsia="仿宋" w:cs="仿宋"/>
          <w:color w:val="000000"/>
          <w:sz w:val="28"/>
          <w:szCs w:val="28"/>
        </w:rPr>
      </w:pPr>
      <w:r>
        <w:rPr>
          <w:rFonts w:hint="eastAsia" w:ascii="仿宋" w:hAnsi="仿宋" w:eastAsia="仿宋" w:cs="仿宋"/>
          <w:color w:val="000000"/>
          <w:sz w:val="28"/>
          <w:szCs w:val="28"/>
        </w:rPr>
        <w:t xml:space="preserve">    当投标价格=基准价格时：价格得分=</w:t>
      </w:r>
      <w:r>
        <w:rPr>
          <w:rFonts w:ascii="仿宋" w:hAnsi="仿宋" w:eastAsia="仿宋" w:cs="仿宋"/>
          <w:color w:val="000000"/>
          <w:sz w:val="28"/>
          <w:szCs w:val="28"/>
        </w:rPr>
        <w:t>3</w:t>
      </w:r>
      <w:r>
        <w:rPr>
          <w:rFonts w:hint="eastAsia" w:ascii="仿宋" w:hAnsi="仿宋" w:eastAsia="仿宋" w:cs="仿宋"/>
          <w:color w:val="000000"/>
          <w:sz w:val="28"/>
          <w:szCs w:val="28"/>
        </w:rPr>
        <w:t>0分</w:t>
      </w:r>
    </w:p>
    <w:p>
      <w:pPr>
        <w:adjustRightInd w:val="0"/>
        <w:snapToGrid w:val="0"/>
        <w:spacing w:line="360" w:lineRule="auto"/>
        <w:ind w:left="540"/>
        <w:rPr>
          <w:rFonts w:ascii="仿宋" w:hAnsi="仿宋" w:eastAsia="仿宋" w:cs="仿宋"/>
          <w:color w:val="000000"/>
          <w:sz w:val="28"/>
          <w:szCs w:val="28"/>
        </w:rPr>
      </w:pPr>
      <w:r>
        <w:rPr>
          <w:rFonts w:hint="eastAsia" w:ascii="仿宋" w:hAnsi="仿宋" w:eastAsia="仿宋" w:cs="仿宋"/>
          <w:color w:val="000000"/>
          <w:sz w:val="28"/>
          <w:szCs w:val="28"/>
        </w:rPr>
        <w:t xml:space="preserve">    当投标价格＞基准价格时：价格得分=（基准价格÷投标价格）x</w:t>
      </w:r>
      <w:r>
        <w:rPr>
          <w:rFonts w:ascii="仿宋" w:hAnsi="仿宋" w:eastAsia="仿宋" w:cs="仿宋"/>
          <w:color w:val="000000"/>
          <w:sz w:val="28"/>
          <w:szCs w:val="28"/>
        </w:rPr>
        <w:t>3</w:t>
      </w:r>
      <w:r>
        <w:rPr>
          <w:rFonts w:hint="eastAsia" w:ascii="仿宋" w:hAnsi="仿宋" w:eastAsia="仿宋" w:cs="仿宋"/>
          <w:color w:val="000000"/>
          <w:sz w:val="28"/>
          <w:szCs w:val="28"/>
        </w:rPr>
        <w:t>0分</w:t>
      </w:r>
    </w:p>
    <w:p>
      <w:pPr>
        <w:adjustRightInd w:val="0"/>
        <w:snapToGrid w:val="0"/>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（4）综合得分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color w:val="000000"/>
          <w:sz w:val="28"/>
          <w:szCs w:val="28"/>
        </w:rPr>
        <w:t>综合得分＝技术部分得分+商务部分得分+价格部分得分</w:t>
      </w:r>
    </w:p>
    <w:p>
      <w:pPr>
        <w:pStyle w:val="4"/>
        <w:tabs>
          <w:tab w:val="left" w:pos="7740"/>
        </w:tabs>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2.评标结果按评审后综合得分由高到低顺序排列。综合得分相同的，按投标报价由低到高顺序排列。综合得分且投标报价相同的，采取随机抽取的方式确定排序。</w:t>
      </w:r>
    </w:p>
    <w:p>
      <w:pPr>
        <w:pStyle w:val="4"/>
        <w:tabs>
          <w:tab w:val="left" w:pos="7740"/>
        </w:tabs>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3.评标结果汇总完成后，除下列情形外，任何人不得修改评标结果：</w:t>
      </w:r>
    </w:p>
    <w:p>
      <w:pPr>
        <w:pStyle w:val="4"/>
        <w:tabs>
          <w:tab w:val="left" w:pos="7740"/>
        </w:tabs>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分值汇总计算错误的；</w:t>
      </w:r>
    </w:p>
    <w:p>
      <w:pPr>
        <w:pStyle w:val="4"/>
        <w:tabs>
          <w:tab w:val="left" w:pos="7740"/>
        </w:tabs>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分项评分超出评分标准范围的；</w:t>
      </w:r>
    </w:p>
    <w:p>
      <w:pPr>
        <w:pStyle w:val="4"/>
        <w:tabs>
          <w:tab w:val="left" w:pos="7740"/>
        </w:tabs>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经评标委员会认定评分畸高、畸低的。</w:t>
      </w:r>
    </w:p>
    <w:p>
      <w:pPr>
        <w:pStyle w:val="4"/>
        <w:tabs>
          <w:tab w:val="left" w:pos="7740"/>
        </w:tabs>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w:t>
      </w:r>
    </w:p>
    <w:p>
      <w:pPr>
        <w:pStyle w:val="3"/>
        <w:spacing w:line="240" w:lineRule="auto"/>
        <w:ind w:firstLine="281" w:firstLineChars="100"/>
        <w:rPr>
          <w:rFonts w:ascii="仿宋" w:hAnsi="仿宋" w:eastAsia="仿宋" w:cs="仿宋"/>
          <w:bCs w:val="0"/>
          <w:color w:val="000000"/>
        </w:rPr>
      </w:pPr>
      <w:r>
        <w:rPr>
          <w:rFonts w:hint="eastAsia" w:ascii="仿宋" w:hAnsi="仿宋" w:eastAsia="仿宋" w:cs="仿宋"/>
          <w:bCs w:val="0"/>
          <w:color w:val="000000"/>
        </w:rPr>
        <w:t>四、评分标准</w:t>
      </w:r>
    </w:p>
    <w:tbl>
      <w:tblPr>
        <w:tblStyle w:val="8"/>
        <w:tblW w:w="10155" w:type="dxa"/>
        <w:jc w:val="center"/>
        <w:tblLayout w:type="fixed"/>
        <w:tblCellMar>
          <w:top w:w="0" w:type="dxa"/>
          <w:left w:w="108" w:type="dxa"/>
          <w:bottom w:w="0" w:type="dxa"/>
          <w:right w:w="108" w:type="dxa"/>
        </w:tblCellMar>
      </w:tblPr>
      <w:tblGrid>
        <w:gridCol w:w="1090"/>
        <w:gridCol w:w="1349"/>
        <w:gridCol w:w="392"/>
        <w:gridCol w:w="1369"/>
        <w:gridCol w:w="5088"/>
        <w:gridCol w:w="867"/>
      </w:tblGrid>
      <w:tr>
        <w:tblPrEx>
          <w:tblCellMar>
            <w:top w:w="0" w:type="dxa"/>
            <w:left w:w="108" w:type="dxa"/>
            <w:bottom w:w="0" w:type="dxa"/>
            <w:right w:w="108" w:type="dxa"/>
          </w:tblCellMar>
        </w:tblPrEx>
        <w:trPr>
          <w:trHeight w:val="485" w:hRule="atLeast"/>
          <w:jc w:val="center"/>
        </w:trPr>
        <w:tc>
          <w:tcPr>
            <w:tcW w:w="10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评审内容</w:t>
            </w:r>
          </w:p>
        </w:tc>
        <w:tc>
          <w:tcPr>
            <w:tcW w:w="13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权重值100%</w:t>
            </w:r>
          </w:p>
        </w:tc>
        <w:tc>
          <w:tcPr>
            <w:tcW w:w="1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评分因素</w:t>
            </w:r>
          </w:p>
        </w:tc>
        <w:tc>
          <w:tcPr>
            <w:tcW w:w="508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评审子项</w:t>
            </w: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满分值</w:t>
            </w:r>
          </w:p>
        </w:tc>
      </w:tr>
      <w:tr>
        <w:tblPrEx>
          <w:tblCellMar>
            <w:top w:w="0" w:type="dxa"/>
            <w:left w:w="108" w:type="dxa"/>
            <w:bottom w:w="0" w:type="dxa"/>
            <w:right w:w="108" w:type="dxa"/>
          </w:tblCellMar>
        </w:tblPrEx>
        <w:trPr>
          <w:trHeight w:val="2930" w:hRule="atLeast"/>
          <w:jc w:val="center"/>
        </w:trPr>
        <w:tc>
          <w:tcPr>
            <w:tcW w:w="1090"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商务部分</w:t>
            </w:r>
          </w:p>
        </w:tc>
        <w:tc>
          <w:tcPr>
            <w:tcW w:w="1349"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5</w:t>
            </w:r>
            <w:r>
              <w:rPr>
                <w:rFonts w:hint="eastAsia" w:ascii="宋体" w:hAnsi="宋体" w:cs="宋体"/>
                <w:color w:val="000000"/>
                <w:szCs w:val="21"/>
              </w:rPr>
              <w:t>%</w:t>
            </w: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13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szCs w:val="21"/>
              </w:rPr>
            </w:pPr>
            <w:r>
              <w:rPr>
                <w:rFonts w:hint="eastAsia"/>
                <w:szCs w:val="21"/>
              </w:rPr>
              <w:t>综合实力</w:t>
            </w:r>
          </w:p>
        </w:tc>
        <w:tc>
          <w:tcPr>
            <w:tcW w:w="508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numPr>
                <w:ilvl w:val="0"/>
                <w:numId w:val="3"/>
              </w:numPr>
              <w:textAlignment w:val="center"/>
              <w:rPr>
                <w:szCs w:val="21"/>
              </w:rPr>
            </w:pPr>
            <w:r>
              <w:rPr>
                <w:rFonts w:hint="eastAsia"/>
                <w:szCs w:val="21"/>
              </w:rPr>
              <w:t>提供</w:t>
            </w:r>
            <w:r>
              <w:rPr>
                <w:rFonts w:ascii="Helvetica" w:hAnsi="Helvetica" w:cs="Helvetica"/>
                <w:color w:val="333333"/>
                <w:szCs w:val="21"/>
                <w:shd w:val="clear" w:color="auto" w:fill="FFFFFF"/>
              </w:rPr>
              <w:t>建筑装饰装修工程</w:t>
            </w:r>
            <w:r>
              <w:rPr>
                <w:rFonts w:hint="eastAsia"/>
                <w:szCs w:val="21"/>
              </w:rPr>
              <w:t>相关资质证书，（扫描件）每项1分，最多计7分</w:t>
            </w:r>
          </w:p>
          <w:p>
            <w:pPr>
              <w:widowControl/>
              <w:numPr>
                <w:ilvl w:val="0"/>
                <w:numId w:val="3"/>
              </w:numPr>
              <w:textAlignment w:val="center"/>
              <w:rPr>
                <w:szCs w:val="21"/>
              </w:rPr>
            </w:pPr>
            <w:r>
              <w:rPr>
                <w:rFonts w:hint="eastAsia"/>
                <w:szCs w:val="21"/>
              </w:rPr>
              <w:t>提供</w:t>
            </w:r>
            <w:r>
              <w:rPr>
                <w:rFonts w:hint="eastAsia" w:ascii="Helvetica" w:hAnsi="Helvetica" w:cs="Helvetica"/>
                <w:color w:val="333333"/>
                <w:szCs w:val="21"/>
                <w:shd w:val="clear" w:color="auto" w:fill="FFFFFF"/>
              </w:rPr>
              <w:t>防水</w:t>
            </w:r>
            <w:r>
              <w:rPr>
                <w:rFonts w:ascii="Helvetica" w:hAnsi="Helvetica" w:cs="Helvetica"/>
                <w:color w:val="333333"/>
                <w:szCs w:val="21"/>
                <w:shd w:val="clear" w:color="auto" w:fill="FFFFFF"/>
              </w:rPr>
              <w:t>工程</w:t>
            </w:r>
            <w:r>
              <w:rPr>
                <w:rFonts w:hint="eastAsia"/>
                <w:szCs w:val="21"/>
              </w:rPr>
              <w:t>相关资质证书，（扫描件）得</w:t>
            </w:r>
            <w:r>
              <w:rPr>
                <w:szCs w:val="21"/>
              </w:rPr>
              <w:t>2</w:t>
            </w:r>
            <w:r>
              <w:rPr>
                <w:rFonts w:hint="eastAsia"/>
                <w:szCs w:val="21"/>
              </w:rPr>
              <w:t>分；</w:t>
            </w:r>
          </w:p>
          <w:p>
            <w:pPr>
              <w:widowControl/>
              <w:textAlignment w:val="center"/>
              <w:rPr>
                <w:szCs w:val="21"/>
              </w:rPr>
            </w:pPr>
            <w:r>
              <w:rPr>
                <w:szCs w:val="21"/>
              </w:rPr>
              <w:t>3</w:t>
            </w:r>
            <w:r>
              <w:rPr>
                <w:rFonts w:hint="eastAsia"/>
                <w:szCs w:val="21"/>
              </w:rPr>
              <w:t>.提供安全生产许可证证明（扫描件）计1分；</w:t>
            </w:r>
          </w:p>
          <w:p>
            <w:pPr>
              <w:widowControl/>
              <w:jc w:val="left"/>
              <w:textAlignment w:val="center"/>
              <w:rPr>
                <w:szCs w:val="21"/>
              </w:rPr>
            </w:pPr>
            <w:r>
              <w:rPr>
                <w:szCs w:val="21"/>
              </w:rPr>
              <w:t>4</w:t>
            </w:r>
            <w:r>
              <w:rPr>
                <w:rFonts w:hint="eastAsia"/>
                <w:szCs w:val="21"/>
              </w:rPr>
              <w:t>.提供三大体系ISO认证证书（包含质量管理体系、职业健康安全管理体系、环境管理体系）（扫描件）每个体系计1分、最多计2分。</w:t>
            </w:r>
          </w:p>
          <w:p>
            <w:pPr>
              <w:widowControl/>
              <w:textAlignment w:val="center"/>
              <w:rPr>
                <w:szCs w:val="21"/>
              </w:rPr>
            </w:pPr>
            <w:r>
              <w:rPr>
                <w:szCs w:val="21"/>
              </w:rPr>
              <w:t>5.投标人 2020-2022年连续三年盈利的,得 2 分，</w:t>
            </w:r>
          </w:p>
          <w:p>
            <w:pPr>
              <w:widowControl/>
              <w:jc w:val="left"/>
              <w:textAlignment w:val="center"/>
              <w:rPr>
                <w:szCs w:val="21"/>
              </w:rPr>
            </w:pPr>
            <w:r>
              <w:rPr>
                <w:szCs w:val="21"/>
              </w:rPr>
              <w:t>需提供有效的 2020-2022年的财务审计报告复印件作为证明材料，不满足或者未提供不得分；</w:t>
            </w:r>
          </w:p>
          <w:p>
            <w:pPr>
              <w:widowControl/>
              <w:jc w:val="left"/>
              <w:textAlignment w:val="center"/>
              <w:rPr>
                <w:szCs w:val="21"/>
              </w:rPr>
            </w:pPr>
            <w:r>
              <w:rPr>
                <w:rFonts w:hint="eastAsia"/>
                <w:szCs w:val="21"/>
              </w:rPr>
              <w:t>注：扫描件、复印件需盖公章有效。</w:t>
            </w: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r>
              <w:rPr>
                <w:rFonts w:ascii="宋体" w:hAnsi="宋体" w:cs="宋体"/>
                <w:kern w:val="0"/>
                <w:szCs w:val="21"/>
                <w:lang w:bidi="ar"/>
              </w:rPr>
              <w:t>4</w:t>
            </w:r>
            <w:r>
              <w:rPr>
                <w:rFonts w:hint="eastAsia" w:ascii="宋体" w:hAnsi="宋体" w:cs="宋体"/>
                <w:kern w:val="0"/>
                <w:szCs w:val="21"/>
                <w:lang w:bidi="ar"/>
              </w:rPr>
              <w:t>分</w:t>
            </w:r>
          </w:p>
        </w:tc>
      </w:tr>
      <w:tr>
        <w:tblPrEx>
          <w:tblCellMar>
            <w:top w:w="0" w:type="dxa"/>
            <w:left w:w="108" w:type="dxa"/>
            <w:bottom w:w="0" w:type="dxa"/>
            <w:right w:w="108" w:type="dxa"/>
          </w:tblCellMar>
        </w:tblPrEx>
        <w:trPr>
          <w:trHeight w:val="520" w:hRule="atLeast"/>
          <w:jc w:val="center"/>
        </w:trPr>
        <w:tc>
          <w:tcPr>
            <w:tcW w:w="1090" w:type="dxa"/>
            <w:vMerge w:val="continue"/>
            <w:tcBorders>
              <w:left w:val="single" w:color="000000" w:sz="4" w:space="0"/>
              <w:right w:val="single" w:color="000000" w:sz="4" w:space="0"/>
            </w:tcBorders>
            <w:vAlign w:val="center"/>
          </w:tcPr>
          <w:p>
            <w:pPr>
              <w:widowControl/>
              <w:jc w:val="left"/>
              <w:rPr>
                <w:rFonts w:ascii="宋体" w:hAnsi="宋体" w:cs="宋体"/>
                <w:color w:val="000000"/>
                <w:szCs w:val="21"/>
              </w:rPr>
            </w:pPr>
          </w:p>
        </w:tc>
        <w:tc>
          <w:tcPr>
            <w:tcW w:w="1349" w:type="dxa"/>
            <w:vMerge w:val="continue"/>
            <w:tcBorders>
              <w:left w:val="single" w:color="000000" w:sz="4" w:space="0"/>
              <w:right w:val="single" w:color="000000" w:sz="4" w:space="0"/>
            </w:tcBorders>
            <w:vAlign w:val="center"/>
          </w:tcPr>
          <w:p>
            <w:pPr>
              <w:widowControl/>
              <w:jc w:val="left"/>
              <w:rPr>
                <w:rFonts w:ascii="宋体" w:hAnsi="宋体" w:cs="宋体"/>
                <w:color w:val="000000"/>
                <w:szCs w:val="21"/>
              </w:rPr>
            </w:pP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76" w:lineRule="auto"/>
              <w:jc w:val="center"/>
              <w:textAlignment w:val="center"/>
              <w:rPr>
                <w:rFonts w:ascii="仿宋" w:hAnsi="仿宋" w:eastAsia="仿宋" w:cs="仿宋"/>
                <w:kern w:val="0"/>
                <w:szCs w:val="21"/>
              </w:rPr>
            </w:pPr>
            <w:r>
              <w:rPr>
                <w:rFonts w:hint="eastAsia" w:ascii="仿宋" w:hAnsi="仿宋" w:eastAsia="仿宋" w:cs="仿宋"/>
                <w:kern w:val="0"/>
                <w:szCs w:val="21"/>
              </w:rPr>
              <w:t>2</w:t>
            </w:r>
          </w:p>
        </w:tc>
        <w:tc>
          <w:tcPr>
            <w:tcW w:w="13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szCs w:val="21"/>
              </w:rPr>
            </w:pPr>
            <w:r>
              <w:rPr>
                <w:rFonts w:hint="eastAsia"/>
                <w:szCs w:val="21"/>
              </w:rPr>
              <w:t>保修期</w:t>
            </w:r>
          </w:p>
        </w:tc>
        <w:tc>
          <w:tcPr>
            <w:tcW w:w="508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extAlignment w:val="center"/>
              <w:rPr>
                <w:szCs w:val="21"/>
              </w:rPr>
            </w:pPr>
            <w:r>
              <w:rPr>
                <w:rFonts w:hint="eastAsia"/>
                <w:szCs w:val="21"/>
              </w:rPr>
              <w:t>整体质保期为</w:t>
            </w:r>
            <w:r>
              <w:rPr>
                <w:szCs w:val="21"/>
              </w:rPr>
              <w:t>2</w:t>
            </w:r>
            <w:r>
              <w:rPr>
                <w:rFonts w:hint="eastAsia"/>
                <w:szCs w:val="21"/>
              </w:rPr>
              <w:t>年，外墙</w:t>
            </w:r>
            <w:r>
              <w:rPr>
                <w:rFonts w:hint="eastAsia"/>
              </w:rPr>
              <w:t>防水工程质保期为5年</w:t>
            </w:r>
            <w:r>
              <w:rPr>
                <w:rFonts w:hint="eastAsia"/>
                <w:szCs w:val="21"/>
              </w:rPr>
              <w:t>，得</w:t>
            </w:r>
            <w:r>
              <w:rPr>
                <w:szCs w:val="21"/>
              </w:rPr>
              <w:t>2</w:t>
            </w:r>
            <w:r>
              <w:rPr>
                <w:rFonts w:hint="eastAsia"/>
                <w:szCs w:val="21"/>
              </w:rPr>
              <w:t>分，外墙防水工程六年以上可得3分，不满足得0分</w:t>
            </w:r>
            <w:r>
              <w:rPr>
                <w:rFonts w:hint="eastAsia"/>
              </w:rPr>
              <w:t>。</w:t>
            </w: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kern w:val="0"/>
                <w:szCs w:val="21"/>
                <w:lang w:bidi="ar"/>
              </w:rPr>
            </w:pPr>
            <w:r>
              <w:rPr>
                <w:rFonts w:ascii="宋体" w:hAnsi="宋体" w:cs="宋体"/>
                <w:kern w:val="0"/>
                <w:szCs w:val="21"/>
                <w:lang w:bidi="ar"/>
              </w:rPr>
              <w:t>3</w:t>
            </w:r>
            <w:r>
              <w:rPr>
                <w:rFonts w:hint="eastAsia" w:ascii="宋体" w:hAnsi="宋体" w:cs="宋体"/>
                <w:kern w:val="0"/>
                <w:szCs w:val="21"/>
                <w:lang w:bidi="ar"/>
              </w:rPr>
              <w:t>分</w:t>
            </w:r>
          </w:p>
        </w:tc>
      </w:tr>
      <w:tr>
        <w:tblPrEx>
          <w:tblCellMar>
            <w:top w:w="0" w:type="dxa"/>
            <w:left w:w="108" w:type="dxa"/>
            <w:bottom w:w="0" w:type="dxa"/>
            <w:right w:w="108" w:type="dxa"/>
          </w:tblCellMar>
        </w:tblPrEx>
        <w:trPr>
          <w:trHeight w:val="1095" w:hRule="atLeast"/>
          <w:jc w:val="center"/>
        </w:trPr>
        <w:tc>
          <w:tcPr>
            <w:tcW w:w="1090" w:type="dxa"/>
            <w:vMerge w:val="continue"/>
            <w:tcBorders>
              <w:left w:val="single" w:color="000000" w:sz="4" w:space="0"/>
              <w:right w:val="single" w:color="000000" w:sz="4" w:space="0"/>
            </w:tcBorders>
            <w:vAlign w:val="center"/>
          </w:tcPr>
          <w:p>
            <w:pPr>
              <w:widowControl/>
              <w:jc w:val="left"/>
              <w:rPr>
                <w:rFonts w:ascii="宋体" w:hAnsi="宋体" w:cs="宋体"/>
                <w:color w:val="000000"/>
                <w:szCs w:val="21"/>
              </w:rPr>
            </w:pPr>
          </w:p>
        </w:tc>
        <w:tc>
          <w:tcPr>
            <w:tcW w:w="1349" w:type="dxa"/>
            <w:vMerge w:val="continue"/>
            <w:tcBorders>
              <w:left w:val="single" w:color="000000" w:sz="4" w:space="0"/>
              <w:right w:val="single" w:color="000000" w:sz="4" w:space="0"/>
            </w:tcBorders>
            <w:vAlign w:val="center"/>
          </w:tcPr>
          <w:p>
            <w:pPr>
              <w:widowControl/>
              <w:jc w:val="left"/>
              <w:rPr>
                <w:rFonts w:ascii="宋体" w:hAnsi="宋体" w:cs="宋体"/>
                <w:color w:val="000000"/>
                <w:szCs w:val="21"/>
              </w:rPr>
            </w:pP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76" w:lineRule="auto"/>
              <w:jc w:val="center"/>
              <w:textAlignment w:val="center"/>
              <w:rPr>
                <w:rFonts w:ascii="仿宋" w:hAnsi="仿宋" w:eastAsia="仿宋" w:cs="仿宋"/>
                <w:kern w:val="0"/>
                <w:szCs w:val="21"/>
              </w:rPr>
            </w:pPr>
            <w:r>
              <w:rPr>
                <w:rFonts w:hint="eastAsia" w:ascii="仿宋" w:hAnsi="仿宋" w:eastAsia="仿宋" w:cs="仿宋"/>
                <w:kern w:val="0"/>
                <w:szCs w:val="21"/>
              </w:rPr>
              <w:t>3</w:t>
            </w:r>
          </w:p>
        </w:tc>
        <w:tc>
          <w:tcPr>
            <w:tcW w:w="13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szCs w:val="21"/>
              </w:rPr>
            </w:pPr>
            <w:r>
              <w:rPr>
                <w:rFonts w:hint="eastAsia"/>
                <w:szCs w:val="21"/>
              </w:rPr>
              <w:t>企业业绩</w:t>
            </w:r>
          </w:p>
        </w:tc>
        <w:tc>
          <w:tcPr>
            <w:tcW w:w="508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szCs w:val="21"/>
              </w:rPr>
            </w:pPr>
            <w:r>
              <w:rPr>
                <w:rFonts w:hint="eastAsia"/>
                <w:szCs w:val="21"/>
              </w:rPr>
              <w:t>满足近三年（从</w:t>
            </w:r>
            <w:r>
              <w:rPr>
                <w:szCs w:val="21"/>
              </w:rPr>
              <w:t>2020</w:t>
            </w:r>
            <w:r>
              <w:rPr>
                <w:rFonts w:hint="eastAsia"/>
                <w:szCs w:val="21"/>
              </w:rPr>
              <w:t>年</w:t>
            </w:r>
            <w:r>
              <w:rPr>
                <w:szCs w:val="21"/>
              </w:rPr>
              <w:t>1</w:t>
            </w:r>
            <w:r>
              <w:rPr>
                <w:rFonts w:hint="eastAsia"/>
                <w:szCs w:val="21"/>
              </w:rPr>
              <w:t>月</w:t>
            </w:r>
            <w:r>
              <w:rPr>
                <w:szCs w:val="21"/>
              </w:rPr>
              <w:t>1</w:t>
            </w:r>
            <w:r>
              <w:rPr>
                <w:rFonts w:hint="eastAsia"/>
                <w:szCs w:val="21"/>
              </w:rPr>
              <w:t>日起，以合同签订的时间为准）最具代表性类似</w:t>
            </w:r>
            <w:r>
              <w:rPr>
                <w:szCs w:val="21"/>
              </w:rPr>
              <w:t>3</w:t>
            </w:r>
            <w:r>
              <w:rPr>
                <w:rFonts w:hint="eastAsia"/>
                <w:szCs w:val="21"/>
              </w:rPr>
              <w:t>个工程业绩（类似</w:t>
            </w:r>
            <w:r>
              <w:rPr>
                <w:rFonts w:ascii="Helvetica" w:hAnsi="Helvetica" w:cs="Helvetica"/>
                <w:color w:val="333333"/>
                <w:szCs w:val="21"/>
                <w:shd w:val="clear" w:color="auto" w:fill="FFFFFF"/>
              </w:rPr>
              <w:t>建筑装饰装修</w:t>
            </w:r>
            <w:r>
              <w:rPr>
                <w:rFonts w:hint="eastAsia"/>
                <w:szCs w:val="21"/>
              </w:rPr>
              <w:t>相关的工程），每有一项计</w:t>
            </w:r>
            <w:r>
              <w:rPr>
                <w:szCs w:val="21"/>
              </w:rPr>
              <w:t>1</w:t>
            </w:r>
            <w:r>
              <w:rPr>
                <w:rFonts w:hint="eastAsia"/>
                <w:szCs w:val="21"/>
              </w:rPr>
              <w:t>分，本项最多计3分。</w:t>
            </w: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kern w:val="0"/>
                <w:szCs w:val="21"/>
                <w:lang w:bidi="ar"/>
              </w:rPr>
            </w:pPr>
            <w:r>
              <w:rPr>
                <w:rFonts w:ascii="宋体" w:hAnsi="宋体" w:cs="宋体"/>
                <w:kern w:val="0"/>
                <w:szCs w:val="21"/>
                <w:lang w:bidi="ar"/>
              </w:rPr>
              <w:t>3</w:t>
            </w:r>
            <w:r>
              <w:rPr>
                <w:rFonts w:hint="eastAsia" w:ascii="宋体" w:hAnsi="宋体" w:cs="宋体"/>
                <w:kern w:val="0"/>
                <w:szCs w:val="21"/>
                <w:lang w:bidi="ar"/>
              </w:rPr>
              <w:t>分</w:t>
            </w:r>
          </w:p>
        </w:tc>
      </w:tr>
      <w:tr>
        <w:tblPrEx>
          <w:tblCellMar>
            <w:top w:w="0" w:type="dxa"/>
            <w:left w:w="108" w:type="dxa"/>
            <w:bottom w:w="0" w:type="dxa"/>
            <w:right w:w="108" w:type="dxa"/>
          </w:tblCellMar>
        </w:tblPrEx>
        <w:trPr>
          <w:trHeight w:val="1508" w:hRule="atLeast"/>
          <w:jc w:val="center"/>
        </w:trPr>
        <w:tc>
          <w:tcPr>
            <w:tcW w:w="1090" w:type="dxa"/>
            <w:tcBorders>
              <w:left w:val="single" w:color="000000" w:sz="4" w:space="0"/>
              <w:right w:val="single" w:color="000000" w:sz="4" w:space="0"/>
            </w:tcBorders>
            <w:vAlign w:val="center"/>
          </w:tcPr>
          <w:p>
            <w:pPr>
              <w:widowControl/>
              <w:jc w:val="left"/>
              <w:rPr>
                <w:rFonts w:ascii="宋体" w:hAnsi="宋体" w:cs="宋体"/>
                <w:color w:val="000000"/>
                <w:szCs w:val="21"/>
              </w:rPr>
            </w:pPr>
          </w:p>
        </w:tc>
        <w:tc>
          <w:tcPr>
            <w:tcW w:w="1349" w:type="dxa"/>
            <w:tcBorders>
              <w:left w:val="single" w:color="000000" w:sz="4" w:space="0"/>
              <w:right w:val="single" w:color="000000" w:sz="4" w:space="0"/>
            </w:tcBorders>
            <w:vAlign w:val="center"/>
          </w:tcPr>
          <w:p>
            <w:pPr>
              <w:widowControl/>
              <w:jc w:val="left"/>
              <w:rPr>
                <w:rFonts w:ascii="宋体" w:hAnsi="宋体" w:cs="宋体"/>
                <w:color w:val="000000"/>
                <w:szCs w:val="21"/>
              </w:rPr>
            </w:pP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76" w:lineRule="auto"/>
              <w:jc w:val="center"/>
              <w:textAlignment w:val="center"/>
              <w:rPr>
                <w:rFonts w:ascii="仿宋" w:hAnsi="仿宋" w:eastAsia="仿宋" w:cs="仿宋"/>
                <w:kern w:val="0"/>
                <w:szCs w:val="21"/>
              </w:rPr>
            </w:pPr>
            <w:r>
              <w:rPr>
                <w:rFonts w:hint="eastAsia" w:ascii="仿宋" w:hAnsi="仿宋" w:eastAsia="仿宋" w:cs="仿宋"/>
                <w:kern w:val="0"/>
                <w:szCs w:val="21"/>
              </w:rPr>
              <w:t>4</w:t>
            </w:r>
          </w:p>
        </w:tc>
        <w:tc>
          <w:tcPr>
            <w:tcW w:w="13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szCs w:val="21"/>
              </w:rPr>
            </w:pPr>
            <w:r>
              <w:rPr>
                <w:rFonts w:hint="eastAsia" w:ascii="宋体" w:hAnsi="宋体" w:cs="宋体"/>
                <w:szCs w:val="21"/>
              </w:rPr>
              <w:t>投标人奖项（荣誉、表彰、证书）情况</w:t>
            </w:r>
          </w:p>
        </w:tc>
        <w:tc>
          <w:tcPr>
            <w:tcW w:w="508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szCs w:val="21"/>
              </w:rPr>
            </w:pPr>
            <w:r>
              <w:rPr>
                <w:rFonts w:hint="eastAsia"/>
                <w:szCs w:val="21"/>
              </w:rPr>
              <w:t>自20</w:t>
            </w:r>
            <w:r>
              <w:rPr>
                <w:szCs w:val="21"/>
              </w:rPr>
              <w:t>20</w:t>
            </w:r>
            <w:r>
              <w:rPr>
                <w:rFonts w:hint="eastAsia"/>
                <w:szCs w:val="21"/>
              </w:rPr>
              <w:t>年1月1日以来（以获奖时间为准）至投标截止日期止，投标人获得省级</w:t>
            </w:r>
            <w:r>
              <w:rPr>
                <w:szCs w:val="21"/>
              </w:rPr>
              <w:t>或以上</w:t>
            </w:r>
            <w:r>
              <w:rPr>
                <w:rFonts w:hint="eastAsia"/>
                <w:szCs w:val="21"/>
              </w:rPr>
              <w:t>质量、安全奖及相关专利证书奖励（荣誉、表彰、证书）；获得省级</w:t>
            </w:r>
            <w:r>
              <w:rPr>
                <w:szCs w:val="21"/>
              </w:rPr>
              <w:t>或以上</w:t>
            </w:r>
            <w:r>
              <w:rPr>
                <w:rFonts w:hint="eastAsia"/>
                <w:szCs w:val="21"/>
              </w:rPr>
              <w:t>质量、安全奖相关证书及专利证书奖励（荣誉、表彰、证书）的，每提供1个得1分，最高得</w:t>
            </w:r>
            <w:r>
              <w:rPr>
                <w:szCs w:val="21"/>
              </w:rPr>
              <w:t>5</w:t>
            </w:r>
            <w:r>
              <w:rPr>
                <w:rFonts w:hint="eastAsia"/>
                <w:szCs w:val="21"/>
              </w:rPr>
              <w:t>分，本项最多计</w:t>
            </w:r>
            <w:r>
              <w:rPr>
                <w:szCs w:val="21"/>
              </w:rPr>
              <w:t>5</w:t>
            </w:r>
            <w:r>
              <w:rPr>
                <w:rFonts w:hint="eastAsia"/>
                <w:szCs w:val="21"/>
              </w:rPr>
              <w:t>分。</w:t>
            </w: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kern w:val="0"/>
                <w:szCs w:val="21"/>
                <w:lang w:bidi="ar"/>
              </w:rPr>
            </w:pPr>
            <w:r>
              <w:rPr>
                <w:rFonts w:ascii="宋体" w:hAnsi="宋体" w:cs="宋体"/>
                <w:kern w:val="0"/>
                <w:szCs w:val="21"/>
                <w:lang w:bidi="ar"/>
              </w:rPr>
              <w:t>5</w:t>
            </w:r>
            <w:r>
              <w:rPr>
                <w:rFonts w:hint="eastAsia" w:ascii="宋体" w:hAnsi="宋体" w:cs="宋体"/>
                <w:kern w:val="0"/>
                <w:szCs w:val="21"/>
                <w:lang w:bidi="ar"/>
              </w:rPr>
              <w:t>分</w:t>
            </w:r>
          </w:p>
        </w:tc>
      </w:tr>
      <w:tr>
        <w:tblPrEx>
          <w:tblCellMar>
            <w:top w:w="0" w:type="dxa"/>
            <w:left w:w="108" w:type="dxa"/>
            <w:bottom w:w="0" w:type="dxa"/>
            <w:right w:w="108" w:type="dxa"/>
          </w:tblCellMar>
        </w:tblPrEx>
        <w:trPr>
          <w:trHeight w:val="1035" w:hRule="atLeast"/>
          <w:jc w:val="center"/>
        </w:trPr>
        <w:tc>
          <w:tcPr>
            <w:tcW w:w="10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技术部分</w:t>
            </w:r>
          </w:p>
        </w:tc>
        <w:tc>
          <w:tcPr>
            <w:tcW w:w="134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45</w:t>
            </w:r>
            <w:r>
              <w:rPr>
                <w:rFonts w:hint="eastAsia" w:ascii="宋体" w:hAnsi="宋体" w:cs="宋体"/>
                <w:color w:val="000000"/>
                <w:kern w:val="0"/>
                <w:szCs w:val="21"/>
                <w:lang w:bidi="ar"/>
              </w:rPr>
              <w:t>%</w:t>
            </w: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13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szCs w:val="21"/>
              </w:rPr>
            </w:pPr>
            <w:r>
              <w:rPr>
                <w:rFonts w:hint="eastAsia"/>
                <w:szCs w:val="21"/>
              </w:rPr>
              <w:t>施工方案及保障措施</w:t>
            </w:r>
          </w:p>
        </w:tc>
        <w:tc>
          <w:tcPr>
            <w:tcW w:w="508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szCs w:val="21"/>
              </w:rPr>
            </w:pPr>
            <w:r>
              <w:rPr>
                <w:rFonts w:hint="eastAsia"/>
                <w:szCs w:val="21"/>
              </w:rPr>
              <w:t xml:space="preserve">详细说明施工方案及安全保障措施，成品采用正规专业厂家制作，材料采用市场认可度高的品牌，报价是否在“深圳市市直单位办公用房装修改造项目支出预算标准”内，由评标委员会进行横向比较评分，按优 </w:t>
            </w:r>
            <w:r>
              <w:rPr>
                <w:szCs w:val="21"/>
              </w:rPr>
              <w:t>30</w:t>
            </w:r>
            <w:r>
              <w:rPr>
                <w:rFonts w:hint="eastAsia"/>
                <w:szCs w:val="21"/>
              </w:rPr>
              <w:t>-</w:t>
            </w:r>
            <w:r>
              <w:rPr>
                <w:szCs w:val="21"/>
              </w:rPr>
              <w:t>35</w:t>
            </w:r>
          </w:p>
          <w:p>
            <w:pPr>
              <w:widowControl/>
              <w:textAlignment w:val="center"/>
              <w:rPr>
                <w:szCs w:val="21"/>
              </w:rPr>
            </w:pPr>
            <w:r>
              <w:rPr>
                <w:rFonts w:hint="eastAsia"/>
                <w:szCs w:val="21"/>
              </w:rPr>
              <w:t xml:space="preserve">分，良 </w:t>
            </w:r>
            <w:r>
              <w:rPr>
                <w:szCs w:val="21"/>
              </w:rPr>
              <w:t>15</w:t>
            </w:r>
            <w:r>
              <w:rPr>
                <w:rFonts w:hint="eastAsia"/>
                <w:szCs w:val="21"/>
              </w:rPr>
              <w:t>-</w:t>
            </w:r>
            <w:r>
              <w:rPr>
                <w:szCs w:val="21"/>
              </w:rPr>
              <w:t>29</w:t>
            </w:r>
            <w:r>
              <w:rPr>
                <w:rFonts w:hint="eastAsia"/>
                <w:szCs w:val="21"/>
              </w:rPr>
              <w:t>分，中 1-</w:t>
            </w:r>
            <w:r>
              <w:rPr>
                <w:szCs w:val="21"/>
              </w:rPr>
              <w:t>14</w:t>
            </w:r>
            <w:r>
              <w:rPr>
                <w:rFonts w:hint="eastAsia"/>
                <w:szCs w:val="21"/>
              </w:rPr>
              <w:t xml:space="preserve"> 分，差不得分。</w:t>
            </w: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35</w:t>
            </w:r>
            <w:r>
              <w:rPr>
                <w:rFonts w:hint="eastAsia" w:ascii="宋体" w:hAnsi="宋体" w:cs="宋体"/>
                <w:color w:val="000000"/>
                <w:kern w:val="0"/>
                <w:szCs w:val="21"/>
                <w:lang w:bidi="ar"/>
              </w:rPr>
              <w:t>分</w:t>
            </w:r>
          </w:p>
        </w:tc>
      </w:tr>
      <w:tr>
        <w:tblPrEx>
          <w:tblCellMar>
            <w:top w:w="0" w:type="dxa"/>
            <w:left w:w="108" w:type="dxa"/>
            <w:bottom w:w="0" w:type="dxa"/>
            <w:right w:w="108" w:type="dxa"/>
          </w:tblCellMar>
        </w:tblPrEx>
        <w:trPr>
          <w:trHeight w:val="838" w:hRule="atLeast"/>
          <w:jc w:val="center"/>
        </w:trPr>
        <w:tc>
          <w:tcPr>
            <w:tcW w:w="10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Cs w:val="21"/>
              </w:rPr>
            </w:pP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Cs w:val="21"/>
              </w:rPr>
            </w:pPr>
          </w:p>
        </w:tc>
        <w:tc>
          <w:tcPr>
            <w:tcW w:w="3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p>
        </w:tc>
        <w:tc>
          <w:tcPr>
            <w:tcW w:w="13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szCs w:val="21"/>
              </w:rPr>
            </w:pPr>
            <w:r>
              <w:rPr>
                <w:rFonts w:hint="eastAsia"/>
                <w:szCs w:val="21"/>
              </w:rPr>
              <w:t>项目组人员配备情况及材料清单</w:t>
            </w:r>
          </w:p>
        </w:tc>
        <w:tc>
          <w:tcPr>
            <w:tcW w:w="508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szCs w:val="21"/>
              </w:rPr>
            </w:pPr>
            <w:r>
              <w:rPr>
                <w:rFonts w:hint="eastAsia"/>
                <w:szCs w:val="21"/>
              </w:rPr>
              <w:t>1.项目组人员配备数量不少于5人（至少包含质量员及</w:t>
            </w:r>
          </w:p>
          <w:p>
            <w:pPr>
              <w:widowControl/>
              <w:textAlignment w:val="center"/>
              <w:rPr>
                <w:szCs w:val="21"/>
              </w:rPr>
            </w:pPr>
            <w:r>
              <w:rPr>
                <w:rFonts w:hint="eastAsia"/>
                <w:szCs w:val="21"/>
              </w:rPr>
              <w:t>安全员），计</w:t>
            </w:r>
            <w:r>
              <w:rPr>
                <w:szCs w:val="21"/>
              </w:rPr>
              <w:t>2</w:t>
            </w:r>
            <w:r>
              <w:rPr>
                <w:rFonts w:hint="eastAsia"/>
                <w:szCs w:val="21"/>
              </w:rPr>
              <w:t>分；</w:t>
            </w:r>
          </w:p>
          <w:p>
            <w:pPr>
              <w:widowControl/>
              <w:jc w:val="center"/>
              <w:textAlignment w:val="center"/>
              <w:rPr>
                <w:szCs w:val="21"/>
              </w:rPr>
            </w:pPr>
            <w:r>
              <w:rPr>
                <w:rFonts w:hint="eastAsia"/>
                <w:szCs w:val="21"/>
              </w:rPr>
              <w:t xml:space="preserve">2.材料品牌、规格横向比较评分，按优 </w:t>
            </w:r>
            <w:r>
              <w:rPr>
                <w:szCs w:val="21"/>
              </w:rPr>
              <w:t>6</w:t>
            </w:r>
            <w:r>
              <w:rPr>
                <w:rFonts w:hint="eastAsia"/>
                <w:szCs w:val="21"/>
              </w:rPr>
              <w:t>-</w:t>
            </w:r>
            <w:r>
              <w:rPr>
                <w:szCs w:val="21"/>
              </w:rPr>
              <w:t>8</w:t>
            </w:r>
            <w:r>
              <w:rPr>
                <w:rFonts w:hint="eastAsia"/>
                <w:szCs w:val="21"/>
              </w:rPr>
              <w:t xml:space="preserve">分，良 </w:t>
            </w:r>
            <w:r>
              <w:rPr>
                <w:szCs w:val="21"/>
              </w:rPr>
              <w:t>3</w:t>
            </w:r>
            <w:r>
              <w:rPr>
                <w:rFonts w:hint="eastAsia"/>
                <w:szCs w:val="21"/>
              </w:rPr>
              <w:t>-</w:t>
            </w:r>
            <w:r>
              <w:rPr>
                <w:szCs w:val="21"/>
              </w:rPr>
              <w:t>5</w:t>
            </w:r>
          </w:p>
          <w:p>
            <w:pPr>
              <w:widowControl/>
              <w:textAlignment w:val="center"/>
              <w:rPr>
                <w:szCs w:val="21"/>
              </w:rPr>
            </w:pPr>
            <w:r>
              <w:rPr>
                <w:rFonts w:hint="eastAsia"/>
                <w:szCs w:val="21"/>
              </w:rPr>
              <w:t>分，中1-2，差不计分。本项最多计</w:t>
            </w:r>
            <w:r>
              <w:rPr>
                <w:szCs w:val="21"/>
              </w:rPr>
              <w:t>10</w:t>
            </w:r>
            <w:r>
              <w:rPr>
                <w:rFonts w:hint="eastAsia"/>
                <w:szCs w:val="21"/>
              </w:rPr>
              <w:t>分。</w:t>
            </w: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10分</w:t>
            </w:r>
          </w:p>
        </w:tc>
      </w:tr>
      <w:tr>
        <w:tblPrEx>
          <w:tblCellMar>
            <w:top w:w="0" w:type="dxa"/>
            <w:left w:w="108" w:type="dxa"/>
            <w:bottom w:w="0" w:type="dxa"/>
            <w:right w:w="108" w:type="dxa"/>
          </w:tblCellMar>
        </w:tblPrEx>
        <w:trPr>
          <w:trHeight w:val="1746" w:hRule="atLeast"/>
          <w:jc w:val="center"/>
        </w:trPr>
        <w:tc>
          <w:tcPr>
            <w:tcW w:w="10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价格部分</w:t>
            </w:r>
          </w:p>
        </w:tc>
        <w:tc>
          <w:tcPr>
            <w:tcW w:w="13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3</w:t>
            </w:r>
            <w:r>
              <w:rPr>
                <w:rFonts w:hint="eastAsia" w:ascii="宋体" w:hAnsi="宋体" w:cs="宋体"/>
                <w:color w:val="000000"/>
                <w:kern w:val="0"/>
                <w:szCs w:val="21"/>
                <w:lang w:bidi="ar"/>
              </w:rPr>
              <w:t>0%</w:t>
            </w:r>
          </w:p>
        </w:tc>
        <w:tc>
          <w:tcPr>
            <w:tcW w:w="684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widowControl/>
              <w:jc w:val="center"/>
              <w:textAlignment w:val="center"/>
              <w:rPr>
                <w:szCs w:val="21"/>
              </w:rPr>
            </w:pPr>
            <w:r>
              <w:rPr>
                <w:rFonts w:hint="eastAsia"/>
                <w:szCs w:val="21"/>
              </w:rPr>
              <w:t>将评委会修正审核后的有效报价中的最低价作为基准价格，等于基准价格的投标报价定为满分。折算公式：</w:t>
            </w:r>
          </w:p>
          <w:p>
            <w:pPr>
              <w:widowControl/>
              <w:jc w:val="center"/>
              <w:textAlignment w:val="center"/>
              <w:rPr>
                <w:szCs w:val="21"/>
              </w:rPr>
            </w:pPr>
            <w:r>
              <w:rPr>
                <w:rFonts w:hint="eastAsia"/>
                <w:szCs w:val="21"/>
              </w:rPr>
              <w:t>基准价格=各有效投标价格中的最低价</w:t>
            </w:r>
          </w:p>
          <w:p>
            <w:pPr>
              <w:widowControl/>
              <w:jc w:val="center"/>
              <w:textAlignment w:val="center"/>
              <w:rPr>
                <w:szCs w:val="21"/>
              </w:rPr>
            </w:pPr>
            <w:r>
              <w:rPr>
                <w:rFonts w:hint="eastAsia"/>
                <w:szCs w:val="21"/>
              </w:rPr>
              <w:t>1.当投标价格=基准价格时：价格得分=</w:t>
            </w:r>
            <w:r>
              <w:rPr>
                <w:szCs w:val="21"/>
              </w:rPr>
              <w:t>3</w:t>
            </w:r>
            <w:r>
              <w:rPr>
                <w:rFonts w:hint="eastAsia"/>
                <w:szCs w:val="21"/>
              </w:rPr>
              <w:t>0分</w:t>
            </w:r>
          </w:p>
          <w:p>
            <w:pPr>
              <w:widowControl/>
              <w:jc w:val="center"/>
              <w:textAlignment w:val="center"/>
              <w:rPr>
                <w:szCs w:val="21"/>
              </w:rPr>
            </w:pPr>
            <w:r>
              <w:rPr>
                <w:rFonts w:hint="eastAsia"/>
                <w:szCs w:val="21"/>
              </w:rPr>
              <w:t>2.当投标价格&gt;基准价格时：价格得分=（基准价格</w:t>
            </w:r>
            <w:r>
              <w:t>÷投标价格）x30</w:t>
            </w: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widowControl/>
              <w:jc w:val="center"/>
              <w:textAlignment w:val="center"/>
              <w:rPr>
                <w:szCs w:val="21"/>
              </w:rPr>
            </w:pPr>
          </w:p>
          <w:p>
            <w:pPr>
              <w:widowControl/>
              <w:jc w:val="center"/>
              <w:textAlignment w:val="center"/>
              <w:rPr>
                <w:szCs w:val="21"/>
              </w:rPr>
            </w:pPr>
          </w:p>
          <w:p>
            <w:pPr>
              <w:widowControl/>
              <w:jc w:val="center"/>
              <w:textAlignment w:val="center"/>
              <w:rPr>
                <w:szCs w:val="21"/>
              </w:rPr>
            </w:pPr>
            <w:r>
              <w:rPr>
                <w:szCs w:val="21"/>
              </w:rPr>
              <w:t>3</w:t>
            </w:r>
            <w:r>
              <w:rPr>
                <w:rFonts w:hint="eastAsia"/>
                <w:szCs w:val="21"/>
              </w:rPr>
              <w:t>0分</w:t>
            </w:r>
          </w:p>
        </w:tc>
      </w:tr>
    </w:tbl>
    <w:p>
      <w:pPr>
        <w:jc w:val="center"/>
        <w:rPr>
          <w:rFonts w:ascii="仿宋" w:hAnsi="仿宋" w:eastAsia="仿宋" w:cs="仿宋"/>
          <w:b/>
          <w:sz w:val="28"/>
          <w:szCs w:val="28"/>
        </w:rPr>
      </w:pPr>
    </w:p>
    <w:p>
      <w:pPr>
        <w:jc w:val="center"/>
        <w:rPr>
          <w:rFonts w:ascii="仿宋" w:hAnsi="仿宋" w:eastAsia="仿宋" w:cs="仿宋"/>
          <w:b/>
          <w:sz w:val="28"/>
          <w:szCs w:val="28"/>
        </w:rPr>
      </w:pPr>
      <w:r>
        <w:rPr>
          <w:rFonts w:hint="eastAsia" w:ascii="仿宋" w:hAnsi="仿宋" w:eastAsia="仿宋" w:cs="仿宋"/>
          <w:b/>
          <w:sz w:val="28"/>
          <w:szCs w:val="28"/>
        </w:rPr>
        <w:t>第六部分 合同书签订</w:t>
      </w:r>
    </w:p>
    <w:p>
      <w:pPr>
        <w:jc w:val="center"/>
        <w:rPr>
          <w:rFonts w:ascii="仿宋" w:hAnsi="仿宋" w:eastAsia="仿宋" w:cs="仿宋"/>
          <w:b/>
          <w:sz w:val="28"/>
          <w:szCs w:val="28"/>
        </w:rPr>
      </w:pPr>
    </w:p>
    <w:p>
      <w:pPr>
        <w:tabs>
          <w:tab w:val="left" w:pos="7740"/>
        </w:tabs>
        <w:ind w:firstLine="560" w:firstLineChars="200"/>
        <w:rPr>
          <w:rFonts w:ascii="仿宋" w:hAnsi="仿宋" w:eastAsia="仿宋" w:cs="仿宋"/>
          <w:sz w:val="28"/>
          <w:szCs w:val="28"/>
        </w:rPr>
      </w:pPr>
      <w:r>
        <w:rPr>
          <w:rFonts w:hint="eastAsia" w:ascii="仿宋" w:hAnsi="仿宋" w:eastAsia="仿宋" w:cs="仿宋"/>
          <w:sz w:val="28"/>
          <w:szCs w:val="28"/>
        </w:rPr>
        <w:t>一、中标人应当按照招标文件和《中标通知书》与采购单位签订合同。</w:t>
      </w:r>
    </w:p>
    <w:p>
      <w:pPr>
        <w:tabs>
          <w:tab w:val="left" w:pos="7740"/>
        </w:tabs>
        <w:ind w:firstLine="560" w:firstLineChars="200"/>
        <w:rPr>
          <w:rFonts w:ascii="仿宋" w:hAnsi="仿宋" w:eastAsia="仿宋" w:cs="仿宋"/>
          <w:sz w:val="28"/>
          <w:szCs w:val="28"/>
        </w:rPr>
      </w:pPr>
      <w:r>
        <w:rPr>
          <w:rFonts w:hint="eastAsia" w:ascii="仿宋" w:hAnsi="仿宋" w:eastAsia="仿宋" w:cs="仿宋"/>
          <w:sz w:val="28"/>
          <w:szCs w:val="28"/>
        </w:rPr>
        <w:t>二、合同签订双方可根据项目的具体要求进行修订,合同标的、数量、金额、服务承诺、履约方式等必须与招标文件和中标供应商的投标文件保持一致,在不违反原采购方案要求和各方认可的文件内容前提下，合同当事人可对合同范本中个别非招标文件规定和投标文件承诺的合同条款共同协商完善补充修订。</w:t>
      </w:r>
    </w:p>
    <w:p>
      <w:pPr>
        <w:tabs>
          <w:tab w:val="left" w:pos="7740"/>
        </w:tabs>
        <w:ind w:firstLine="560" w:firstLineChars="200"/>
        <w:rPr>
          <w:rFonts w:ascii="仿宋" w:hAnsi="仿宋" w:eastAsia="仿宋" w:cs="仿宋"/>
          <w:sz w:val="28"/>
          <w:szCs w:val="28"/>
        </w:rPr>
      </w:pPr>
      <w:r>
        <w:rPr>
          <w:rFonts w:hint="eastAsia" w:ascii="仿宋" w:hAnsi="仿宋" w:eastAsia="仿宋" w:cs="仿宋"/>
          <w:sz w:val="28"/>
          <w:szCs w:val="28"/>
        </w:rPr>
        <w:t>三、在不背离招标文件和投标文件的实质性内容前提下,采购单位对有关内容有权做出必要的细化和补充。</w:t>
      </w:r>
    </w:p>
    <w:p>
      <w:pPr>
        <w:pStyle w:val="2"/>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p>
    <w:p>
      <w:pPr>
        <w:jc w:val="center"/>
        <w:rPr>
          <w:rFonts w:ascii="仿宋" w:hAnsi="仿宋" w:eastAsia="仿宋" w:cs="仿宋"/>
          <w:b/>
          <w:sz w:val="28"/>
          <w:szCs w:val="28"/>
        </w:rPr>
      </w:pPr>
      <w:r>
        <w:rPr>
          <w:rFonts w:hint="eastAsia" w:ascii="仿宋" w:hAnsi="仿宋" w:eastAsia="仿宋" w:cs="仿宋"/>
          <w:b/>
          <w:sz w:val="28"/>
          <w:szCs w:val="28"/>
        </w:rPr>
        <w:t>第七部分  投标文件格式</w:t>
      </w:r>
    </w:p>
    <w:p>
      <w:pPr>
        <w:spacing w:line="360" w:lineRule="auto"/>
        <w:ind w:firstLine="420" w:firstLineChars="200"/>
        <w:rPr>
          <w:rFonts w:ascii="仿宋" w:hAnsi="仿宋" w:eastAsia="仿宋" w:cs="仿宋"/>
          <w:szCs w:val="21"/>
        </w:rPr>
      </w:pPr>
    </w:p>
    <w:p>
      <w:pPr>
        <w:rPr>
          <w:rFonts w:ascii="仿宋" w:hAnsi="仿宋" w:eastAsia="仿宋" w:cs="仿宋"/>
          <w:color w:val="000000"/>
        </w:rPr>
      </w:pPr>
    </w:p>
    <w:p>
      <w:pPr>
        <w:pStyle w:val="5"/>
        <w:tabs>
          <w:tab w:val="left" w:pos="1260"/>
        </w:tabs>
        <w:spacing w:line="360" w:lineRule="auto"/>
        <w:jc w:val="center"/>
        <w:rPr>
          <w:rFonts w:ascii="仿宋" w:hAnsi="仿宋" w:eastAsia="仿宋" w:cs="仿宋"/>
          <w:b/>
          <w:color w:val="000000"/>
          <w:spacing w:val="100"/>
          <w:w w:val="110"/>
          <w:kern w:val="0"/>
          <w:sz w:val="44"/>
          <w:szCs w:val="44"/>
        </w:rPr>
      </w:pPr>
    </w:p>
    <w:p>
      <w:pPr>
        <w:pStyle w:val="5"/>
        <w:tabs>
          <w:tab w:val="left" w:pos="1260"/>
        </w:tabs>
        <w:spacing w:line="360" w:lineRule="auto"/>
        <w:jc w:val="center"/>
        <w:rPr>
          <w:rFonts w:ascii="仿宋" w:hAnsi="仿宋" w:eastAsia="仿宋" w:cs="仿宋"/>
          <w:b/>
          <w:color w:val="000000"/>
          <w:spacing w:val="100"/>
          <w:w w:val="110"/>
          <w:kern w:val="0"/>
          <w:sz w:val="44"/>
          <w:szCs w:val="44"/>
        </w:rPr>
      </w:pPr>
      <w:r>
        <w:rPr>
          <w:rFonts w:hint="eastAsia" w:ascii="仿宋" w:hAnsi="仿宋" w:eastAsia="仿宋" w:cs="仿宋"/>
          <w:b/>
          <w:color w:val="000000"/>
          <w:spacing w:val="100"/>
          <w:w w:val="110"/>
          <w:kern w:val="0"/>
          <w:sz w:val="44"/>
          <w:szCs w:val="44"/>
        </w:rPr>
        <w:t>投标文件</w:t>
      </w:r>
    </w:p>
    <w:p>
      <w:pPr>
        <w:rPr>
          <w:rFonts w:ascii="仿宋" w:hAnsi="仿宋" w:eastAsia="仿宋" w:cs="仿宋"/>
          <w:color w:val="000000"/>
        </w:rPr>
      </w:pPr>
    </w:p>
    <w:p>
      <w:pPr>
        <w:pStyle w:val="5"/>
        <w:spacing w:line="360" w:lineRule="auto"/>
        <w:jc w:val="center"/>
        <w:rPr>
          <w:rFonts w:ascii="仿宋" w:hAnsi="仿宋" w:eastAsia="仿宋" w:cs="仿宋"/>
          <w:b/>
          <w:color w:val="000000"/>
          <w:sz w:val="44"/>
          <w:szCs w:val="44"/>
        </w:rPr>
      </w:pPr>
      <w:r>
        <w:rPr>
          <w:rFonts w:hint="eastAsia" w:ascii="仿宋" w:hAnsi="仿宋" w:eastAsia="仿宋" w:cs="仿宋"/>
          <w:b/>
          <w:color w:val="000000"/>
          <w:sz w:val="44"/>
          <w:szCs w:val="44"/>
        </w:rPr>
        <w:t>（正本/副本）</w:t>
      </w:r>
    </w:p>
    <w:p>
      <w:pPr>
        <w:pStyle w:val="5"/>
        <w:spacing w:line="360" w:lineRule="auto"/>
        <w:rPr>
          <w:rFonts w:ascii="仿宋" w:hAnsi="仿宋" w:eastAsia="仿宋" w:cs="仿宋"/>
          <w:b/>
          <w:color w:val="000000"/>
          <w:sz w:val="28"/>
          <w:szCs w:val="28"/>
        </w:rPr>
      </w:pPr>
    </w:p>
    <w:p>
      <w:pPr>
        <w:pStyle w:val="5"/>
        <w:spacing w:line="360" w:lineRule="auto"/>
        <w:rPr>
          <w:rFonts w:ascii="仿宋" w:hAnsi="仿宋" w:eastAsia="仿宋" w:cs="仿宋"/>
          <w:b/>
          <w:color w:val="000000"/>
          <w:sz w:val="28"/>
          <w:szCs w:val="28"/>
        </w:rPr>
      </w:pPr>
    </w:p>
    <w:p>
      <w:pPr>
        <w:pStyle w:val="5"/>
        <w:spacing w:line="360" w:lineRule="auto"/>
        <w:rPr>
          <w:rFonts w:ascii="仿宋" w:hAnsi="仿宋" w:eastAsia="仿宋" w:cs="仿宋"/>
          <w:b/>
          <w:color w:val="000000"/>
          <w:sz w:val="28"/>
          <w:szCs w:val="28"/>
        </w:rPr>
      </w:pPr>
    </w:p>
    <w:p>
      <w:pPr>
        <w:pStyle w:val="5"/>
        <w:spacing w:line="360" w:lineRule="auto"/>
        <w:rPr>
          <w:rFonts w:ascii="仿宋" w:hAnsi="仿宋" w:eastAsia="仿宋" w:cs="仿宋"/>
          <w:b/>
          <w:color w:val="000000"/>
          <w:sz w:val="28"/>
          <w:szCs w:val="28"/>
        </w:rPr>
      </w:pPr>
    </w:p>
    <w:p>
      <w:pPr>
        <w:pStyle w:val="5"/>
        <w:spacing w:line="360" w:lineRule="auto"/>
        <w:ind w:firstLine="1661" w:firstLineChars="591"/>
        <w:rPr>
          <w:rFonts w:ascii="仿宋" w:hAnsi="仿宋" w:eastAsia="仿宋" w:cs="仿宋"/>
          <w:b/>
          <w:color w:val="000000"/>
          <w:sz w:val="28"/>
          <w:szCs w:val="28"/>
        </w:rPr>
      </w:pPr>
    </w:p>
    <w:p>
      <w:pPr>
        <w:pStyle w:val="5"/>
        <w:spacing w:line="360" w:lineRule="auto"/>
        <w:ind w:left="3349" w:leftChars="1098" w:hanging="1043" w:hangingChars="371"/>
        <w:rPr>
          <w:rFonts w:ascii="仿宋" w:hAnsi="仿宋" w:eastAsia="仿宋" w:cs="仿宋"/>
          <w:b/>
          <w:color w:val="000000"/>
          <w:sz w:val="28"/>
          <w:szCs w:val="28"/>
        </w:rPr>
      </w:pPr>
      <w:r>
        <w:rPr>
          <w:rFonts w:hint="eastAsia" w:ascii="仿宋" w:hAnsi="仿宋" w:eastAsia="仿宋" w:cs="仿宋"/>
          <w:b/>
          <w:color w:val="000000"/>
          <w:sz w:val="28"/>
          <w:szCs w:val="28"/>
        </w:rPr>
        <w:t>采购项目名称：</w:t>
      </w:r>
      <w:r>
        <w:rPr>
          <w:rFonts w:hint="eastAsia" w:ascii="仿宋" w:hAnsi="仿宋" w:eastAsia="仿宋" w:cs="仿宋"/>
          <w:b/>
          <w:color w:val="000000"/>
          <w:sz w:val="28"/>
          <w:szCs w:val="28"/>
          <w:u w:val="single"/>
        </w:rPr>
        <w:t xml:space="preserve">               </w:t>
      </w:r>
    </w:p>
    <w:p>
      <w:pPr>
        <w:pStyle w:val="5"/>
        <w:spacing w:line="360" w:lineRule="auto"/>
        <w:ind w:firstLine="1521" w:firstLineChars="541"/>
        <w:rPr>
          <w:rFonts w:ascii="仿宋" w:hAnsi="仿宋" w:eastAsia="仿宋" w:cs="仿宋"/>
          <w:b/>
          <w:color w:val="000000"/>
          <w:sz w:val="28"/>
          <w:szCs w:val="28"/>
        </w:rPr>
      </w:pPr>
    </w:p>
    <w:p>
      <w:pPr>
        <w:pStyle w:val="5"/>
        <w:spacing w:line="360" w:lineRule="auto"/>
        <w:ind w:firstLine="2358" w:firstLineChars="839"/>
        <w:rPr>
          <w:rFonts w:ascii="仿宋" w:hAnsi="仿宋" w:eastAsia="仿宋" w:cs="仿宋"/>
          <w:b/>
          <w:color w:val="000000"/>
          <w:sz w:val="28"/>
          <w:szCs w:val="28"/>
          <w:u w:val="single"/>
        </w:rPr>
      </w:pPr>
      <w:r>
        <w:rPr>
          <w:rFonts w:hint="eastAsia" w:ascii="仿宋" w:hAnsi="仿宋" w:eastAsia="仿宋" w:cs="仿宋"/>
          <w:b/>
          <w:color w:val="000000"/>
          <w:sz w:val="28"/>
          <w:szCs w:val="28"/>
        </w:rPr>
        <w:t>投标人名称：</w:t>
      </w:r>
      <w:r>
        <w:rPr>
          <w:rFonts w:hint="eastAsia" w:ascii="仿宋" w:hAnsi="仿宋" w:eastAsia="仿宋" w:cs="仿宋"/>
          <w:b/>
          <w:color w:val="000000"/>
          <w:sz w:val="28"/>
          <w:szCs w:val="28"/>
          <w:u w:val="single"/>
        </w:rPr>
        <w:t xml:space="preserve">                </w:t>
      </w:r>
    </w:p>
    <w:p>
      <w:pPr>
        <w:autoSpaceDE w:val="0"/>
        <w:autoSpaceDN w:val="0"/>
        <w:spacing w:line="360" w:lineRule="auto"/>
        <w:ind w:firstLine="1521" w:firstLineChars="541"/>
        <w:rPr>
          <w:rFonts w:ascii="仿宋" w:hAnsi="仿宋" w:eastAsia="仿宋" w:cs="仿宋"/>
          <w:b/>
          <w:color w:val="000000"/>
          <w:sz w:val="28"/>
          <w:szCs w:val="28"/>
        </w:rPr>
      </w:pPr>
    </w:p>
    <w:p>
      <w:pPr>
        <w:autoSpaceDE w:val="0"/>
        <w:autoSpaceDN w:val="0"/>
        <w:spacing w:line="360" w:lineRule="auto"/>
        <w:ind w:firstLine="2358" w:firstLineChars="839"/>
        <w:rPr>
          <w:rFonts w:ascii="仿宋" w:hAnsi="仿宋" w:eastAsia="仿宋" w:cs="仿宋"/>
          <w:b/>
          <w:color w:val="000000"/>
          <w:sz w:val="28"/>
          <w:szCs w:val="28"/>
          <w:u w:val="single"/>
        </w:rPr>
      </w:pPr>
      <w:r>
        <w:rPr>
          <w:rFonts w:hint="eastAsia" w:ascii="仿宋" w:hAnsi="仿宋" w:eastAsia="仿宋" w:cs="仿宋"/>
          <w:b/>
          <w:color w:val="000000"/>
          <w:sz w:val="28"/>
          <w:szCs w:val="28"/>
        </w:rPr>
        <w:t>日期：</w:t>
      </w:r>
      <w:r>
        <w:rPr>
          <w:rFonts w:hint="eastAsia" w:ascii="仿宋" w:hAnsi="仿宋" w:eastAsia="仿宋" w:cs="仿宋"/>
          <w:b/>
          <w:color w:val="000000"/>
          <w:sz w:val="28"/>
          <w:szCs w:val="28"/>
          <w:u w:val="single"/>
        </w:rPr>
        <w:t xml:space="preserve">      </w:t>
      </w:r>
      <w:r>
        <w:rPr>
          <w:rFonts w:hint="eastAsia" w:ascii="仿宋" w:hAnsi="仿宋" w:eastAsia="仿宋" w:cs="仿宋"/>
          <w:b/>
          <w:color w:val="000000"/>
          <w:sz w:val="28"/>
          <w:szCs w:val="28"/>
        </w:rPr>
        <w:t>年</w:t>
      </w:r>
      <w:r>
        <w:rPr>
          <w:rFonts w:hint="eastAsia" w:ascii="仿宋" w:hAnsi="仿宋" w:eastAsia="仿宋" w:cs="仿宋"/>
          <w:b/>
          <w:color w:val="000000"/>
          <w:sz w:val="28"/>
          <w:szCs w:val="28"/>
          <w:u w:val="single"/>
        </w:rPr>
        <w:t xml:space="preserve">      </w:t>
      </w:r>
      <w:r>
        <w:rPr>
          <w:rFonts w:hint="eastAsia" w:ascii="仿宋" w:hAnsi="仿宋" w:eastAsia="仿宋" w:cs="仿宋"/>
          <w:b/>
          <w:color w:val="000000"/>
          <w:sz w:val="28"/>
          <w:szCs w:val="28"/>
        </w:rPr>
        <w:t>月</w:t>
      </w:r>
      <w:r>
        <w:rPr>
          <w:rFonts w:hint="eastAsia" w:ascii="仿宋" w:hAnsi="仿宋" w:eastAsia="仿宋" w:cs="仿宋"/>
          <w:b/>
          <w:color w:val="000000"/>
          <w:sz w:val="28"/>
          <w:szCs w:val="28"/>
          <w:u w:val="single"/>
        </w:rPr>
        <w:t xml:space="preserve">      </w:t>
      </w:r>
      <w:r>
        <w:rPr>
          <w:rFonts w:hint="eastAsia" w:ascii="仿宋" w:hAnsi="仿宋" w:eastAsia="仿宋" w:cs="仿宋"/>
          <w:b/>
          <w:color w:val="000000"/>
          <w:sz w:val="28"/>
          <w:szCs w:val="28"/>
        </w:rPr>
        <w:t>日</w:t>
      </w:r>
    </w:p>
    <w:p>
      <w:pPr>
        <w:rPr>
          <w:rFonts w:ascii="仿宋" w:hAnsi="仿宋" w:eastAsia="仿宋" w:cs="仿宋"/>
          <w:b/>
          <w:bCs/>
          <w:color w:val="000000"/>
          <w:sz w:val="24"/>
        </w:rPr>
      </w:pPr>
      <w:r>
        <w:rPr>
          <w:rFonts w:hint="eastAsia" w:ascii="仿宋" w:hAnsi="仿宋" w:eastAsia="仿宋" w:cs="仿宋"/>
          <w:color w:val="000000"/>
          <w:sz w:val="28"/>
          <w:szCs w:val="28"/>
        </w:rPr>
        <w:br w:type="page"/>
      </w:r>
      <w:bookmarkStart w:id="1" w:name="OLE_LINK6"/>
      <w:r>
        <w:rPr>
          <w:rFonts w:hint="eastAsia" w:ascii="仿宋" w:hAnsi="仿宋" w:eastAsia="仿宋" w:cs="仿宋"/>
          <w:b/>
          <w:bCs/>
          <w:color w:val="000000"/>
          <w:sz w:val="28"/>
          <w:szCs w:val="28"/>
        </w:rPr>
        <w:t>1、投标人情况介绍表</w:t>
      </w:r>
    </w:p>
    <w:p>
      <w:pPr>
        <w:pStyle w:val="19"/>
        <w:ind w:left="105" w:hanging="1"/>
        <w:jc w:val="center"/>
        <w:rPr>
          <w:rFonts w:ascii="仿宋" w:hAnsi="仿宋" w:eastAsia="仿宋" w:cs="仿宋"/>
          <w:b/>
          <w:color w:val="000000"/>
          <w:spacing w:val="0"/>
          <w:kern w:val="2"/>
          <w:sz w:val="28"/>
          <w:szCs w:val="28"/>
          <w:lang w:val="en-GB"/>
        </w:rPr>
      </w:pPr>
    </w:p>
    <w:tbl>
      <w:tblPr>
        <w:tblStyle w:val="8"/>
        <w:tblW w:w="10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1471"/>
        <w:gridCol w:w="1461"/>
        <w:gridCol w:w="227"/>
        <w:gridCol w:w="1394"/>
        <w:gridCol w:w="256"/>
        <w:gridCol w:w="1005"/>
        <w:gridCol w:w="789"/>
        <w:gridCol w:w="292"/>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单位名称</w:t>
            </w:r>
          </w:p>
        </w:tc>
        <w:tc>
          <w:tcPr>
            <w:tcW w:w="8015" w:type="dxa"/>
            <w:gridSpan w:val="9"/>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spacing w:line="360" w:lineRule="auto"/>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地址</w:t>
            </w:r>
          </w:p>
        </w:tc>
        <w:tc>
          <w:tcPr>
            <w:tcW w:w="8015" w:type="dxa"/>
            <w:gridSpan w:val="9"/>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spacing w:line="360" w:lineRule="auto"/>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开户银行</w:t>
            </w:r>
          </w:p>
        </w:tc>
        <w:tc>
          <w:tcPr>
            <w:tcW w:w="8015" w:type="dxa"/>
            <w:gridSpan w:val="9"/>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spacing w:line="360" w:lineRule="auto"/>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银行账户</w:t>
            </w:r>
          </w:p>
        </w:tc>
        <w:tc>
          <w:tcPr>
            <w:tcW w:w="8015" w:type="dxa"/>
            <w:gridSpan w:val="9"/>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spacing w:line="360" w:lineRule="auto"/>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b/>
                <w:snapToGrid w:val="0"/>
                <w:color w:val="000000"/>
                <w:sz w:val="24"/>
              </w:rPr>
            </w:pPr>
            <w:r>
              <w:rPr>
                <w:rFonts w:hint="eastAsia" w:ascii="仿宋" w:hAnsi="仿宋" w:eastAsia="仿宋" w:cs="仿宋"/>
                <w:snapToGrid w:val="0"/>
                <w:color w:val="000000"/>
                <w:sz w:val="24"/>
              </w:rPr>
              <w:t>纳税人识别号</w:t>
            </w:r>
          </w:p>
        </w:tc>
        <w:tc>
          <w:tcPr>
            <w:tcW w:w="8015" w:type="dxa"/>
            <w:gridSpan w:val="9"/>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spacing w:line="360" w:lineRule="auto"/>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主管部门</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法定代表人</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c>
          <w:tcPr>
            <w:tcW w:w="1792"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职务</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经济类型</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授权代表</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c>
          <w:tcPr>
            <w:tcW w:w="1792"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职务</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邮编</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电话</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c>
          <w:tcPr>
            <w:tcW w:w="1792"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传真</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单位简介及机构设置</w:t>
            </w:r>
          </w:p>
        </w:tc>
        <w:tc>
          <w:tcPr>
            <w:tcW w:w="8015" w:type="dxa"/>
            <w:gridSpan w:val="9"/>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998"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单位优势及特长</w:t>
            </w:r>
          </w:p>
        </w:tc>
        <w:tc>
          <w:tcPr>
            <w:tcW w:w="8015" w:type="dxa"/>
            <w:gridSpan w:val="9"/>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998" w:type="dxa"/>
            <w:vMerge w:val="restart"/>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单位概况</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注册资本</w:t>
            </w:r>
          </w:p>
        </w:tc>
        <w:tc>
          <w:tcPr>
            <w:tcW w:w="146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万元</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firstLine="36"/>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占地面积</w:t>
            </w:r>
          </w:p>
        </w:tc>
        <w:tc>
          <w:tcPr>
            <w:tcW w:w="3465" w:type="dxa"/>
            <w:gridSpan w:val="5"/>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firstLine="3480" w:firstLineChars="1450"/>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color w:val="000000"/>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职工总数</w:t>
            </w:r>
          </w:p>
        </w:tc>
        <w:tc>
          <w:tcPr>
            <w:tcW w:w="146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人</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firstLine="36"/>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建筑面积</w:t>
            </w:r>
          </w:p>
        </w:tc>
        <w:tc>
          <w:tcPr>
            <w:tcW w:w="3465" w:type="dxa"/>
            <w:gridSpan w:val="5"/>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firstLine="3480" w:firstLineChars="1450"/>
              <w:jc w:val="center"/>
              <w:textAlignment w:val="center"/>
              <w:rPr>
                <w:rFonts w:ascii="仿宋" w:hAnsi="仿宋" w:eastAsia="仿宋" w:cs="仿宋"/>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color w:val="000000"/>
                <w:sz w:val="24"/>
              </w:rPr>
            </w:pPr>
          </w:p>
        </w:tc>
        <w:tc>
          <w:tcPr>
            <w:tcW w:w="1470" w:type="dxa"/>
            <w:vMerge w:val="restart"/>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资产情况</w:t>
            </w:r>
          </w:p>
        </w:tc>
        <w:tc>
          <w:tcPr>
            <w:tcW w:w="146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净资产</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firstLine="880" w:firstLineChars="367"/>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万元</w:t>
            </w:r>
          </w:p>
        </w:tc>
        <w:tc>
          <w:tcPr>
            <w:tcW w:w="3465" w:type="dxa"/>
            <w:gridSpan w:val="5"/>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固定资产原值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color w:val="000000"/>
                <w:sz w:val="24"/>
              </w:rPr>
            </w:pPr>
          </w:p>
        </w:tc>
        <w:tc>
          <w:tcPr>
            <w:tcW w:w="8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color w:val="000000"/>
                <w:sz w:val="24"/>
              </w:rPr>
            </w:pPr>
          </w:p>
        </w:tc>
        <w:tc>
          <w:tcPr>
            <w:tcW w:w="146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负债</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firstLine="880" w:firstLineChars="367"/>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万元</w:t>
            </w:r>
          </w:p>
        </w:tc>
        <w:tc>
          <w:tcPr>
            <w:tcW w:w="3465" w:type="dxa"/>
            <w:gridSpan w:val="5"/>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998" w:type="dxa"/>
            <w:vMerge w:val="restart"/>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财务状况</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年度</w:t>
            </w:r>
          </w:p>
        </w:tc>
        <w:tc>
          <w:tcPr>
            <w:tcW w:w="146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主营收入</w:t>
            </w:r>
          </w:p>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（万元）</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收入总额</w:t>
            </w:r>
          </w:p>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（万元）</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firstLine="13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利润总额（万元）</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44" w:rightChars="21" w:firstLine="13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净利润（万元）</w:t>
            </w: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r>
              <w:rPr>
                <w:rFonts w:hint="eastAsia" w:ascii="仿宋" w:hAnsi="仿宋" w:eastAsia="仿宋" w:cs="仿宋"/>
                <w:snapToGrid w:val="0"/>
                <w:color w:val="000000"/>
                <w:sz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napToGrid w:val="0"/>
                <w:color w:val="000000"/>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c>
          <w:tcPr>
            <w:tcW w:w="1460"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105" w:rightChars="-50" w:firstLine="132"/>
              <w:jc w:val="center"/>
              <w:textAlignment w:val="center"/>
              <w:rPr>
                <w:rFonts w:ascii="仿宋" w:hAnsi="仿宋" w:eastAsia="仿宋" w:cs="仿宋"/>
                <w:snapToGrid w:val="0"/>
                <w:color w:val="000000"/>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4" w:leftChars="-64" w:right="44" w:rightChars="21" w:firstLine="132"/>
              <w:jc w:val="center"/>
              <w:textAlignment w:val="center"/>
              <w:rPr>
                <w:rFonts w:ascii="仿宋" w:hAnsi="仿宋" w:eastAsia="仿宋" w:cs="仿宋"/>
                <w:snapToGrid w:val="0"/>
                <w:color w:val="000000"/>
                <w:sz w:val="24"/>
              </w:rPr>
            </w:pP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540"/>
              </w:tabs>
              <w:adjustRightInd w:val="0"/>
              <w:snapToGrid w:val="0"/>
              <w:ind w:left="-132" w:leftChars="-64" w:right="-105" w:rightChars="-50" w:hanging="2"/>
              <w:jc w:val="center"/>
              <w:textAlignment w:val="center"/>
              <w:rPr>
                <w:rFonts w:ascii="仿宋" w:hAnsi="仿宋" w:eastAsia="仿宋" w:cs="仿宋"/>
                <w:snapToGrid w:val="0"/>
                <w:color w:val="000000"/>
                <w:sz w:val="24"/>
              </w:rPr>
            </w:pPr>
          </w:p>
        </w:tc>
      </w:tr>
    </w:tbl>
    <w:p>
      <w:pPr>
        <w:tabs>
          <w:tab w:val="left" w:pos="180"/>
        </w:tabs>
        <w:spacing w:line="360" w:lineRule="auto"/>
        <w:ind w:left="-239" w:leftChars="-114" w:firstLine="102" w:firstLineChars="49"/>
        <w:rPr>
          <w:rFonts w:ascii="仿宋" w:hAnsi="仿宋" w:eastAsia="仿宋" w:cs="仿宋"/>
          <w:bCs/>
          <w:color w:val="000000"/>
          <w:szCs w:val="40"/>
          <w:lang w:val="en-GB"/>
        </w:rPr>
      </w:pPr>
    </w:p>
    <w:p>
      <w:pPr>
        <w:tabs>
          <w:tab w:val="left" w:pos="180"/>
        </w:tabs>
        <w:spacing w:line="360" w:lineRule="auto"/>
        <w:ind w:left="-239" w:leftChars="-114" w:firstLine="102" w:firstLineChars="49"/>
        <w:rPr>
          <w:rFonts w:ascii="仿宋" w:hAnsi="仿宋" w:eastAsia="仿宋" w:cs="仿宋"/>
          <w:bCs/>
          <w:color w:val="000000"/>
          <w:szCs w:val="40"/>
          <w:lang w:val="en-GB"/>
        </w:rPr>
      </w:pPr>
      <w:r>
        <w:rPr>
          <w:rFonts w:hint="eastAsia" w:ascii="仿宋" w:hAnsi="仿宋" w:eastAsia="仿宋" w:cs="仿宋"/>
          <w:bCs/>
          <w:color w:val="000000"/>
          <w:szCs w:val="40"/>
          <w:lang w:val="en-GB"/>
        </w:rPr>
        <w:t>注：1）</w:t>
      </w:r>
      <w:r>
        <w:rPr>
          <w:rFonts w:hint="eastAsia" w:ascii="仿宋" w:hAnsi="仿宋" w:eastAsia="仿宋" w:cs="仿宋"/>
          <w:bCs/>
          <w:color w:val="000000"/>
          <w:sz w:val="22"/>
          <w:szCs w:val="44"/>
          <w:lang w:val="en-GB"/>
        </w:rPr>
        <w:t>根据本表内容相应进行文字描述，如单位性质、发展历程、经营规模及服务理念、主营业务、技术力量等</w:t>
      </w:r>
      <w:r>
        <w:rPr>
          <w:rFonts w:hint="eastAsia" w:ascii="仿宋" w:hAnsi="仿宋" w:eastAsia="仿宋" w:cs="仿宋"/>
          <w:bCs/>
          <w:color w:val="000000"/>
          <w:szCs w:val="40"/>
          <w:lang w:val="en-GB"/>
        </w:rPr>
        <w:t>。</w:t>
      </w:r>
    </w:p>
    <w:p>
      <w:pPr>
        <w:numPr>
          <w:ilvl w:val="0"/>
          <w:numId w:val="4"/>
        </w:numPr>
        <w:tabs>
          <w:tab w:val="left" w:pos="180"/>
        </w:tabs>
        <w:spacing w:line="360" w:lineRule="auto"/>
        <w:ind w:left="-239" w:leftChars="-114" w:firstLine="522" w:firstLineChars="249"/>
        <w:rPr>
          <w:rFonts w:ascii="仿宋" w:hAnsi="仿宋" w:eastAsia="仿宋" w:cs="仿宋"/>
          <w:bCs/>
          <w:color w:val="000000"/>
          <w:szCs w:val="40"/>
          <w:lang w:val="en-GB"/>
        </w:rPr>
      </w:pPr>
      <w:r>
        <w:rPr>
          <w:rFonts w:hint="eastAsia" w:ascii="仿宋" w:hAnsi="仿宋" w:eastAsia="仿宋" w:cs="仿宋"/>
          <w:bCs/>
          <w:color w:val="000000"/>
          <w:szCs w:val="40"/>
          <w:lang w:val="en-GB"/>
        </w:rPr>
        <w:t>如投标人此表数据或材料有虚假，一经查实，自行承担相关责任。</w:t>
      </w:r>
    </w:p>
    <w:p>
      <w:pPr>
        <w:tabs>
          <w:tab w:val="left" w:pos="180"/>
        </w:tabs>
        <w:spacing w:line="360" w:lineRule="auto"/>
        <w:ind w:left="283" w:leftChars="135"/>
        <w:rPr>
          <w:rFonts w:ascii="仿宋" w:hAnsi="仿宋" w:eastAsia="仿宋" w:cs="仿宋"/>
          <w:color w:val="000000"/>
          <w:sz w:val="28"/>
          <w:szCs w:val="28"/>
        </w:rPr>
      </w:pPr>
    </w:p>
    <w:p>
      <w:pPr>
        <w:tabs>
          <w:tab w:val="left" w:pos="180"/>
        </w:tabs>
        <w:spacing w:line="360" w:lineRule="auto"/>
        <w:ind w:left="283" w:leftChars="135"/>
        <w:rPr>
          <w:rFonts w:ascii="仿宋" w:hAnsi="仿宋" w:eastAsia="仿宋" w:cs="仿宋"/>
          <w:color w:val="000000"/>
          <w:sz w:val="28"/>
          <w:szCs w:val="28"/>
        </w:rPr>
      </w:pPr>
    </w:p>
    <w:p>
      <w:pPr>
        <w:tabs>
          <w:tab w:val="left" w:pos="180"/>
        </w:tabs>
        <w:spacing w:line="360" w:lineRule="auto"/>
        <w:jc w:val="center"/>
        <w:rPr>
          <w:rFonts w:ascii="仿宋" w:hAnsi="仿宋" w:eastAsia="仿宋" w:cs="仿宋"/>
          <w:bCs/>
          <w:color w:val="000000"/>
          <w:kern w:val="0"/>
          <w:sz w:val="28"/>
          <w:szCs w:val="28"/>
        </w:rPr>
      </w:pPr>
      <w:r>
        <w:rPr>
          <w:rFonts w:hint="eastAsia" w:ascii="仿宋" w:hAnsi="仿宋" w:eastAsia="仿宋" w:cs="仿宋"/>
          <w:color w:val="000000"/>
          <w:sz w:val="28"/>
          <w:szCs w:val="28"/>
        </w:rPr>
        <w:br w:type="page"/>
      </w:r>
      <w:r>
        <w:rPr>
          <w:rFonts w:hint="eastAsia" w:ascii="仿宋" w:hAnsi="仿宋" w:eastAsia="仿宋" w:cs="仿宋"/>
          <w:b/>
          <w:color w:val="000000"/>
          <w:kern w:val="0"/>
          <w:sz w:val="28"/>
          <w:szCs w:val="28"/>
        </w:rPr>
        <w:t>2、投标函</w:t>
      </w:r>
      <w:bookmarkEnd w:id="1"/>
    </w:p>
    <w:p>
      <w:pPr>
        <w:tabs>
          <w:tab w:val="left" w:pos="180"/>
        </w:tabs>
        <w:spacing w:line="360" w:lineRule="auto"/>
        <w:ind w:left="283" w:leftChars="135"/>
        <w:rPr>
          <w:rFonts w:ascii="仿宋" w:hAnsi="仿宋" w:eastAsia="仿宋" w:cs="仿宋"/>
          <w:bCs/>
          <w:color w:val="000000"/>
          <w:kern w:val="0"/>
          <w:sz w:val="28"/>
          <w:szCs w:val="28"/>
        </w:rPr>
      </w:pPr>
    </w:p>
    <w:p>
      <w:pPr>
        <w:adjustRightInd w:val="0"/>
        <w:snapToGrid w:val="0"/>
        <w:spacing w:line="360" w:lineRule="auto"/>
        <w:ind w:firstLine="110" w:firstLineChars="50"/>
        <w:rPr>
          <w:rFonts w:ascii="仿宋" w:hAnsi="仿宋" w:eastAsia="仿宋" w:cs="仿宋"/>
          <w:color w:val="000000"/>
          <w:sz w:val="22"/>
          <w:szCs w:val="22"/>
        </w:rPr>
      </w:pPr>
      <w:r>
        <w:rPr>
          <w:rFonts w:hint="eastAsia" w:ascii="仿宋" w:hAnsi="仿宋" w:eastAsia="仿宋" w:cs="仿宋"/>
          <w:color w:val="000000"/>
          <w:sz w:val="22"/>
          <w:szCs w:val="22"/>
          <w:u w:val="single"/>
        </w:rPr>
        <w:t>深圳市广播电视技术中心</w:t>
      </w:r>
      <w:r>
        <w:rPr>
          <w:rFonts w:hint="eastAsia" w:ascii="仿宋" w:hAnsi="仿宋" w:eastAsia="仿宋" w:cs="仿宋"/>
          <w:color w:val="000000"/>
          <w:sz w:val="22"/>
          <w:szCs w:val="22"/>
        </w:rPr>
        <w:t xml:space="preserve">： </w:t>
      </w:r>
    </w:p>
    <w:p>
      <w:pPr>
        <w:autoSpaceDE w:val="0"/>
        <w:autoSpaceDN w:val="0"/>
        <w:adjustRightInd w:val="0"/>
        <w:spacing w:line="360" w:lineRule="auto"/>
        <w:ind w:right="26" w:firstLine="440" w:firstLineChars="200"/>
        <w:rPr>
          <w:rFonts w:ascii="仿宋" w:hAnsi="仿宋" w:eastAsia="仿宋" w:cs="仿宋"/>
          <w:color w:val="000000"/>
          <w:kern w:val="0"/>
          <w:sz w:val="22"/>
          <w:szCs w:val="22"/>
        </w:rPr>
      </w:pPr>
      <w:r>
        <w:rPr>
          <w:rFonts w:hint="eastAsia" w:ascii="仿宋" w:hAnsi="仿宋" w:eastAsia="仿宋" w:cs="仿宋"/>
          <w:color w:val="000000"/>
          <w:kern w:val="0"/>
          <w:sz w:val="22"/>
          <w:szCs w:val="22"/>
        </w:rPr>
        <w:t>依据贵方中心配套建筑设施维护工程的采购服务投标要求，我方代表</w:t>
      </w:r>
      <w:r>
        <w:rPr>
          <w:rFonts w:hint="eastAsia" w:ascii="仿宋" w:hAnsi="仿宋" w:eastAsia="仿宋" w:cs="仿宋"/>
          <w:color w:val="000000"/>
          <w:sz w:val="22"/>
          <w:szCs w:val="22"/>
          <w:u w:val="single"/>
        </w:rPr>
        <w:t>（姓名、职务）</w:t>
      </w:r>
      <w:r>
        <w:rPr>
          <w:rFonts w:hint="eastAsia" w:ascii="仿宋" w:hAnsi="仿宋" w:eastAsia="仿宋" w:cs="仿宋"/>
          <w:color w:val="000000"/>
          <w:kern w:val="0"/>
          <w:sz w:val="22"/>
          <w:szCs w:val="22"/>
        </w:rPr>
        <w:t>经正式授权并代表</w:t>
      </w:r>
      <w:r>
        <w:rPr>
          <w:rFonts w:hint="eastAsia" w:ascii="仿宋" w:hAnsi="仿宋" w:eastAsia="仿宋" w:cs="仿宋"/>
          <w:color w:val="000000"/>
          <w:sz w:val="22"/>
          <w:szCs w:val="22"/>
          <w:u w:val="single"/>
        </w:rPr>
        <w:t>（投标人名称、地址）</w:t>
      </w:r>
      <w:r>
        <w:rPr>
          <w:rFonts w:hint="eastAsia" w:ascii="仿宋" w:hAnsi="仿宋" w:eastAsia="仿宋" w:cs="仿宋"/>
          <w:color w:val="000000"/>
          <w:kern w:val="0"/>
          <w:sz w:val="22"/>
          <w:szCs w:val="22"/>
        </w:rPr>
        <w:t>提交投标文件正本</w:t>
      </w:r>
      <w:r>
        <w:rPr>
          <w:rFonts w:hint="eastAsia" w:ascii="仿宋" w:hAnsi="仿宋" w:eastAsia="仿宋" w:cs="仿宋"/>
          <w:color w:val="000000"/>
          <w:kern w:val="0"/>
          <w:sz w:val="22"/>
          <w:szCs w:val="22"/>
          <w:u w:val="single"/>
        </w:rPr>
        <w:t>一</w:t>
      </w:r>
      <w:r>
        <w:rPr>
          <w:rFonts w:hint="eastAsia" w:ascii="仿宋" w:hAnsi="仿宋" w:eastAsia="仿宋" w:cs="仿宋"/>
          <w:color w:val="000000"/>
          <w:kern w:val="0"/>
          <w:sz w:val="22"/>
          <w:szCs w:val="22"/>
        </w:rPr>
        <w:t>份，副本</w:t>
      </w:r>
      <w:r>
        <w:rPr>
          <w:rFonts w:hint="eastAsia" w:ascii="仿宋" w:hAnsi="仿宋" w:eastAsia="仿宋" w:cs="仿宋"/>
          <w:color w:val="000000"/>
          <w:kern w:val="0"/>
          <w:sz w:val="22"/>
          <w:szCs w:val="22"/>
          <w:u w:val="single"/>
        </w:rPr>
        <w:t>四份</w:t>
      </w:r>
      <w:r>
        <w:rPr>
          <w:rFonts w:hint="eastAsia" w:ascii="仿宋" w:hAnsi="仿宋" w:eastAsia="仿宋" w:cs="仿宋"/>
          <w:color w:val="000000"/>
          <w:kern w:val="0"/>
          <w:sz w:val="22"/>
          <w:szCs w:val="22"/>
        </w:rPr>
        <w:t>。</w:t>
      </w:r>
    </w:p>
    <w:p>
      <w:pPr>
        <w:autoSpaceDE w:val="0"/>
        <w:autoSpaceDN w:val="0"/>
        <w:adjustRightInd w:val="0"/>
        <w:spacing w:line="360" w:lineRule="auto"/>
        <w:ind w:right="246"/>
        <w:rPr>
          <w:rFonts w:ascii="仿宋" w:hAnsi="仿宋" w:eastAsia="仿宋" w:cs="仿宋"/>
          <w:color w:val="000000"/>
          <w:kern w:val="0"/>
          <w:sz w:val="22"/>
          <w:szCs w:val="22"/>
        </w:rPr>
      </w:pPr>
      <w:r>
        <w:rPr>
          <w:rFonts w:hint="eastAsia" w:ascii="仿宋" w:hAnsi="仿宋" w:eastAsia="仿宋" w:cs="仿宋"/>
          <w:color w:val="000000"/>
          <w:kern w:val="0"/>
          <w:sz w:val="22"/>
          <w:szCs w:val="22"/>
        </w:rPr>
        <w:t>在此，我方声明如下：</w:t>
      </w:r>
    </w:p>
    <w:p>
      <w:pPr>
        <w:spacing w:line="360" w:lineRule="auto"/>
        <w:ind w:firstLine="440" w:firstLineChars="200"/>
        <w:rPr>
          <w:rFonts w:ascii="仿宋" w:hAnsi="仿宋" w:eastAsia="仿宋" w:cs="仿宋"/>
          <w:color w:val="000000"/>
          <w:sz w:val="22"/>
          <w:szCs w:val="22"/>
        </w:rPr>
      </w:pPr>
      <w:r>
        <w:rPr>
          <w:rFonts w:hint="eastAsia" w:ascii="仿宋" w:hAnsi="仿宋" w:eastAsia="仿宋" w:cs="仿宋"/>
          <w:color w:val="000000"/>
          <w:sz w:val="22"/>
          <w:szCs w:val="22"/>
        </w:rPr>
        <w:t>1.同意并接受采购文件的各项要求，遵守采购文件中的各项规定，按采购文件的要求提供报价。</w:t>
      </w:r>
    </w:p>
    <w:p>
      <w:pPr>
        <w:spacing w:line="360" w:lineRule="auto"/>
        <w:ind w:firstLine="440" w:firstLineChars="200"/>
        <w:rPr>
          <w:rFonts w:ascii="仿宋" w:hAnsi="仿宋" w:eastAsia="仿宋" w:cs="仿宋"/>
          <w:color w:val="000000"/>
          <w:sz w:val="22"/>
          <w:szCs w:val="22"/>
        </w:rPr>
      </w:pPr>
      <w:r>
        <w:rPr>
          <w:rFonts w:hint="eastAsia" w:ascii="仿宋" w:hAnsi="仿宋" w:eastAsia="仿宋" w:cs="仿宋"/>
          <w:color w:val="000000"/>
          <w:sz w:val="22"/>
          <w:szCs w:val="22"/>
        </w:rPr>
        <w:t>2.投标有效期为从提交投标文件的截止之日起90天，中标人的投标有效期延续到合同终止日。</w:t>
      </w:r>
    </w:p>
    <w:p>
      <w:pPr>
        <w:spacing w:line="360" w:lineRule="auto"/>
        <w:ind w:firstLine="440" w:firstLineChars="200"/>
        <w:rPr>
          <w:rFonts w:ascii="仿宋" w:hAnsi="仿宋" w:eastAsia="仿宋" w:cs="仿宋"/>
          <w:color w:val="000000"/>
          <w:sz w:val="22"/>
          <w:szCs w:val="22"/>
        </w:rPr>
      </w:pPr>
      <w:r>
        <w:rPr>
          <w:rFonts w:hint="eastAsia" w:ascii="仿宋" w:hAnsi="仿宋" w:eastAsia="仿宋" w:cs="仿宋"/>
          <w:color w:val="000000"/>
          <w:sz w:val="22"/>
          <w:szCs w:val="22"/>
        </w:rPr>
        <w:t>3.我方已经详细地阅读了全部采购文件及其附件，包括澄清及参考文件(如果有的话)。我方已完全清晰理解采购文件的要求，不存在任何含糊不清和误解之处，同意放弃对这些文件所提出的异议和质疑的权利。</w:t>
      </w:r>
    </w:p>
    <w:p>
      <w:pPr>
        <w:spacing w:line="360" w:lineRule="auto"/>
        <w:ind w:firstLine="440" w:firstLineChars="200"/>
        <w:rPr>
          <w:rFonts w:ascii="仿宋" w:hAnsi="仿宋" w:eastAsia="仿宋" w:cs="仿宋"/>
          <w:color w:val="000000"/>
          <w:sz w:val="22"/>
          <w:szCs w:val="22"/>
        </w:rPr>
      </w:pPr>
      <w:r>
        <w:rPr>
          <w:rFonts w:hint="eastAsia" w:ascii="仿宋" w:hAnsi="仿宋" w:eastAsia="仿宋" w:cs="仿宋"/>
          <w:color w:val="000000"/>
          <w:sz w:val="22"/>
          <w:szCs w:val="22"/>
        </w:rPr>
        <w:t>4.我方已毫无保留地向贵方提供一切所需的证明材料。</w:t>
      </w:r>
    </w:p>
    <w:p>
      <w:pPr>
        <w:spacing w:line="360" w:lineRule="auto"/>
        <w:ind w:firstLine="413" w:firstLineChars="188"/>
        <w:rPr>
          <w:rFonts w:ascii="仿宋" w:hAnsi="仿宋" w:eastAsia="仿宋" w:cs="仿宋"/>
          <w:color w:val="000000"/>
          <w:sz w:val="22"/>
          <w:szCs w:val="22"/>
        </w:rPr>
      </w:pPr>
      <w:r>
        <w:rPr>
          <w:rFonts w:hint="eastAsia" w:ascii="仿宋" w:hAnsi="仿宋" w:eastAsia="仿宋" w:cs="仿宋"/>
          <w:color w:val="000000"/>
          <w:sz w:val="22"/>
          <w:szCs w:val="22"/>
        </w:rPr>
        <w:t>5.我方承诺在本次投标文件中提供的一切文件，无论是原件还是复印件均为真实和准确的，绝无任何虚假、伪造和夸大的成份，否则，愿承担相应的后果和法律责任。</w:t>
      </w:r>
    </w:p>
    <w:p>
      <w:pPr>
        <w:spacing w:line="360" w:lineRule="auto"/>
        <w:ind w:firstLine="440" w:firstLineChars="200"/>
        <w:rPr>
          <w:rFonts w:ascii="仿宋" w:hAnsi="仿宋" w:eastAsia="仿宋" w:cs="仿宋"/>
          <w:color w:val="000000"/>
          <w:sz w:val="22"/>
          <w:szCs w:val="22"/>
        </w:rPr>
      </w:pPr>
      <w:r>
        <w:rPr>
          <w:rFonts w:hint="eastAsia" w:ascii="仿宋" w:hAnsi="仿宋" w:eastAsia="仿宋" w:cs="仿宋"/>
          <w:color w:val="000000"/>
          <w:sz w:val="22"/>
          <w:szCs w:val="22"/>
        </w:rPr>
        <w:t>6.我方完全服从和尊重评委会所作的评定结果，同时清楚理解到报价最低并非意味着必定获得成交资格。</w:t>
      </w:r>
    </w:p>
    <w:p>
      <w:pPr>
        <w:autoSpaceDE w:val="0"/>
        <w:autoSpaceDN w:val="0"/>
        <w:adjustRightInd w:val="0"/>
        <w:spacing w:line="360" w:lineRule="auto"/>
        <w:ind w:right="246"/>
        <w:rPr>
          <w:rFonts w:ascii="仿宋" w:hAnsi="仿宋" w:eastAsia="仿宋" w:cs="仿宋"/>
          <w:color w:val="000000"/>
          <w:kern w:val="0"/>
          <w:sz w:val="22"/>
          <w:szCs w:val="22"/>
        </w:rPr>
      </w:pPr>
    </w:p>
    <w:p>
      <w:pPr>
        <w:autoSpaceDE w:val="0"/>
        <w:autoSpaceDN w:val="0"/>
        <w:adjustRightInd w:val="0"/>
        <w:spacing w:line="360" w:lineRule="auto"/>
        <w:ind w:right="246"/>
        <w:rPr>
          <w:rFonts w:ascii="仿宋" w:hAnsi="仿宋" w:eastAsia="仿宋" w:cs="仿宋"/>
          <w:color w:val="000000"/>
          <w:sz w:val="22"/>
          <w:szCs w:val="22"/>
        </w:rPr>
      </w:pPr>
      <w:r>
        <w:rPr>
          <w:rFonts w:hint="eastAsia" w:ascii="仿宋" w:hAnsi="仿宋" w:eastAsia="仿宋" w:cs="仿宋"/>
          <w:color w:val="000000"/>
          <w:kern w:val="0"/>
          <w:sz w:val="22"/>
          <w:szCs w:val="22"/>
        </w:rPr>
        <w:t>投标人</w:t>
      </w:r>
      <w:r>
        <w:rPr>
          <w:rFonts w:hint="eastAsia" w:ascii="仿宋" w:hAnsi="仿宋" w:eastAsia="仿宋" w:cs="仿宋"/>
          <w:color w:val="000000"/>
          <w:sz w:val="22"/>
          <w:szCs w:val="22"/>
        </w:rPr>
        <w:t>名称(加盖公章)：</w:t>
      </w:r>
      <w:r>
        <w:rPr>
          <w:rFonts w:hint="eastAsia" w:ascii="仿宋" w:hAnsi="仿宋" w:eastAsia="仿宋" w:cs="仿宋"/>
          <w:color w:val="000000"/>
          <w:sz w:val="22"/>
          <w:szCs w:val="22"/>
          <w:u w:val="single"/>
        </w:rPr>
        <w:t xml:space="preserve">              </w:t>
      </w:r>
    </w:p>
    <w:p>
      <w:pPr>
        <w:autoSpaceDE w:val="0"/>
        <w:autoSpaceDN w:val="0"/>
        <w:adjustRightInd w:val="0"/>
        <w:spacing w:line="360" w:lineRule="auto"/>
        <w:ind w:right="246"/>
        <w:rPr>
          <w:rFonts w:ascii="仿宋" w:hAnsi="仿宋" w:eastAsia="仿宋" w:cs="仿宋"/>
          <w:color w:val="000000"/>
          <w:sz w:val="22"/>
          <w:szCs w:val="22"/>
          <w:u w:val="single"/>
        </w:rPr>
      </w:pPr>
      <w:r>
        <w:rPr>
          <w:rFonts w:hint="eastAsia" w:ascii="仿宋" w:hAnsi="仿宋" w:eastAsia="仿宋" w:cs="仿宋"/>
          <w:color w:val="000000"/>
          <w:kern w:val="0"/>
          <w:sz w:val="22"/>
          <w:szCs w:val="22"/>
        </w:rPr>
        <w:t>投标人法定代表人/负责人(或其授权委托人)签字</w:t>
      </w:r>
      <w:r>
        <w:rPr>
          <w:rFonts w:hint="eastAsia" w:ascii="仿宋" w:hAnsi="仿宋" w:eastAsia="仿宋" w:cs="仿宋"/>
          <w:color w:val="000000"/>
          <w:sz w:val="22"/>
          <w:szCs w:val="22"/>
        </w:rPr>
        <w:t>：</w:t>
      </w:r>
      <w:r>
        <w:rPr>
          <w:rFonts w:hint="eastAsia" w:ascii="仿宋" w:hAnsi="仿宋" w:eastAsia="仿宋" w:cs="仿宋"/>
          <w:color w:val="000000"/>
          <w:sz w:val="22"/>
          <w:szCs w:val="22"/>
          <w:u w:val="single"/>
        </w:rPr>
        <w:t xml:space="preserve">             </w:t>
      </w:r>
    </w:p>
    <w:p>
      <w:pPr>
        <w:autoSpaceDE w:val="0"/>
        <w:autoSpaceDN w:val="0"/>
        <w:adjustRightInd w:val="0"/>
        <w:spacing w:line="360" w:lineRule="auto"/>
        <w:ind w:right="246"/>
        <w:rPr>
          <w:rFonts w:ascii="仿宋" w:hAnsi="仿宋" w:eastAsia="仿宋" w:cs="仿宋"/>
          <w:color w:val="000000"/>
          <w:kern w:val="0"/>
          <w:sz w:val="22"/>
          <w:szCs w:val="22"/>
        </w:rPr>
      </w:pPr>
      <w:r>
        <w:rPr>
          <w:rFonts w:hint="eastAsia" w:ascii="仿宋" w:hAnsi="仿宋" w:eastAsia="仿宋" w:cs="仿宋"/>
          <w:color w:val="000000"/>
          <w:kern w:val="0"/>
          <w:sz w:val="22"/>
          <w:szCs w:val="22"/>
        </w:rPr>
        <w:t>地址：</w:t>
      </w:r>
      <w:r>
        <w:rPr>
          <w:rFonts w:hint="eastAsia" w:ascii="仿宋" w:hAnsi="仿宋" w:eastAsia="仿宋" w:cs="仿宋"/>
          <w:color w:val="000000"/>
          <w:kern w:val="0"/>
          <w:sz w:val="22"/>
          <w:szCs w:val="22"/>
          <w:u w:val="single"/>
        </w:rPr>
        <w:t xml:space="preserve">             </w:t>
      </w:r>
      <w:r>
        <w:rPr>
          <w:rFonts w:hint="eastAsia" w:ascii="仿宋" w:hAnsi="仿宋" w:eastAsia="仿宋" w:cs="仿宋"/>
          <w:color w:val="000000"/>
          <w:kern w:val="0"/>
          <w:sz w:val="22"/>
          <w:szCs w:val="22"/>
        </w:rPr>
        <w:t xml:space="preserve">    </w:t>
      </w:r>
    </w:p>
    <w:p>
      <w:pPr>
        <w:autoSpaceDE w:val="0"/>
        <w:autoSpaceDN w:val="0"/>
        <w:adjustRightInd w:val="0"/>
        <w:spacing w:line="360" w:lineRule="auto"/>
        <w:ind w:right="246"/>
        <w:rPr>
          <w:rFonts w:ascii="仿宋" w:hAnsi="仿宋" w:eastAsia="仿宋" w:cs="仿宋"/>
          <w:color w:val="000000"/>
          <w:kern w:val="0"/>
          <w:sz w:val="22"/>
          <w:szCs w:val="22"/>
        </w:rPr>
      </w:pPr>
      <w:r>
        <w:rPr>
          <w:rFonts w:hint="eastAsia" w:ascii="仿宋" w:hAnsi="仿宋" w:eastAsia="仿宋" w:cs="仿宋"/>
          <w:color w:val="000000"/>
          <w:kern w:val="0"/>
          <w:sz w:val="22"/>
          <w:szCs w:val="22"/>
        </w:rPr>
        <w:t>电话：</w:t>
      </w:r>
      <w:r>
        <w:rPr>
          <w:rFonts w:hint="eastAsia" w:ascii="仿宋" w:hAnsi="仿宋" w:eastAsia="仿宋" w:cs="仿宋"/>
          <w:color w:val="000000"/>
          <w:kern w:val="0"/>
          <w:sz w:val="22"/>
          <w:szCs w:val="22"/>
          <w:u w:val="single"/>
        </w:rPr>
        <w:t xml:space="preserve">              </w:t>
      </w:r>
      <w:r>
        <w:rPr>
          <w:rFonts w:hint="eastAsia" w:ascii="仿宋" w:hAnsi="仿宋" w:eastAsia="仿宋" w:cs="仿宋"/>
          <w:color w:val="000000"/>
          <w:kern w:val="0"/>
          <w:sz w:val="22"/>
          <w:szCs w:val="22"/>
        </w:rPr>
        <w:t>传真：</w:t>
      </w:r>
      <w:r>
        <w:rPr>
          <w:rFonts w:hint="eastAsia" w:ascii="仿宋" w:hAnsi="仿宋" w:eastAsia="仿宋" w:cs="仿宋"/>
          <w:color w:val="000000"/>
          <w:kern w:val="0"/>
          <w:sz w:val="22"/>
          <w:szCs w:val="22"/>
          <w:u w:val="single"/>
        </w:rPr>
        <w:t xml:space="preserve">              </w:t>
      </w:r>
      <w:r>
        <w:rPr>
          <w:rFonts w:hint="eastAsia" w:ascii="仿宋" w:hAnsi="仿宋" w:eastAsia="仿宋" w:cs="仿宋"/>
          <w:color w:val="000000"/>
          <w:kern w:val="0"/>
          <w:sz w:val="22"/>
          <w:szCs w:val="22"/>
        </w:rPr>
        <w:t xml:space="preserve">   电子邮件：</w:t>
      </w:r>
      <w:r>
        <w:rPr>
          <w:rFonts w:hint="eastAsia" w:ascii="仿宋" w:hAnsi="仿宋" w:eastAsia="仿宋" w:cs="仿宋"/>
          <w:color w:val="000000"/>
          <w:kern w:val="0"/>
          <w:sz w:val="22"/>
          <w:szCs w:val="22"/>
          <w:u w:val="single"/>
        </w:rPr>
        <w:t xml:space="preserve">         </w:t>
      </w:r>
    </w:p>
    <w:p>
      <w:pPr>
        <w:adjustRightInd w:val="0"/>
        <w:snapToGrid w:val="0"/>
        <w:spacing w:line="360" w:lineRule="auto"/>
        <w:rPr>
          <w:rFonts w:ascii="仿宋" w:hAnsi="仿宋" w:eastAsia="仿宋" w:cs="仿宋"/>
          <w:color w:val="000000"/>
          <w:sz w:val="22"/>
          <w:szCs w:val="22"/>
          <w:u w:val="single"/>
        </w:rPr>
      </w:pPr>
      <w:r>
        <w:rPr>
          <w:rFonts w:hint="eastAsia" w:ascii="仿宋" w:hAnsi="仿宋" w:eastAsia="仿宋" w:cs="仿宋"/>
          <w:color w:val="000000"/>
          <w:sz w:val="22"/>
          <w:szCs w:val="22"/>
        </w:rPr>
        <w:t>开户银行：</w:t>
      </w:r>
      <w:r>
        <w:rPr>
          <w:rFonts w:hint="eastAsia" w:ascii="仿宋" w:hAnsi="仿宋" w:eastAsia="仿宋" w:cs="仿宋"/>
          <w:color w:val="000000"/>
          <w:sz w:val="22"/>
          <w:szCs w:val="22"/>
          <w:u w:val="single"/>
        </w:rPr>
        <w:t xml:space="preserve">         </w:t>
      </w:r>
    </w:p>
    <w:p>
      <w:pPr>
        <w:tabs>
          <w:tab w:val="left" w:pos="5250"/>
        </w:tabs>
        <w:autoSpaceDE w:val="0"/>
        <w:autoSpaceDN w:val="0"/>
        <w:spacing w:line="360" w:lineRule="auto"/>
        <w:rPr>
          <w:rFonts w:ascii="仿宋" w:hAnsi="仿宋" w:eastAsia="仿宋" w:cs="仿宋"/>
          <w:color w:val="000000"/>
          <w:sz w:val="22"/>
          <w:szCs w:val="22"/>
          <w:u w:val="single"/>
        </w:rPr>
      </w:pPr>
      <w:r>
        <w:rPr>
          <w:rFonts w:hint="eastAsia" w:ascii="仿宋" w:hAnsi="仿宋" w:eastAsia="仿宋" w:cs="仿宋"/>
          <w:color w:val="000000"/>
          <w:sz w:val="22"/>
          <w:szCs w:val="22"/>
        </w:rPr>
        <w:t>帐号：</w:t>
      </w:r>
      <w:r>
        <w:rPr>
          <w:rFonts w:hint="eastAsia" w:ascii="仿宋" w:hAnsi="仿宋" w:eastAsia="仿宋" w:cs="仿宋"/>
          <w:color w:val="000000"/>
          <w:sz w:val="22"/>
          <w:szCs w:val="22"/>
          <w:u w:val="single"/>
        </w:rPr>
        <w:t xml:space="preserve">             </w:t>
      </w:r>
    </w:p>
    <w:p>
      <w:pPr>
        <w:adjustRightInd w:val="0"/>
        <w:snapToGrid w:val="0"/>
        <w:spacing w:line="360" w:lineRule="auto"/>
        <w:rPr>
          <w:rFonts w:ascii="仿宋" w:hAnsi="仿宋" w:eastAsia="仿宋" w:cs="仿宋"/>
          <w:color w:val="000000"/>
          <w:sz w:val="22"/>
          <w:szCs w:val="22"/>
          <w:u w:val="single"/>
        </w:rPr>
      </w:pPr>
      <w:r>
        <w:rPr>
          <w:rFonts w:hint="eastAsia" w:ascii="仿宋" w:hAnsi="仿宋" w:eastAsia="仿宋" w:cs="仿宋"/>
          <w:color w:val="000000"/>
          <w:sz w:val="22"/>
          <w:szCs w:val="22"/>
        </w:rPr>
        <w:t>日期：</w:t>
      </w:r>
      <w:r>
        <w:rPr>
          <w:rFonts w:hint="eastAsia" w:ascii="仿宋" w:hAnsi="仿宋" w:eastAsia="仿宋" w:cs="仿宋"/>
          <w:color w:val="000000"/>
          <w:sz w:val="22"/>
          <w:szCs w:val="22"/>
          <w:u w:val="single"/>
        </w:rPr>
        <w:t xml:space="preserve">                 </w:t>
      </w:r>
    </w:p>
    <w:p>
      <w:pPr>
        <w:adjustRightInd w:val="0"/>
        <w:snapToGrid w:val="0"/>
        <w:spacing w:line="360" w:lineRule="auto"/>
        <w:ind w:left="-88" w:leftChars="-42"/>
        <w:outlineLvl w:val="3"/>
        <w:rPr>
          <w:rFonts w:ascii="仿宋" w:hAnsi="仿宋" w:eastAsia="仿宋" w:cs="仿宋"/>
          <w:b/>
          <w:color w:val="000000"/>
          <w:sz w:val="24"/>
        </w:rPr>
      </w:pPr>
    </w:p>
    <w:p>
      <w:pPr>
        <w:adjustRightInd w:val="0"/>
        <w:snapToGrid w:val="0"/>
        <w:spacing w:line="360" w:lineRule="auto"/>
        <w:ind w:left="-88" w:leftChars="-42"/>
        <w:outlineLvl w:val="3"/>
        <w:rPr>
          <w:rFonts w:ascii="仿宋" w:hAnsi="仿宋" w:eastAsia="仿宋" w:cs="仿宋"/>
          <w:b/>
          <w:color w:val="000000"/>
          <w:sz w:val="24"/>
        </w:rPr>
      </w:pPr>
    </w:p>
    <w:p>
      <w:pPr>
        <w:pStyle w:val="2"/>
      </w:pPr>
    </w:p>
    <w:p/>
    <w:p>
      <w:pPr>
        <w:pStyle w:val="3"/>
        <w:spacing w:line="360" w:lineRule="auto"/>
        <w:jc w:val="center"/>
        <w:rPr>
          <w:rFonts w:ascii="仿宋" w:hAnsi="仿宋" w:eastAsia="仿宋" w:cs="仿宋"/>
          <w:bCs w:val="0"/>
          <w:color w:val="000000"/>
          <w:sz w:val="24"/>
          <w:szCs w:val="24"/>
        </w:rPr>
      </w:pPr>
      <w:r>
        <w:rPr>
          <w:rFonts w:hint="eastAsia" w:ascii="仿宋" w:hAnsi="仿宋" w:eastAsia="仿宋" w:cs="仿宋"/>
          <w:bCs w:val="0"/>
          <w:color w:val="000000"/>
          <w:sz w:val="24"/>
        </w:rPr>
        <w:t>3、</w:t>
      </w:r>
      <w:bookmarkStart w:id="2" w:name="OLE_LINK7"/>
      <w:r>
        <w:rPr>
          <w:rFonts w:hint="eastAsia" w:ascii="仿宋" w:hAnsi="仿宋" w:eastAsia="仿宋" w:cs="仿宋"/>
          <w:bCs w:val="0"/>
          <w:color w:val="000000"/>
          <w:kern w:val="0"/>
        </w:rPr>
        <w:t>法定代表人/负责人资格证明书及授权委托书</w:t>
      </w:r>
      <w:bookmarkEnd w:id="2"/>
    </w:p>
    <w:p>
      <w:pPr>
        <w:rPr>
          <w:rFonts w:ascii="仿宋" w:hAnsi="仿宋" w:eastAsia="仿宋" w:cs="仿宋"/>
        </w:rPr>
      </w:pPr>
    </w:p>
    <w:p>
      <w:pPr>
        <w:spacing w:line="360" w:lineRule="auto"/>
        <w:jc w:val="center"/>
        <w:rPr>
          <w:rFonts w:ascii="仿宋" w:hAnsi="仿宋" w:eastAsia="仿宋" w:cs="仿宋"/>
          <w:b/>
          <w:color w:val="000000"/>
          <w:sz w:val="24"/>
        </w:rPr>
      </w:pPr>
      <w:r>
        <w:rPr>
          <w:rFonts w:hint="eastAsia" w:ascii="仿宋" w:hAnsi="仿宋" w:eastAsia="仿宋" w:cs="仿宋"/>
          <w:b/>
          <w:color w:val="000000"/>
          <w:sz w:val="24"/>
        </w:rPr>
        <w:t>（1）法定代表人/负责人资格证明书</w:t>
      </w:r>
    </w:p>
    <w:p>
      <w:pPr>
        <w:spacing w:line="360" w:lineRule="auto"/>
        <w:jc w:val="center"/>
        <w:rPr>
          <w:rFonts w:ascii="仿宋" w:hAnsi="仿宋" w:eastAsia="仿宋" w:cs="仿宋"/>
          <w:b/>
          <w:color w:val="000000"/>
          <w:sz w:val="24"/>
        </w:rPr>
      </w:pPr>
    </w:p>
    <w:p>
      <w:pPr>
        <w:adjustRightInd w:val="0"/>
        <w:snapToGrid w:val="0"/>
        <w:spacing w:line="360" w:lineRule="auto"/>
        <w:ind w:firstLine="120" w:firstLineChars="50"/>
        <w:rPr>
          <w:rFonts w:ascii="仿宋" w:hAnsi="仿宋" w:eastAsia="仿宋" w:cs="仿宋"/>
          <w:color w:val="000000"/>
          <w:szCs w:val="21"/>
        </w:rPr>
      </w:pPr>
      <w:r>
        <w:rPr>
          <w:rFonts w:hint="eastAsia" w:ascii="仿宋" w:hAnsi="仿宋" w:eastAsia="仿宋" w:cs="仿宋"/>
          <w:color w:val="000000"/>
          <w:sz w:val="24"/>
        </w:rPr>
        <w:t>致</w:t>
      </w:r>
      <w:r>
        <w:rPr>
          <w:rFonts w:hint="eastAsia" w:ascii="仿宋" w:hAnsi="仿宋" w:eastAsia="仿宋" w:cs="仿宋"/>
          <w:color w:val="000000"/>
          <w:sz w:val="24"/>
          <w:u w:val="single"/>
        </w:rPr>
        <w:t>深圳市广播电视技术中心</w:t>
      </w:r>
      <w:r>
        <w:rPr>
          <w:rFonts w:hint="eastAsia" w:ascii="仿宋" w:hAnsi="仿宋" w:eastAsia="仿宋" w:cs="仿宋"/>
          <w:color w:val="000000"/>
          <w:sz w:val="24"/>
        </w:rPr>
        <w:t>：</w:t>
      </w:r>
      <w:r>
        <w:rPr>
          <w:rFonts w:hint="eastAsia" w:ascii="仿宋" w:hAnsi="仿宋" w:eastAsia="仿宋" w:cs="仿宋"/>
          <w:color w:val="000000"/>
          <w:szCs w:val="21"/>
        </w:rPr>
        <w:t xml:space="preserve"> </w:t>
      </w:r>
    </w:p>
    <w:p>
      <w:pPr>
        <w:adjustRightInd w:val="0"/>
        <w:snapToGrid w:val="0"/>
        <w:spacing w:line="360" w:lineRule="auto"/>
        <w:ind w:firstLine="105" w:firstLineChars="50"/>
        <w:rPr>
          <w:rFonts w:ascii="仿宋" w:hAnsi="仿宋" w:eastAsia="仿宋" w:cs="仿宋"/>
          <w:color w:val="000000"/>
          <w:szCs w:val="21"/>
        </w:rPr>
      </w:pPr>
    </w:p>
    <w:p>
      <w:pPr>
        <w:rPr>
          <w:rFonts w:ascii="仿宋" w:hAnsi="仿宋" w:eastAsia="仿宋" w:cs="仿宋"/>
          <w:color w:val="000000"/>
          <w:sz w:val="24"/>
        </w:rPr>
      </w:pPr>
      <w:r>
        <w:rPr>
          <w:rFonts w:hint="eastAsia" w:ascii="仿宋" w:hAnsi="仿宋" w:eastAsia="仿宋" w:cs="仿宋"/>
          <w:color w:val="000000"/>
          <w:sz w:val="26"/>
          <w:szCs w:val="28"/>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同志，现任我单位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职务，为法定代表人，特此证明。</w:t>
      </w:r>
    </w:p>
    <w:p>
      <w:pPr>
        <w:ind w:firstLine="240" w:firstLineChars="100"/>
        <w:rPr>
          <w:rFonts w:ascii="仿宋" w:hAnsi="仿宋" w:eastAsia="仿宋" w:cs="仿宋"/>
          <w:color w:val="000000"/>
          <w:sz w:val="24"/>
        </w:rPr>
      </w:pPr>
      <w:r>
        <w:rPr>
          <w:rFonts w:hint="eastAsia" w:ascii="仿宋" w:hAnsi="仿宋" w:eastAsia="仿宋" w:cs="仿宋"/>
          <w:color w:val="000000"/>
          <w:sz w:val="24"/>
        </w:rPr>
        <w:t>签发日期：           单位：           （盖章）</w:t>
      </w:r>
    </w:p>
    <w:p>
      <w:pPr>
        <w:ind w:firstLine="240" w:firstLineChars="100"/>
        <w:rPr>
          <w:rFonts w:ascii="仿宋" w:hAnsi="仿宋" w:eastAsia="仿宋" w:cs="仿宋"/>
          <w:color w:val="000000"/>
          <w:sz w:val="24"/>
        </w:rPr>
      </w:pPr>
      <w:r>
        <w:rPr>
          <w:rFonts w:hint="eastAsia" w:ascii="仿宋" w:hAnsi="仿宋" w:eastAsia="仿宋" w:cs="仿宋"/>
          <w:color w:val="000000"/>
          <w:sz w:val="24"/>
        </w:rPr>
        <w:t>附：代表人性别：            年龄：           身份证号码：</w:t>
      </w:r>
    </w:p>
    <w:p>
      <w:pPr>
        <w:ind w:firstLine="240" w:firstLineChars="100"/>
        <w:rPr>
          <w:rFonts w:ascii="仿宋" w:hAnsi="仿宋" w:eastAsia="仿宋" w:cs="仿宋"/>
          <w:color w:val="000000"/>
          <w:sz w:val="24"/>
        </w:rPr>
      </w:pPr>
      <w:r>
        <w:rPr>
          <w:rFonts w:hint="eastAsia" w:ascii="仿宋" w:hAnsi="仿宋" w:eastAsia="仿宋" w:cs="仿宋"/>
          <w:color w:val="000000"/>
          <w:sz w:val="24"/>
        </w:rPr>
        <w:t>联系电话：</w:t>
      </w:r>
    </w:p>
    <w:p>
      <w:pPr>
        <w:ind w:firstLine="240" w:firstLineChars="100"/>
        <w:rPr>
          <w:rFonts w:ascii="仿宋" w:hAnsi="仿宋" w:eastAsia="仿宋" w:cs="仿宋"/>
          <w:color w:val="000000"/>
          <w:sz w:val="24"/>
        </w:rPr>
      </w:pPr>
      <w:r>
        <w:rPr>
          <w:rFonts w:hint="eastAsia" w:ascii="仿宋" w:hAnsi="仿宋" w:eastAsia="仿宋" w:cs="仿宋"/>
          <w:color w:val="000000"/>
          <w:sz w:val="24"/>
        </w:rPr>
        <w:t>营业执照号码：     经济性质：</w:t>
      </w:r>
    </w:p>
    <w:p>
      <w:pPr>
        <w:ind w:firstLine="240" w:firstLineChars="100"/>
        <w:rPr>
          <w:rFonts w:ascii="仿宋" w:hAnsi="仿宋" w:eastAsia="仿宋" w:cs="仿宋"/>
          <w:color w:val="000000"/>
          <w:sz w:val="24"/>
        </w:rPr>
      </w:pPr>
      <w:r>
        <w:rPr>
          <w:rFonts w:hint="eastAsia" w:ascii="仿宋" w:hAnsi="仿宋" w:eastAsia="仿宋" w:cs="仿宋"/>
          <w:color w:val="000000"/>
          <w:sz w:val="24"/>
        </w:rPr>
        <w:t>主营（产）：</w:t>
      </w:r>
    </w:p>
    <w:p>
      <w:pPr>
        <w:ind w:firstLine="240" w:firstLineChars="100"/>
        <w:rPr>
          <w:rFonts w:ascii="仿宋" w:hAnsi="仿宋" w:eastAsia="仿宋" w:cs="仿宋"/>
          <w:color w:val="000000"/>
          <w:sz w:val="24"/>
        </w:rPr>
      </w:pPr>
      <w:r>
        <w:rPr>
          <w:rFonts w:hint="eastAsia" w:ascii="仿宋" w:hAnsi="仿宋" w:eastAsia="仿宋" w:cs="仿宋"/>
          <w:color w:val="000000"/>
          <w:sz w:val="24"/>
        </w:rPr>
        <w:t>兼营（产）：</w:t>
      </w:r>
    </w:p>
    <w:p>
      <w:pPr>
        <w:rPr>
          <w:rFonts w:ascii="仿宋" w:hAnsi="仿宋" w:eastAsia="仿宋" w:cs="仿宋"/>
          <w:color w:val="000000"/>
          <w:sz w:val="24"/>
        </w:rPr>
      </w:pPr>
    </w:p>
    <w:p>
      <w:pPr>
        <w:rPr>
          <w:rFonts w:ascii="仿宋" w:hAnsi="仿宋" w:eastAsia="仿宋" w:cs="仿宋"/>
          <w:color w:val="000000"/>
          <w:sz w:val="24"/>
        </w:rPr>
      </w:pPr>
      <w:r>
        <w:rPr>
          <w:rFonts w:hint="eastAsia" w:ascii="仿宋" w:hAnsi="仿宋" w:eastAsia="仿宋" w:cs="仿宋"/>
          <w:color w:val="000000"/>
          <w:sz w:val="24"/>
        </w:rPr>
        <w:t>说明：1.法定代表人为企业事业单位、国家机关、社会团体的主要行政负责人。</w:t>
      </w:r>
    </w:p>
    <w:p>
      <w:pPr>
        <w:rPr>
          <w:rFonts w:ascii="仿宋" w:hAnsi="仿宋" w:eastAsia="仿宋" w:cs="仿宋"/>
          <w:color w:val="000000"/>
          <w:sz w:val="24"/>
        </w:rPr>
      </w:pPr>
      <w:r>
        <w:rPr>
          <w:rFonts w:hint="eastAsia" w:ascii="仿宋" w:hAnsi="仿宋" w:eastAsia="仿宋" w:cs="仿宋"/>
          <w:color w:val="000000"/>
          <w:sz w:val="24"/>
        </w:rPr>
        <w:t xml:space="preserve">      2.内容必须填写真实、清楚、涂改无效，不得转让、买卖。</w:t>
      </w:r>
    </w:p>
    <w:p>
      <w:pPr>
        <w:ind w:firstLine="720" w:firstLineChars="300"/>
        <w:rPr>
          <w:rFonts w:ascii="仿宋" w:hAnsi="仿宋" w:eastAsia="仿宋" w:cs="仿宋"/>
          <w:color w:val="000000"/>
          <w:sz w:val="24"/>
        </w:rPr>
      </w:pPr>
      <w:r>
        <w:rPr>
          <w:rFonts w:hint="eastAsia" w:ascii="仿宋" w:hAnsi="仿宋" w:eastAsia="仿宋" w:cs="仿宋"/>
          <w:color w:val="000000"/>
          <w:sz w:val="24"/>
        </w:rPr>
        <w:t>3.将此证明书提交对方作为合同附件</w:t>
      </w:r>
      <w:r>
        <w:rPr>
          <w:rFonts w:hint="eastAsia" w:ascii="仿宋" w:hAnsi="仿宋" w:eastAsia="仿宋" w:cs="仿宋"/>
          <w:b/>
          <w:color w:val="000000"/>
          <w:sz w:val="24"/>
        </w:rPr>
        <w:t>。</w:t>
      </w:r>
    </w:p>
    <w:p>
      <w:pPr>
        <w:rPr>
          <w:rFonts w:ascii="仿宋" w:hAnsi="仿宋" w:eastAsia="仿宋" w:cs="仿宋"/>
          <w:b/>
          <w:color w:val="000000"/>
          <w:sz w:val="24"/>
        </w:rPr>
      </w:pPr>
      <w:r>
        <w:rPr>
          <w:rFonts w:hint="eastAsia" w:ascii="仿宋" w:hAnsi="仿宋" w:eastAsia="仿宋" w:cs="仿宋"/>
          <w:color w:val="000000"/>
          <w:sz w:val="24"/>
        </w:rPr>
        <w:t xml:space="preserve"> </w:t>
      </w:r>
      <w:r>
        <w:rPr>
          <w:rFonts w:hint="eastAsia" w:ascii="仿宋" w:hAnsi="仿宋" w:eastAsia="仿宋" w:cs="仿宋"/>
          <w:b/>
          <w:color w:val="000000"/>
          <w:sz w:val="24"/>
        </w:rPr>
        <w:t xml:space="preserve"> (为避免废标，请投标人务必提供本附件)</w:t>
      </w:r>
    </w:p>
    <w:p>
      <w:pPr>
        <w:spacing w:line="360" w:lineRule="auto"/>
        <w:rPr>
          <w:rFonts w:ascii="仿宋" w:hAnsi="仿宋" w:eastAsia="仿宋" w:cs="仿宋"/>
          <w:b/>
          <w:color w:val="000000"/>
          <w:sz w:val="28"/>
          <w:szCs w:val="28"/>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1733550</wp:posOffset>
                </wp:positionH>
                <wp:positionV relativeFrom="paragraph">
                  <wp:posOffset>291465</wp:posOffset>
                </wp:positionV>
                <wp:extent cx="2333625" cy="1584325"/>
                <wp:effectExtent l="0" t="0" r="28575" b="15875"/>
                <wp:wrapNone/>
                <wp:docPr id="1" name="流程图: 可选过程 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ascii="仿宋" w:hAnsi="仿宋" w:eastAsia="仿宋" w:cs="仿宋"/>
                                <w:szCs w:val="21"/>
                              </w:rPr>
                              <w:t>法定代表人/负责人身份证复印件</w:t>
                            </w:r>
                          </w:p>
                        </w:txbxContent>
                      </wps:txbx>
                      <wps:bodyPr upright="1"/>
                    </wps:wsp>
                  </a:graphicData>
                </a:graphic>
              </wp:anchor>
            </w:drawing>
          </mc:Choice>
          <mc:Fallback>
            <w:pict>
              <v:shape id="_x0000_s1026" o:spid="_x0000_s1026" o:spt="176" type="#_x0000_t176" style="position:absolute;left:0pt;margin-left:136.5pt;margin-top:22.95pt;height:124.75pt;width:183.75pt;z-index:251659264;mso-width-relative:page;mso-height-relative:page;" fillcolor="#FFFFFF" filled="t" stroked="t" coordsize="21600,21600" o:gfxdata="UEsDBAoAAAAAAIdO4kAAAAAAAAAAAAAAAAAEAAAAZHJzL1BLAwQUAAAACACHTuJAQLzgCtgAAAAK&#10;AQAADwAAAGRycy9kb3ducmV2LnhtbE2PQU+EMBSE7yb+h+aZeHMLu8AuSNkYjZ68iJt4LfRJibQl&#10;tLDor/d5co+Tmcx8Ux5XM7AFJ987KyDeRMDQtk71thNwen++OwDzQVolB2dRwDd6OFbXV6UslDvb&#10;N1zq0DEqsb6QAnQIY8G5bzUa6TduREvep5uMDCSnjqtJnqncDHwbRRk3sre0oOWIjxrbr3o2AtbX&#10;nyafX+K2DvqQ7T92y9PDiQtxexNH98ACruE/DH/4hA4VMTVutsqzQcB2v6MvQUCS5sAokCVRCqwh&#10;J08T4FXJLy9Uv1BLAwQUAAAACACHTuJAwdT7ICgCAABQBAAADgAAAGRycy9lMm9Eb2MueG1srVTN&#10;jtMwEL4j8Q6W7zT9oavdqOkKbSkXBJV2eYCp4ySW/CfbbdIbnBDiwAPwAtw4cYWnWX7egrFTuj9w&#10;6IEckhl75vN834wzO++UJFvuvDC6oKPBkBKumSmFrgv66mr56JQSH0CXII3mBd1xT8/nDx/MWpvz&#10;sWmMLLkjCKJ93tqCNiHYPMs8a7gCPzCWa9ysjFMQ0HV1VjpoEV3JbDwcnmStcaV1hnHvcXXRb9I9&#10;ojsG0FSVYHxh2EZxHXpUxyUEpOQbYT2dp2qrirPwsqo8D0QWFJmG9MZD0F7HdzafQV47sI1g+xLg&#10;mBLucVIgNB56gFpAALJx4i8oJZgz3lRhwIzKeiJJEWQxGt7T5rIByxMXlNrbg+j+/8GyF9uVI6LE&#10;SaBEg8KGf//y5sen99cfv+bk+sPnX6/f/fz2FhfIKIrVWp9jzqVdub3n0YzMu8qp+EVOpEsC7w4C&#10;8y4QhovjyWRyMp5SwnBvND19PEEHcbKbdOt8eMaNItEoaCVNe9GAC09k4E5D4Kt+dJLasH3uQ5//&#10;Jy+W4I0U5VJImRxXry+kI1vAEVimZ3/knTCpSVvQs2mqDnCuK5wnLFRZ1MbrOp13J8PfBh6m51/A&#10;sbAF+KYvICHEMMiVQEbJajiUT3VJws6i/hqvHY3FKF5SIjne0milyABCHhOJgkqNusZ29Q2KVujW&#10;HcJEc23KHTZ+Y52oG9Q5NTeF46ClhuwvRZzk234CvfkRz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LzgCtgAAAAKAQAADwAAAAAAAAABACAAAAAiAAAAZHJzL2Rvd25yZXYueG1sUEsBAhQAFAAA&#10;AAgAh07iQMHU+yAoAgAAUAQAAA4AAAAAAAAAAQAgAAAAJwEAAGRycy9lMm9Eb2MueG1sUEsFBgAA&#10;AAAGAAYAWQEAAME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ascii="仿宋" w:hAnsi="仿宋" w:eastAsia="仿宋" w:cs="仿宋"/>
                          <w:szCs w:val="21"/>
                        </w:rPr>
                        <w:t>法定代表人/负责人身份证复印件</w:t>
                      </w:r>
                    </w:p>
                  </w:txbxContent>
                </v:textbox>
              </v:shape>
            </w:pict>
          </mc:Fallback>
        </mc:AlternateContent>
      </w:r>
    </w:p>
    <w:p>
      <w:pPr>
        <w:spacing w:line="360" w:lineRule="auto"/>
        <w:rPr>
          <w:rFonts w:ascii="仿宋" w:hAnsi="仿宋" w:eastAsia="仿宋" w:cs="仿宋"/>
          <w:b/>
          <w:color w:val="000000"/>
          <w:sz w:val="28"/>
          <w:szCs w:val="28"/>
        </w:rPr>
      </w:pPr>
    </w:p>
    <w:p>
      <w:pPr>
        <w:spacing w:line="360" w:lineRule="auto"/>
        <w:rPr>
          <w:rFonts w:ascii="仿宋" w:hAnsi="仿宋" w:eastAsia="仿宋" w:cs="仿宋"/>
          <w:b/>
          <w:color w:val="000000"/>
          <w:sz w:val="28"/>
          <w:szCs w:val="28"/>
        </w:rPr>
      </w:pPr>
    </w:p>
    <w:p>
      <w:pPr>
        <w:spacing w:line="360" w:lineRule="auto"/>
        <w:rPr>
          <w:rFonts w:ascii="仿宋" w:hAnsi="仿宋" w:eastAsia="仿宋" w:cs="仿宋"/>
          <w:b/>
          <w:color w:val="000000"/>
          <w:sz w:val="28"/>
          <w:szCs w:val="28"/>
        </w:rPr>
      </w:pPr>
    </w:p>
    <w:p>
      <w:pPr>
        <w:spacing w:line="360" w:lineRule="auto"/>
        <w:rPr>
          <w:rFonts w:ascii="仿宋" w:hAnsi="仿宋" w:eastAsia="仿宋" w:cs="仿宋"/>
          <w:b/>
          <w:color w:val="000000"/>
          <w:sz w:val="28"/>
          <w:szCs w:val="28"/>
        </w:rPr>
      </w:pPr>
    </w:p>
    <w:p>
      <w:pPr>
        <w:spacing w:line="360" w:lineRule="auto"/>
        <w:rPr>
          <w:rFonts w:ascii="仿宋" w:hAnsi="仿宋" w:eastAsia="仿宋" w:cs="仿宋"/>
          <w:b/>
          <w:color w:val="000000"/>
          <w:sz w:val="28"/>
          <w:szCs w:val="28"/>
        </w:rPr>
      </w:pPr>
    </w:p>
    <w:p>
      <w:pPr>
        <w:spacing w:line="360" w:lineRule="auto"/>
        <w:rPr>
          <w:rFonts w:ascii="仿宋" w:hAnsi="仿宋" w:eastAsia="仿宋" w:cs="仿宋"/>
          <w:b/>
          <w:color w:val="000000"/>
          <w:sz w:val="28"/>
          <w:szCs w:val="28"/>
        </w:rPr>
      </w:pPr>
    </w:p>
    <w:p>
      <w:pPr>
        <w:spacing w:line="360" w:lineRule="auto"/>
        <w:rPr>
          <w:rFonts w:ascii="仿宋" w:hAnsi="仿宋" w:eastAsia="仿宋" w:cs="仿宋"/>
          <w:b/>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b/>
          <w:color w:val="000000"/>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b/>
          <w:color w:val="000000"/>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b/>
          <w:color w:val="000000"/>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b/>
          <w:color w:val="000000"/>
          <w:sz w:val="24"/>
        </w:rPr>
      </w:pPr>
      <w:r>
        <w:rPr>
          <w:rFonts w:hint="eastAsia" w:ascii="仿宋" w:hAnsi="仿宋" w:eastAsia="仿宋" w:cs="仿宋"/>
          <w:b/>
          <w:color w:val="000000"/>
          <w:sz w:val="24"/>
        </w:rPr>
        <w:t>（2）法定代表人/负责人授权委托书</w:t>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hAnsi="仿宋" w:eastAsia="仿宋" w:cs="仿宋"/>
          <w:b/>
          <w:color w:val="000000"/>
          <w:sz w:val="24"/>
        </w:rPr>
      </w:pPr>
    </w:p>
    <w:p>
      <w:pPr>
        <w:adjustRightInd w:val="0"/>
        <w:snapToGrid w:val="0"/>
        <w:spacing w:line="360" w:lineRule="auto"/>
        <w:ind w:firstLine="120" w:firstLineChars="50"/>
        <w:rPr>
          <w:rFonts w:ascii="仿宋" w:hAnsi="仿宋" w:eastAsia="仿宋" w:cs="仿宋"/>
          <w:color w:val="000000"/>
          <w:szCs w:val="21"/>
        </w:rPr>
      </w:pPr>
      <w:r>
        <w:rPr>
          <w:rFonts w:hint="eastAsia" w:ascii="仿宋" w:hAnsi="仿宋" w:eastAsia="仿宋" w:cs="仿宋"/>
          <w:color w:val="000000"/>
          <w:sz w:val="24"/>
        </w:rPr>
        <w:t>致</w:t>
      </w:r>
      <w:r>
        <w:rPr>
          <w:rFonts w:hint="eastAsia" w:ascii="仿宋" w:hAnsi="仿宋" w:eastAsia="仿宋" w:cs="仿宋"/>
          <w:color w:val="000000"/>
          <w:sz w:val="24"/>
          <w:u w:val="single"/>
        </w:rPr>
        <w:t>深圳市广播电视技术中心</w:t>
      </w:r>
      <w:r>
        <w:rPr>
          <w:rFonts w:hint="eastAsia" w:ascii="仿宋" w:hAnsi="仿宋" w:eastAsia="仿宋" w:cs="仿宋"/>
          <w:color w:val="000000"/>
          <w:sz w:val="24"/>
        </w:rPr>
        <w:t>：</w:t>
      </w:r>
      <w:r>
        <w:rPr>
          <w:rFonts w:hint="eastAsia" w:ascii="仿宋" w:hAnsi="仿宋" w:eastAsia="仿宋" w:cs="仿宋"/>
          <w:color w:val="000000"/>
          <w:szCs w:val="21"/>
        </w:rPr>
        <w:t xml:space="preserve"> </w:t>
      </w:r>
    </w:p>
    <w:p>
      <w:pPr>
        <w:ind w:firstLine="480" w:firstLineChars="200"/>
        <w:rPr>
          <w:rFonts w:ascii="仿宋" w:hAnsi="仿宋" w:eastAsia="仿宋" w:cs="仿宋"/>
          <w:color w:val="000000"/>
          <w:sz w:val="24"/>
        </w:rPr>
      </w:pPr>
    </w:p>
    <w:p>
      <w:pPr>
        <w:ind w:firstLine="480" w:firstLineChars="200"/>
        <w:rPr>
          <w:rFonts w:ascii="仿宋" w:hAnsi="仿宋" w:eastAsia="仿宋" w:cs="仿宋"/>
          <w:color w:val="000000"/>
          <w:sz w:val="24"/>
        </w:rPr>
      </w:pPr>
      <w:r>
        <w:rPr>
          <w:rFonts w:hint="eastAsia" w:ascii="仿宋" w:hAnsi="仿宋" w:eastAsia="仿宋" w:cs="仿宋"/>
          <w:color w:val="000000"/>
          <w:sz w:val="24"/>
        </w:rPr>
        <w:t>兹授权</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同志，为我方签订经济合同及办理其他事务代理人，其权限是：</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rPr>
          <w:rFonts w:ascii="仿宋" w:hAnsi="仿宋" w:eastAsia="仿宋" w:cs="仿宋"/>
          <w:color w:val="000000"/>
          <w:sz w:val="24"/>
        </w:rPr>
      </w:pPr>
      <w:r>
        <w:rPr>
          <w:rFonts w:hint="eastAsia" w:ascii="仿宋" w:hAnsi="仿宋" w:eastAsia="仿宋" w:cs="仿宋"/>
          <w:color w:val="000000"/>
          <w:sz w:val="24"/>
        </w:rPr>
        <w:t>授权单位：</w:t>
      </w:r>
      <w:r>
        <w:rPr>
          <w:rFonts w:hint="eastAsia" w:ascii="仿宋" w:hAnsi="仿宋" w:eastAsia="仿宋" w:cs="仿宋"/>
          <w:color w:val="000000"/>
          <w:sz w:val="24"/>
          <w:u w:val="single"/>
        </w:rPr>
        <w:t xml:space="preserve">          （盖章）     </w:t>
      </w:r>
      <w:r>
        <w:rPr>
          <w:rFonts w:hint="eastAsia" w:ascii="仿宋" w:hAnsi="仿宋" w:eastAsia="仿宋" w:cs="仿宋"/>
          <w:color w:val="000000"/>
          <w:sz w:val="24"/>
        </w:rPr>
        <w:t>法定代表人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（签名或盖私章）</w:t>
      </w:r>
    </w:p>
    <w:p>
      <w:pPr>
        <w:rPr>
          <w:rFonts w:ascii="仿宋" w:hAnsi="仿宋" w:eastAsia="仿宋" w:cs="仿宋"/>
          <w:color w:val="000000"/>
          <w:sz w:val="24"/>
        </w:rPr>
      </w:pPr>
      <w:r>
        <w:rPr>
          <w:rFonts w:hint="eastAsia" w:ascii="仿宋" w:hAnsi="仿宋" w:eastAsia="仿宋" w:cs="仿宋"/>
          <w:color w:val="000000"/>
          <w:sz w:val="24"/>
        </w:rPr>
        <w:t>有效期限：至        年       月      日       签发日期：</w:t>
      </w:r>
    </w:p>
    <w:p>
      <w:pPr>
        <w:rPr>
          <w:rFonts w:ascii="仿宋" w:hAnsi="仿宋" w:eastAsia="仿宋" w:cs="仿宋"/>
          <w:color w:val="000000"/>
          <w:sz w:val="24"/>
        </w:rPr>
      </w:pPr>
      <w:r>
        <w:rPr>
          <w:rFonts w:hint="eastAsia" w:ascii="仿宋" w:hAnsi="仿宋" w:eastAsia="仿宋" w:cs="仿宋"/>
          <w:color w:val="000000"/>
          <w:sz w:val="24"/>
        </w:rPr>
        <w:t>附：代理人性别：        年龄：       职务：         身份证号码：</w:t>
      </w:r>
    </w:p>
    <w:p>
      <w:pPr>
        <w:rPr>
          <w:rFonts w:ascii="仿宋" w:hAnsi="仿宋" w:eastAsia="仿宋" w:cs="仿宋"/>
          <w:color w:val="000000"/>
          <w:sz w:val="24"/>
        </w:rPr>
      </w:pPr>
      <w:r>
        <w:rPr>
          <w:rFonts w:hint="eastAsia" w:ascii="仿宋" w:hAnsi="仿宋" w:eastAsia="仿宋" w:cs="仿宋"/>
          <w:color w:val="000000"/>
          <w:sz w:val="24"/>
        </w:rPr>
        <w:t xml:space="preserve">  联系电话：</w:t>
      </w:r>
    </w:p>
    <w:p>
      <w:pPr>
        <w:ind w:firstLine="240" w:firstLineChars="100"/>
        <w:rPr>
          <w:rFonts w:ascii="仿宋" w:hAnsi="仿宋" w:eastAsia="仿宋" w:cs="仿宋"/>
          <w:color w:val="000000"/>
          <w:sz w:val="24"/>
        </w:rPr>
      </w:pPr>
      <w:r>
        <w:rPr>
          <w:rFonts w:hint="eastAsia" w:ascii="仿宋" w:hAnsi="仿宋" w:eastAsia="仿宋" w:cs="仿宋"/>
          <w:color w:val="000000"/>
          <w:sz w:val="24"/>
        </w:rPr>
        <w:t>营业执照号码：       经济性质：</w:t>
      </w:r>
    </w:p>
    <w:p>
      <w:pPr>
        <w:ind w:firstLine="240" w:firstLineChars="100"/>
        <w:rPr>
          <w:rFonts w:ascii="仿宋" w:hAnsi="仿宋" w:eastAsia="仿宋" w:cs="仿宋"/>
          <w:color w:val="000000"/>
          <w:sz w:val="24"/>
        </w:rPr>
      </w:pPr>
      <w:r>
        <w:rPr>
          <w:rFonts w:hint="eastAsia" w:ascii="仿宋" w:hAnsi="仿宋" w:eastAsia="仿宋" w:cs="仿宋"/>
          <w:color w:val="000000"/>
          <w:sz w:val="24"/>
        </w:rPr>
        <w:t>主营（产）：</w:t>
      </w:r>
    </w:p>
    <w:p>
      <w:pPr>
        <w:ind w:firstLine="240" w:firstLineChars="100"/>
        <w:rPr>
          <w:rFonts w:ascii="仿宋" w:hAnsi="仿宋" w:eastAsia="仿宋" w:cs="仿宋"/>
          <w:color w:val="000000"/>
          <w:sz w:val="24"/>
        </w:rPr>
      </w:pPr>
      <w:r>
        <w:rPr>
          <w:rFonts w:hint="eastAsia" w:ascii="仿宋" w:hAnsi="仿宋" w:eastAsia="仿宋" w:cs="仿宋"/>
          <w:color w:val="000000"/>
          <w:sz w:val="24"/>
        </w:rPr>
        <w:t>兼营（产）：</w:t>
      </w:r>
    </w:p>
    <w:p>
      <w:pPr>
        <w:ind w:firstLine="240" w:firstLineChars="100"/>
        <w:rPr>
          <w:rFonts w:ascii="仿宋" w:hAnsi="仿宋" w:eastAsia="仿宋" w:cs="仿宋"/>
          <w:color w:val="000000"/>
          <w:sz w:val="24"/>
        </w:rPr>
      </w:pPr>
    </w:p>
    <w:p>
      <w:pPr>
        <w:rPr>
          <w:rFonts w:ascii="仿宋" w:hAnsi="仿宋" w:eastAsia="仿宋" w:cs="仿宋"/>
          <w:color w:val="000000"/>
          <w:sz w:val="24"/>
        </w:rPr>
      </w:pPr>
      <w:r>
        <w:rPr>
          <w:rFonts w:hint="eastAsia" w:ascii="仿宋" w:hAnsi="仿宋" w:eastAsia="仿宋" w:cs="仿宋"/>
          <w:color w:val="000000"/>
          <w:sz w:val="24"/>
        </w:rPr>
        <w:t>说明：1.法定代表人/负责人为企业事业单位、国家机关、社会团体的主要行政负责人。</w:t>
      </w:r>
    </w:p>
    <w:p>
      <w:pPr>
        <w:rPr>
          <w:rFonts w:ascii="仿宋" w:hAnsi="仿宋" w:eastAsia="仿宋" w:cs="仿宋"/>
          <w:color w:val="000000"/>
          <w:sz w:val="24"/>
        </w:rPr>
      </w:pPr>
      <w:r>
        <w:rPr>
          <w:rFonts w:hint="eastAsia" w:ascii="仿宋" w:hAnsi="仿宋" w:eastAsia="仿宋" w:cs="仿宋"/>
          <w:color w:val="000000"/>
          <w:sz w:val="24"/>
        </w:rPr>
        <w:t xml:space="preserve">      2.内容必须填写真实、清楚、涂改无效，不得转让、买卖。</w:t>
      </w:r>
    </w:p>
    <w:p>
      <w:pPr>
        <w:ind w:firstLine="720" w:firstLineChars="300"/>
        <w:rPr>
          <w:rFonts w:ascii="仿宋" w:hAnsi="仿宋" w:eastAsia="仿宋" w:cs="仿宋"/>
          <w:b/>
          <w:color w:val="000000"/>
          <w:sz w:val="24"/>
        </w:rPr>
      </w:pPr>
      <w:r>
        <w:rPr>
          <w:rFonts w:hint="eastAsia" w:ascii="仿宋" w:hAnsi="仿宋" w:eastAsia="仿宋" w:cs="仿宋"/>
          <w:color w:val="000000"/>
          <w:sz w:val="24"/>
        </w:rPr>
        <w:t>3.将此证明书提交对方作为合同附件</w:t>
      </w:r>
      <w:r>
        <w:rPr>
          <w:rFonts w:hint="eastAsia" w:ascii="仿宋" w:hAnsi="仿宋" w:eastAsia="仿宋" w:cs="仿宋"/>
          <w:b/>
          <w:color w:val="000000"/>
          <w:sz w:val="24"/>
        </w:rPr>
        <w:t>。</w:t>
      </w:r>
    </w:p>
    <w:p>
      <w:pPr>
        <w:ind w:firstLine="720" w:firstLineChars="300"/>
        <w:rPr>
          <w:rFonts w:ascii="仿宋" w:hAnsi="仿宋" w:eastAsia="仿宋" w:cs="仿宋"/>
          <w:color w:val="000000"/>
          <w:sz w:val="24"/>
        </w:rPr>
      </w:pPr>
      <w:r>
        <w:rPr>
          <w:rFonts w:hint="eastAsia" w:ascii="仿宋" w:hAnsi="仿宋" w:eastAsia="仿宋" w:cs="仿宋"/>
          <w:color w:val="000000"/>
          <w:sz w:val="24"/>
        </w:rPr>
        <w:t>4.授权权限：全权代表本公司参与上述采购项目的投标响应，负责提供与签署确认一切文书资料，以及向贵方递交的任何补充承诺。</w:t>
      </w:r>
    </w:p>
    <w:p>
      <w:pPr>
        <w:ind w:firstLine="736" w:firstLineChars="307"/>
        <w:rPr>
          <w:rFonts w:ascii="仿宋" w:hAnsi="仿宋" w:eastAsia="仿宋" w:cs="仿宋"/>
          <w:color w:val="000000"/>
          <w:sz w:val="24"/>
        </w:rPr>
      </w:pPr>
      <w:r>
        <w:rPr>
          <w:rFonts w:hint="eastAsia" w:ascii="仿宋" w:hAnsi="仿宋" w:eastAsia="仿宋" w:cs="仿宋"/>
          <w:color w:val="000000"/>
          <w:sz w:val="24"/>
        </w:rPr>
        <w:t>5.有效期限：与本公司投标文件中标注的投标有效期相同，自本单位盖公章之日起生效。</w:t>
      </w:r>
    </w:p>
    <w:p>
      <w:pPr>
        <w:ind w:firstLine="736" w:firstLineChars="307"/>
        <w:rPr>
          <w:rFonts w:ascii="仿宋" w:hAnsi="仿宋" w:eastAsia="仿宋" w:cs="仿宋"/>
          <w:color w:val="000000"/>
          <w:sz w:val="24"/>
        </w:rPr>
      </w:pPr>
      <w:r>
        <w:rPr>
          <w:rFonts w:hint="eastAsia" w:ascii="仿宋" w:hAnsi="仿宋" w:eastAsia="仿宋" w:cs="仿宋"/>
          <w:color w:val="000000"/>
          <w:sz w:val="24"/>
        </w:rPr>
        <w:t>6.投标签字代表为法定代表人，则本表不适用。</w:t>
      </w:r>
    </w:p>
    <w:p>
      <w:pPr>
        <w:spacing w:line="360" w:lineRule="auto"/>
        <w:ind w:firstLine="420"/>
        <w:rPr>
          <w:rFonts w:ascii="仿宋" w:hAnsi="仿宋" w:eastAsia="仿宋" w:cs="仿宋"/>
          <w:color w:val="000000"/>
          <w:sz w:val="24"/>
          <w:u w:val="single"/>
        </w:rPr>
      </w:pPr>
    </w:p>
    <w:p>
      <w:pPr>
        <w:jc w:val="center"/>
        <w:rPr>
          <w:rFonts w:ascii="仿宋" w:hAnsi="仿宋" w:eastAsia="仿宋" w:cs="仿宋"/>
          <w:color w:val="000000"/>
          <w:szCs w:val="21"/>
        </w:rPr>
      </w:pPr>
    </w:p>
    <w:p>
      <w:pPr>
        <w:spacing w:line="360" w:lineRule="auto"/>
        <w:ind w:firstLine="420"/>
        <w:rPr>
          <w:rFonts w:ascii="仿宋" w:hAnsi="仿宋" w:eastAsia="仿宋" w:cs="仿宋"/>
          <w:color w:val="000000"/>
          <w:sz w:val="28"/>
          <w:szCs w:val="28"/>
          <w:u w:val="single"/>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-139700</wp:posOffset>
                </wp:positionV>
                <wp:extent cx="1933575" cy="1173480"/>
                <wp:effectExtent l="0" t="0" r="28575" b="26670"/>
                <wp:wrapNone/>
                <wp:docPr id="5" name="流程图: 可选过程 5"/>
                <wp:cNvGraphicFramePr/>
                <a:graphic xmlns:a="http://schemas.openxmlformats.org/drawingml/2006/main">
                  <a:graphicData uri="http://schemas.microsoft.com/office/word/2010/wordprocessingShape">
                    <wps:wsp>
                      <wps:cNvSpPr/>
                      <wps:spPr>
                        <a:xfrm>
                          <a:off x="0" y="0"/>
                          <a:ext cx="1933575" cy="1173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szCs w:val="21"/>
                              </w:rPr>
                            </w:pPr>
                            <w:r>
                              <w:rPr>
                                <w:rFonts w:hint="eastAsia" w:ascii="仿宋" w:hAnsi="仿宋" w:eastAsia="仿宋" w:cs="仿宋"/>
                                <w:szCs w:val="21"/>
                              </w:rPr>
                              <w:t>法定代表人/负责人授权代表身份证复印件</w:t>
                            </w:r>
                          </w:p>
                        </w:txbxContent>
                      </wps:txbx>
                      <wps:bodyPr upright="1"/>
                    </wps:wsp>
                  </a:graphicData>
                </a:graphic>
              </wp:anchor>
            </w:drawing>
          </mc:Choice>
          <mc:Fallback>
            <w:pict>
              <v:shape id="_x0000_s1026" o:spid="_x0000_s1026" o:spt="176" type="#_x0000_t176" style="position:absolute;left:0pt;margin-left:115.5pt;margin-top:-11pt;height:92.4pt;width:152.25pt;z-index:251660288;mso-width-relative:page;mso-height-relative:page;" fillcolor="#FFFFFF" filled="t" stroked="t" coordsize="21600,21600" o:gfxdata="UEsDBAoAAAAAAIdO4kAAAAAAAAAAAAAAAAAEAAAAZHJzL1BLAwQUAAAACACHTuJAaiMHQNkAAAAL&#10;AQAADwAAAGRycy9kb3ducmV2LnhtbE2PTU+EMBCG7yb+h2ZMvO2Wj4DIUjZGoycv4iZeC62ULJ0S&#10;Wlj01zue9DaTefLO81bHzY5s1bMfHAqI9xEwjZ1TA/YCTu/PuwKYDxKVHB1qAV/aw7G+vqpkqdwF&#10;3/TahJ5RCPpSCjAhTCXnvjPaSr93k0a6fbrZykDr3HM1ywuF25EnUZRzKwekD0ZO+tHo7twsVsD2&#10;+t3eLy9x1wRT5Hcf6fr0cOJC3N7E0QFY0Fv4g+FXn9ShJqfWLag8GwUkaUxdgoBdktBARJZmGbCW&#10;0DwpgNcV/9+h/gFQSwMEFAAAAAgAh07iQJb+OVkqAgAAUAQAAA4AAABkcnMvZTJvRG9jLnhtbK1U&#10;y47TMBTdI/EPlvc0fVBmJmo6QlPKBkGlgQ+4dZzEkl+y3SbdwQohFnwAP8COFVv4muHxF1w7pfOA&#10;RRdkkVw/7vE5515ndt4pSbbceWF0QUeDISVcM1MKXRf01cvlg1NKfABdgjSaF3THPT2f3783a23O&#10;x6YxsuSOIIj2eWsL2oRg8yzzrOEK/MBYrnGxMk5BwKGrs9JBi+hKZuPh8FHWGldaZxj3HmcX/SLd&#10;I7pjAE1VCcYXhm0U16FHdVxCQEm+EdbTeWJbVZyFF1XleSCyoKg0pDcegvE6vrP5DPLagW0E21OA&#10;Yyjc0aRAaDz0ALWAAGTjxF9QSjBnvKnCgBmV9UKSI6hiNLzjzWUDlictaLW3B9P9/4Nlz7crR0RZ&#10;0CklGhQW/PuXNz8+vb/6+DUnVx8+/3r97ue3tzhBptGs1voccy7tyu1HHsOovKucil/URLpk8O5g&#10;MO8CYTg5OptMpid4EsO10ehk8vA0lSC7TrfOh6fcKBKDglbStBcNuPBYBu40BL7qWye5DdtnPiAP&#10;zP+TFyl4I0W5FFKmgavXF9KRLWALLNMThWDKrW1Sk7agZ9NxZAfY1xX2E4bKojde1+m8Wxn+JvAw&#10;Pf8CjsQW4JueQEKI2yBXAhWlqOFQPtElCTuL/mu8djSSUbykRHK8pTFKOwMIecxOVCc1iozl6gsU&#10;o9CtO4SJ4dqUOyz8xjpRN+jzKFGPK9hoyZ39pYidfHOcQK9/BP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iMHQNkAAAALAQAADwAAAAAAAAABACAAAAAiAAAAZHJzL2Rvd25yZXYueG1sUEsBAhQA&#10;FAAAAAgAh07iQJb+OVkqAgAAUAQAAA4AAAAAAAAAAQAgAAAAKAEAAGRycy9lMm9Eb2MueG1sUEsF&#10;BgAAAAAGAAYAWQEAAMQ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szCs w:val="21"/>
                        </w:rPr>
                      </w:pPr>
                      <w:r>
                        <w:rPr>
                          <w:rFonts w:hint="eastAsia" w:ascii="仿宋" w:hAnsi="仿宋" w:eastAsia="仿宋" w:cs="仿宋"/>
                          <w:szCs w:val="21"/>
                        </w:rPr>
                        <w:t>法定代表人/负责人授权代表身份证复印件</w:t>
                      </w:r>
                    </w:p>
                  </w:txbxContent>
                </v:textbox>
              </v:shape>
            </w:pict>
          </mc:Fallback>
        </mc:AlternateContent>
      </w:r>
    </w:p>
    <w:p>
      <w:pPr>
        <w:spacing w:line="360" w:lineRule="auto"/>
        <w:ind w:firstLine="420"/>
        <w:rPr>
          <w:rFonts w:ascii="仿宋" w:hAnsi="仿宋" w:eastAsia="仿宋" w:cs="仿宋"/>
          <w:color w:val="000000"/>
          <w:sz w:val="28"/>
          <w:szCs w:val="28"/>
          <w:u w:val="single"/>
        </w:rPr>
      </w:pPr>
    </w:p>
    <w:p>
      <w:pPr>
        <w:spacing w:line="360" w:lineRule="auto"/>
        <w:ind w:firstLine="420"/>
        <w:rPr>
          <w:rFonts w:ascii="仿宋" w:hAnsi="仿宋" w:eastAsia="仿宋" w:cs="仿宋"/>
          <w:color w:val="000000"/>
          <w:sz w:val="28"/>
          <w:szCs w:val="28"/>
          <w:u w:val="single"/>
        </w:rPr>
      </w:pPr>
    </w:p>
    <w:p>
      <w:pPr>
        <w:spacing w:line="360" w:lineRule="auto"/>
        <w:ind w:firstLine="420"/>
        <w:rPr>
          <w:rFonts w:ascii="仿宋" w:hAnsi="仿宋" w:eastAsia="仿宋" w:cs="仿宋"/>
          <w:color w:val="000000"/>
          <w:sz w:val="28"/>
          <w:szCs w:val="28"/>
          <w:u w:val="single"/>
        </w:rPr>
      </w:pPr>
    </w:p>
    <w:p>
      <w:pPr>
        <w:spacing w:line="360" w:lineRule="auto"/>
        <w:ind w:firstLine="420"/>
        <w:rPr>
          <w:rFonts w:ascii="仿宋" w:hAnsi="仿宋" w:eastAsia="仿宋" w:cs="仿宋"/>
          <w:color w:val="000000"/>
          <w:sz w:val="28"/>
          <w:szCs w:val="28"/>
          <w:u w:val="single"/>
        </w:rPr>
      </w:pPr>
    </w:p>
    <w:p>
      <w:pPr>
        <w:pStyle w:val="17"/>
        <w:numPr>
          <w:ilvl w:val="0"/>
          <w:numId w:val="5"/>
        </w:numPr>
        <w:autoSpaceDE w:val="0"/>
        <w:autoSpaceDN w:val="0"/>
        <w:spacing w:line="360" w:lineRule="auto"/>
        <w:ind w:firstLineChars="0"/>
        <w:jc w:val="center"/>
        <w:rPr>
          <w:rFonts w:ascii="仿宋" w:hAnsi="仿宋" w:eastAsia="仿宋" w:cs="仿宋"/>
          <w:b/>
          <w:color w:val="000000"/>
          <w:sz w:val="28"/>
          <w:szCs w:val="28"/>
        </w:rPr>
      </w:pPr>
      <w:r>
        <w:rPr>
          <w:rFonts w:hint="eastAsia" w:ascii="仿宋" w:hAnsi="仿宋" w:eastAsia="仿宋" w:cs="仿宋"/>
          <w:b/>
          <w:color w:val="000000"/>
          <w:sz w:val="24"/>
        </w:rPr>
        <w:br w:type="page"/>
      </w:r>
      <w:r>
        <w:rPr>
          <w:rFonts w:hint="eastAsia" w:ascii="仿宋" w:hAnsi="仿宋" w:eastAsia="仿宋" w:cs="仿宋"/>
          <w:b/>
          <w:color w:val="000000"/>
          <w:sz w:val="28"/>
          <w:szCs w:val="28"/>
        </w:rPr>
        <w:t>开标一览表</w:t>
      </w:r>
    </w:p>
    <w:p>
      <w:pPr>
        <w:autoSpaceDE w:val="0"/>
        <w:autoSpaceDN w:val="0"/>
        <w:spacing w:line="360" w:lineRule="auto"/>
        <w:rPr>
          <w:rFonts w:ascii="仿宋" w:hAnsi="仿宋" w:eastAsia="仿宋" w:cs="仿宋"/>
          <w:b/>
          <w:color w:val="000000"/>
          <w:sz w:val="28"/>
          <w:szCs w:val="28"/>
        </w:rPr>
      </w:pPr>
    </w:p>
    <w:p>
      <w:pPr>
        <w:adjustRightInd w:val="0"/>
        <w:snapToGrid w:val="0"/>
        <w:spacing w:line="360" w:lineRule="auto"/>
        <w:rPr>
          <w:rFonts w:ascii="仿宋" w:hAnsi="仿宋" w:eastAsia="仿宋" w:cs="仿宋"/>
          <w:color w:val="000000"/>
          <w:sz w:val="24"/>
        </w:rPr>
      </w:pPr>
    </w:p>
    <w:p>
      <w:pPr>
        <w:adjustRightInd w:val="0"/>
        <w:snapToGrid w:val="0"/>
        <w:spacing w:line="360" w:lineRule="auto"/>
        <w:rPr>
          <w:rFonts w:ascii="仿宋" w:hAnsi="仿宋" w:eastAsia="仿宋" w:cs="仿宋"/>
          <w:color w:val="000000"/>
          <w:sz w:val="24"/>
          <w:u w:val="single"/>
        </w:rPr>
      </w:pPr>
      <w:r>
        <w:rPr>
          <w:rFonts w:hint="eastAsia" w:ascii="仿宋" w:hAnsi="仿宋" w:eastAsia="仿宋" w:cs="仿宋"/>
          <w:color w:val="000000"/>
          <w:sz w:val="24"/>
        </w:rPr>
        <w:t>采购项目名称:</w:t>
      </w:r>
      <w:r>
        <w:rPr>
          <w:rFonts w:hint="eastAsia" w:ascii="仿宋" w:hAnsi="仿宋" w:eastAsia="仿宋" w:cs="仿宋"/>
          <w:color w:val="000000"/>
          <w:sz w:val="24"/>
          <w:u w:val="single"/>
        </w:rPr>
        <w:t xml:space="preserve">             </w:t>
      </w:r>
    </w:p>
    <w:p>
      <w:pPr>
        <w:adjustRightInd w:val="0"/>
        <w:snapToGrid w:val="0"/>
        <w:spacing w:line="360" w:lineRule="auto"/>
        <w:rPr>
          <w:rFonts w:ascii="仿宋" w:hAnsi="仿宋" w:eastAsia="仿宋" w:cs="仿宋"/>
          <w:color w:val="000000"/>
          <w:sz w:val="24"/>
          <w:u w:val="single"/>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6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2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000000"/>
                <w:sz w:val="24"/>
              </w:rPr>
            </w:pPr>
            <w:r>
              <w:rPr>
                <w:rFonts w:hint="eastAsia" w:ascii="仿宋" w:hAnsi="仿宋" w:eastAsia="仿宋" w:cs="仿宋"/>
                <w:b/>
                <w:color w:val="000000"/>
                <w:sz w:val="24"/>
              </w:rPr>
              <w:t>项目总报价</w:t>
            </w:r>
          </w:p>
        </w:tc>
        <w:tc>
          <w:tcPr>
            <w:tcW w:w="6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sz w:val="24"/>
              </w:rPr>
            </w:pPr>
            <w:r>
              <w:rPr>
                <w:rFonts w:hint="eastAsia" w:ascii="仿宋" w:hAnsi="仿宋" w:eastAsia="仿宋" w:cs="仿宋"/>
                <w:color w:val="000000"/>
                <w:sz w:val="24"/>
              </w:rPr>
              <w:t>（大写）人民币</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p>
        </w:tc>
      </w:tr>
    </w:tbl>
    <w:p>
      <w:pPr>
        <w:adjustRightInd w:val="0"/>
        <w:snapToGrid w:val="0"/>
        <w:spacing w:line="360" w:lineRule="auto"/>
        <w:rPr>
          <w:rFonts w:ascii="仿宋" w:hAnsi="仿宋" w:eastAsia="仿宋" w:cs="仿宋"/>
          <w:color w:val="000000"/>
          <w:sz w:val="24"/>
        </w:rPr>
      </w:pPr>
    </w:p>
    <w:p>
      <w:pPr>
        <w:spacing w:line="360" w:lineRule="auto"/>
        <w:ind w:firstLine="482" w:firstLineChars="200"/>
        <w:rPr>
          <w:rFonts w:ascii="仿宋" w:hAnsi="仿宋" w:eastAsia="仿宋" w:cs="仿宋"/>
          <w:b/>
          <w:color w:val="000000"/>
          <w:sz w:val="24"/>
        </w:rPr>
      </w:pPr>
      <w:r>
        <w:rPr>
          <w:rFonts w:hint="eastAsia" w:ascii="仿宋" w:hAnsi="仿宋" w:eastAsia="仿宋" w:cs="仿宋"/>
          <w:b/>
          <w:color w:val="000000"/>
          <w:sz w:val="24"/>
        </w:rPr>
        <w:t>注：1.投标人须按要求填写所有信息，不得随意更改本表格式。</w:t>
      </w:r>
    </w:p>
    <w:p>
      <w:pPr>
        <w:spacing w:line="360" w:lineRule="auto"/>
        <w:ind w:firstLine="964" w:firstLineChars="400"/>
        <w:rPr>
          <w:rFonts w:ascii="仿宋" w:hAnsi="仿宋" w:eastAsia="仿宋" w:cs="仿宋"/>
          <w:b/>
          <w:color w:val="000000"/>
          <w:sz w:val="24"/>
        </w:rPr>
      </w:pPr>
      <w:r>
        <w:rPr>
          <w:rFonts w:hint="eastAsia" w:ascii="仿宋" w:hAnsi="仿宋" w:eastAsia="仿宋" w:cs="仿宋"/>
          <w:b/>
          <w:color w:val="000000"/>
          <w:sz w:val="24"/>
        </w:rPr>
        <w:t>2.本项目所有价格均应以人民币报价，金额单位为元。</w:t>
      </w:r>
    </w:p>
    <w:p>
      <w:pPr>
        <w:adjustRightInd w:val="0"/>
        <w:snapToGrid w:val="0"/>
        <w:spacing w:line="360" w:lineRule="auto"/>
        <w:rPr>
          <w:rFonts w:ascii="仿宋" w:hAnsi="仿宋" w:eastAsia="仿宋" w:cs="仿宋"/>
          <w:color w:val="000000"/>
          <w:sz w:val="24"/>
        </w:rPr>
      </w:pPr>
    </w:p>
    <w:p>
      <w:pPr>
        <w:adjustRightInd w:val="0"/>
        <w:snapToGrid w:val="0"/>
        <w:spacing w:line="360" w:lineRule="auto"/>
        <w:rPr>
          <w:rFonts w:ascii="仿宋" w:hAnsi="仿宋" w:eastAsia="仿宋" w:cs="仿宋"/>
          <w:color w:val="000000"/>
          <w:sz w:val="24"/>
        </w:rPr>
      </w:pPr>
    </w:p>
    <w:p>
      <w:pPr>
        <w:snapToGrid w:val="0"/>
        <w:spacing w:line="360" w:lineRule="auto"/>
        <w:ind w:left="-2" w:hanging="2"/>
        <w:rPr>
          <w:rFonts w:ascii="仿宋" w:hAnsi="仿宋" w:eastAsia="仿宋" w:cs="仿宋"/>
          <w:bCs/>
          <w:color w:val="000000"/>
          <w:sz w:val="24"/>
        </w:rPr>
      </w:pPr>
      <w:r>
        <w:rPr>
          <w:rFonts w:hint="eastAsia" w:ascii="仿宋" w:hAnsi="仿宋" w:eastAsia="仿宋" w:cs="仿宋"/>
          <w:bCs/>
          <w:color w:val="000000"/>
          <w:sz w:val="24"/>
        </w:rPr>
        <w:t xml:space="preserve">投标人法定代表人/负责人（或法定代表人/负责人授权代表）签字： </w:t>
      </w:r>
    </w:p>
    <w:p>
      <w:pPr>
        <w:snapToGrid w:val="0"/>
        <w:spacing w:line="360" w:lineRule="auto"/>
        <w:ind w:left="-2" w:hanging="2"/>
        <w:rPr>
          <w:rFonts w:ascii="仿宋" w:hAnsi="仿宋" w:eastAsia="仿宋" w:cs="仿宋"/>
          <w:bCs/>
          <w:color w:val="000000"/>
          <w:sz w:val="24"/>
        </w:rPr>
      </w:pPr>
      <w:r>
        <w:rPr>
          <w:rFonts w:hint="eastAsia" w:ascii="仿宋" w:hAnsi="仿宋" w:eastAsia="仿宋" w:cs="仿宋"/>
          <w:bCs/>
          <w:color w:val="000000"/>
          <w:sz w:val="24"/>
        </w:rPr>
        <w:t xml:space="preserve">投标人名称（签章） ： </w:t>
      </w:r>
    </w:p>
    <w:p>
      <w:pPr>
        <w:snapToGrid w:val="0"/>
        <w:spacing w:line="360" w:lineRule="auto"/>
        <w:ind w:left="-2" w:hanging="2"/>
        <w:rPr>
          <w:rFonts w:ascii="仿宋" w:hAnsi="仿宋" w:eastAsia="仿宋" w:cs="仿宋"/>
          <w:bCs/>
          <w:color w:val="000000"/>
          <w:sz w:val="24"/>
        </w:rPr>
      </w:pPr>
      <w:r>
        <w:rPr>
          <w:rFonts w:hint="eastAsia" w:ascii="仿宋" w:hAnsi="仿宋" w:eastAsia="仿宋" w:cs="仿宋"/>
          <w:bCs/>
          <w:color w:val="000000"/>
          <w:sz w:val="24"/>
        </w:rPr>
        <w:t>日期：  年  月  日</w:t>
      </w:r>
    </w:p>
    <w:p>
      <w:pPr>
        <w:adjustRightInd w:val="0"/>
        <w:snapToGrid w:val="0"/>
        <w:spacing w:line="360" w:lineRule="auto"/>
        <w:ind w:left="-88" w:leftChars="-42"/>
        <w:jc w:val="center"/>
        <w:outlineLvl w:val="3"/>
        <w:rPr>
          <w:rFonts w:ascii="仿宋" w:hAnsi="仿宋" w:eastAsia="仿宋" w:cs="仿宋"/>
          <w:b/>
          <w:bCs/>
          <w:color w:val="000000"/>
          <w:sz w:val="24"/>
        </w:rPr>
      </w:pPr>
    </w:p>
    <w:p>
      <w:pPr>
        <w:adjustRightInd w:val="0"/>
        <w:snapToGrid w:val="0"/>
        <w:spacing w:line="360" w:lineRule="auto"/>
        <w:ind w:left="-88" w:leftChars="-42"/>
        <w:jc w:val="center"/>
        <w:outlineLvl w:val="3"/>
        <w:rPr>
          <w:rFonts w:ascii="仿宋" w:hAnsi="仿宋" w:eastAsia="仿宋" w:cs="仿宋"/>
          <w:b/>
          <w:bCs/>
          <w:color w:val="000000"/>
          <w:sz w:val="24"/>
        </w:rPr>
      </w:pPr>
    </w:p>
    <w:p>
      <w:pPr>
        <w:adjustRightInd w:val="0"/>
        <w:snapToGrid w:val="0"/>
        <w:spacing w:line="360" w:lineRule="auto"/>
        <w:ind w:left="-88" w:leftChars="-42"/>
        <w:jc w:val="center"/>
        <w:outlineLvl w:val="3"/>
        <w:rPr>
          <w:rFonts w:ascii="仿宋" w:hAnsi="仿宋" w:eastAsia="仿宋" w:cs="仿宋"/>
          <w:b/>
          <w:bCs/>
          <w:color w:val="000000"/>
          <w:sz w:val="24"/>
        </w:rPr>
      </w:pPr>
    </w:p>
    <w:p>
      <w:pPr>
        <w:adjustRightInd w:val="0"/>
        <w:snapToGrid w:val="0"/>
        <w:spacing w:line="360" w:lineRule="auto"/>
        <w:ind w:left="-88" w:leftChars="-42"/>
        <w:jc w:val="center"/>
        <w:outlineLvl w:val="3"/>
        <w:rPr>
          <w:rFonts w:ascii="仿宋" w:hAnsi="仿宋" w:eastAsia="仿宋" w:cs="仿宋"/>
          <w:b/>
          <w:bCs/>
          <w:color w:val="000000"/>
          <w:sz w:val="24"/>
        </w:rPr>
      </w:pPr>
    </w:p>
    <w:p>
      <w:pPr>
        <w:adjustRightInd w:val="0"/>
        <w:snapToGrid w:val="0"/>
        <w:spacing w:line="360" w:lineRule="auto"/>
        <w:ind w:left="-88" w:leftChars="-42"/>
        <w:jc w:val="center"/>
        <w:outlineLvl w:val="3"/>
        <w:rPr>
          <w:rFonts w:ascii="仿宋" w:hAnsi="仿宋" w:eastAsia="仿宋" w:cs="仿宋"/>
          <w:b/>
          <w:bCs/>
          <w:color w:val="000000"/>
          <w:sz w:val="24"/>
        </w:rPr>
      </w:pPr>
      <w:r>
        <w:rPr>
          <w:rFonts w:hint="eastAsia" w:ascii="仿宋" w:hAnsi="仿宋" w:eastAsia="仿宋" w:cs="仿宋"/>
          <w:b/>
          <w:bCs/>
          <w:color w:val="000000"/>
          <w:sz w:val="24"/>
        </w:rPr>
        <w:br w:type="page"/>
      </w:r>
      <w:r>
        <w:rPr>
          <w:rFonts w:hint="eastAsia" w:ascii="仿宋" w:hAnsi="仿宋" w:eastAsia="仿宋" w:cs="仿宋"/>
          <w:b/>
          <w:color w:val="000000"/>
          <w:sz w:val="28"/>
          <w:szCs w:val="28"/>
        </w:rPr>
        <w:t>5、投标明细报价表</w:t>
      </w:r>
    </w:p>
    <w:p>
      <w:pPr>
        <w:adjustRightInd w:val="0"/>
        <w:snapToGrid w:val="0"/>
        <w:jc w:val="center"/>
        <w:rPr>
          <w:rFonts w:ascii="仿宋" w:hAnsi="仿宋" w:eastAsia="仿宋" w:cs="仿宋"/>
          <w:bCs/>
          <w:color w:val="000000"/>
          <w:sz w:val="28"/>
          <w:szCs w:val="28"/>
        </w:rPr>
      </w:pPr>
    </w:p>
    <w:p>
      <w:pPr>
        <w:numPr>
          <w:ilvl w:val="0"/>
          <w:numId w:val="6"/>
        </w:numPr>
        <w:adjustRightInd w:val="0"/>
        <w:spacing w:line="20" w:lineRule="atLeast"/>
        <w:rPr>
          <w:rFonts w:ascii="仿宋" w:hAnsi="仿宋" w:eastAsia="仿宋" w:cs="仿宋"/>
          <w:bCs/>
          <w:color w:val="000000"/>
          <w:sz w:val="28"/>
          <w:szCs w:val="28"/>
        </w:rPr>
      </w:pPr>
      <w:r>
        <w:rPr>
          <w:rFonts w:hint="eastAsia" w:ascii="仿宋" w:hAnsi="仿宋" w:eastAsia="仿宋" w:cs="仿宋"/>
          <w:bCs/>
          <w:color w:val="000000"/>
          <w:sz w:val="28"/>
          <w:szCs w:val="28"/>
        </w:rPr>
        <w:t>提供详细报价单。</w:t>
      </w:r>
    </w:p>
    <w:p>
      <w:pPr>
        <w:adjustRightInd w:val="0"/>
        <w:spacing w:line="20" w:lineRule="atLeas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1.报价内容必须与服务方案中所介绍的内容、汇总金额与《投标报价一览表》相对应的金额一致。</w:t>
      </w:r>
    </w:p>
    <w:p>
      <w:pPr>
        <w:adjustRightInd w:val="0"/>
        <w:spacing w:line="20" w:lineRule="atLeast"/>
        <w:ind w:firstLine="548" w:firstLineChars="196"/>
        <w:rPr>
          <w:rFonts w:ascii="仿宋" w:hAnsi="仿宋" w:eastAsia="仿宋" w:cs="仿宋"/>
          <w:bCs/>
          <w:color w:val="000000"/>
          <w:sz w:val="28"/>
          <w:szCs w:val="28"/>
        </w:rPr>
      </w:pPr>
      <w:r>
        <w:rPr>
          <w:rFonts w:hint="eastAsia" w:ascii="仿宋" w:hAnsi="仿宋" w:eastAsia="仿宋" w:cs="仿宋"/>
          <w:bCs/>
          <w:color w:val="000000"/>
          <w:sz w:val="28"/>
          <w:szCs w:val="28"/>
        </w:rPr>
        <w:t>2. 本项目所有价格均应以人民币报价，金额单位为元</w:t>
      </w:r>
    </w:p>
    <w:p>
      <w:pPr>
        <w:adjustRightInd w:val="0"/>
        <w:spacing w:line="20" w:lineRule="atLeast"/>
        <w:ind w:firstLine="548" w:firstLineChars="196"/>
        <w:rPr>
          <w:rFonts w:ascii="仿宋" w:hAnsi="仿宋" w:eastAsia="仿宋" w:cs="仿宋"/>
          <w:bCs/>
          <w:color w:val="000000"/>
          <w:sz w:val="28"/>
          <w:szCs w:val="28"/>
        </w:rPr>
      </w:pPr>
      <w:r>
        <w:rPr>
          <w:rFonts w:hint="eastAsia" w:ascii="仿宋" w:hAnsi="仿宋" w:eastAsia="仿宋" w:cs="仿宋"/>
          <w:bCs/>
          <w:color w:val="000000"/>
          <w:sz w:val="28"/>
          <w:szCs w:val="28"/>
        </w:rPr>
        <w:t>3.报价明细表中的内容，可根据自身的实际情况、招标文件项目清单编制，体现服务项目内容、数量、单价及合价金额，分析说明和理由，格式不限。</w:t>
      </w:r>
    </w:p>
    <w:p>
      <w:pPr>
        <w:adjustRightInd w:val="0"/>
        <w:spacing w:line="20" w:lineRule="atLeast"/>
        <w:ind w:firstLine="548" w:firstLineChars="196"/>
        <w:rPr>
          <w:rFonts w:ascii="仿宋" w:hAnsi="仿宋" w:eastAsia="仿宋" w:cs="仿宋"/>
          <w:bCs/>
          <w:color w:val="000000"/>
          <w:sz w:val="28"/>
          <w:szCs w:val="28"/>
        </w:rPr>
      </w:pPr>
      <w:r>
        <w:rPr>
          <w:rFonts w:hint="eastAsia" w:ascii="仿宋" w:hAnsi="仿宋" w:eastAsia="仿宋" w:cs="仿宋"/>
          <w:bCs/>
          <w:color w:val="000000"/>
          <w:sz w:val="28"/>
          <w:szCs w:val="28"/>
        </w:rPr>
        <w:t>4.在报价表内未有明确列述的项目费用应视为包括在报价单价之内。</w:t>
      </w:r>
    </w:p>
    <w:p>
      <w:pPr>
        <w:adjustRightInd w:val="0"/>
        <w:spacing w:line="20" w:lineRule="atLeast"/>
        <w:ind w:firstLine="546" w:firstLineChars="195"/>
        <w:rPr>
          <w:rFonts w:ascii="仿宋" w:hAnsi="仿宋" w:eastAsia="仿宋" w:cs="仿宋"/>
          <w:bCs/>
          <w:color w:val="000000"/>
          <w:sz w:val="28"/>
          <w:szCs w:val="28"/>
        </w:rPr>
      </w:pPr>
      <w:r>
        <w:rPr>
          <w:rFonts w:hint="eastAsia" w:ascii="仿宋" w:hAnsi="仿宋" w:eastAsia="仿宋" w:cs="仿宋"/>
          <w:bCs/>
          <w:color w:val="000000"/>
          <w:sz w:val="28"/>
          <w:szCs w:val="28"/>
        </w:rPr>
        <w:t>5.如果不提供明细报价将视为没有实质性响应招标文件。</w:t>
      </w:r>
    </w:p>
    <w:p>
      <w:pPr>
        <w:adjustRightInd w:val="0"/>
        <w:spacing w:line="20" w:lineRule="atLeast"/>
        <w:ind w:firstLine="546" w:firstLineChars="195"/>
        <w:rPr>
          <w:rFonts w:ascii="仿宋" w:hAnsi="仿宋" w:eastAsia="仿宋" w:cs="仿宋"/>
          <w:bCs/>
          <w:color w:val="000000"/>
          <w:sz w:val="24"/>
        </w:rPr>
      </w:pPr>
      <w:r>
        <w:rPr>
          <w:rFonts w:hint="eastAsia" w:ascii="仿宋" w:hAnsi="仿宋" w:eastAsia="仿宋" w:cs="仿宋"/>
          <w:bCs/>
          <w:color w:val="000000"/>
          <w:sz w:val="28"/>
          <w:szCs w:val="28"/>
        </w:rPr>
        <w:t xml:space="preserve">6. 详细报价表有投标人法定代表人/负责人（或法定代表人/负责人授权代表）签字，投标人名称(加盖公章)。 </w:t>
      </w:r>
      <w:bookmarkStart w:id="3" w:name="_Toc391542588"/>
      <w:bookmarkStart w:id="4" w:name="_Toc43264530"/>
    </w:p>
    <w:p>
      <w:pPr>
        <w:spacing w:line="360" w:lineRule="auto"/>
        <w:rPr>
          <w:rFonts w:ascii="仿宋" w:hAnsi="仿宋" w:eastAsia="仿宋" w:cs="仿宋"/>
          <w:color w:val="000000"/>
        </w:rPr>
      </w:pPr>
    </w:p>
    <w:p>
      <w:pPr>
        <w:spacing w:line="360" w:lineRule="auto"/>
        <w:rPr>
          <w:rFonts w:ascii="仿宋" w:hAnsi="仿宋" w:eastAsia="仿宋" w:cs="仿宋"/>
          <w:b/>
          <w:color w:val="000000"/>
          <w:sz w:val="28"/>
          <w:szCs w:val="28"/>
        </w:rPr>
      </w:pPr>
      <w:r>
        <w:rPr>
          <w:rFonts w:hint="eastAsia" w:ascii="仿宋" w:hAnsi="仿宋" w:eastAsia="仿宋" w:cs="仿宋"/>
          <w:b/>
          <w:color w:val="000000"/>
          <w:sz w:val="28"/>
          <w:szCs w:val="28"/>
        </w:rPr>
        <w:t>6、商务部分应提供的资料</w:t>
      </w:r>
    </w:p>
    <w:p>
      <w:pPr>
        <w:spacing w:line="360" w:lineRule="auto"/>
        <w:rPr>
          <w:rFonts w:ascii="仿宋" w:hAnsi="仿宋" w:eastAsia="仿宋" w:cs="仿宋"/>
          <w:b/>
          <w:color w:val="000000"/>
          <w:sz w:val="28"/>
          <w:szCs w:val="28"/>
        </w:rPr>
      </w:pPr>
      <w:r>
        <w:rPr>
          <w:rFonts w:hint="eastAsia" w:ascii="仿宋" w:hAnsi="仿宋" w:eastAsia="仿宋" w:cs="仿宋"/>
          <w:b/>
          <w:color w:val="000000"/>
          <w:sz w:val="28"/>
          <w:szCs w:val="28"/>
        </w:rPr>
        <w:t>7、质保期承诺函（须加盖投标人公章）</w:t>
      </w:r>
    </w:p>
    <w:p>
      <w:pPr>
        <w:tabs>
          <w:tab w:val="left" w:pos="540"/>
        </w:tabs>
        <w:spacing w:line="360" w:lineRule="auto"/>
        <w:rPr>
          <w:rFonts w:ascii="仿宋" w:hAnsi="仿宋" w:eastAsia="仿宋" w:cs="仿宋"/>
          <w:b/>
          <w:color w:val="000000"/>
          <w:sz w:val="28"/>
          <w:szCs w:val="28"/>
        </w:rPr>
      </w:pPr>
      <w:r>
        <w:rPr>
          <w:rFonts w:hint="eastAsia" w:ascii="仿宋" w:hAnsi="仿宋" w:eastAsia="仿宋" w:cs="仿宋"/>
          <w:b/>
          <w:color w:val="000000"/>
          <w:sz w:val="28"/>
          <w:szCs w:val="28"/>
        </w:rPr>
        <w:t>8、技术部分资料</w:t>
      </w:r>
    </w:p>
    <w:p>
      <w:pPr>
        <w:tabs>
          <w:tab w:val="left" w:pos="540"/>
        </w:tabs>
        <w:spacing w:line="360" w:lineRule="auto"/>
        <w:rPr>
          <w:rFonts w:ascii="仿宋" w:hAnsi="仿宋" w:eastAsia="仿宋" w:cs="仿宋"/>
          <w:b/>
          <w:color w:val="000000"/>
          <w:sz w:val="28"/>
          <w:szCs w:val="28"/>
        </w:rPr>
      </w:pPr>
      <w:r>
        <w:rPr>
          <w:rFonts w:hint="eastAsia" w:ascii="仿宋" w:hAnsi="仿宋" w:eastAsia="仿宋" w:cs="仿宋"/>
          <w:b/>
          <w:color w:val="000000"/>
          <w:sz w:val="28"/>
          <w:szCs w:val="28"/>
        </w:rPr>
        <w:t>9、投标人认为应该提供的其他资料</w:t>
      </w:r>
    </w:p>
    <w:p>
      <w:pPr>
        <w:tabs>
          <w:tab w:val="left" w:pos="540"/>
        </w:tabs>
        <w:spacing w:line="360" w:lineRule="auto"/>
        <w:rPr>
          <w:rFonts w:ascii="仿宋" w:hAnsi="仿宋" w:eastAsia="仿宋" w:cs="仿宋"/>
          <w:b/>
          <w:color w:val="000000"/>
          <w:sz w:val="28"/>
          <w:szCs w:val="28"/>
        </w:rPr>
      </w:pPr>
    </w:p>
    <w:p>
      <w:pPr>
        <w:rPr>
          <w:rFonts w:ascii="仿宋" w:hAnsi="仿宋" w:eastAsia="仿宋" w:cs="仿宋"/>
          <w:color w:val="000000"/>
          <w:sz w:val="24"/>
        </w:rPr>
      </w:pPr>
      <w:r>
        <w:rPr>
          <w:rFonts w:hint="eastAsia" w:ascii="仿宋" w:hAnsi="仿宋" w:eastAsia="仿宋" w:cs="仿宋"/>
          <w:color w:val="000000"/>
          <w:sz w:val="24"/>
        </w:rPr>
        <w:t>注：投标人在投标文件中所提供的评审标准，在内容上如果未按上述要点的顺序编写或有缺漏的，只影响其评审得分，不构成投标无效条件。</w:t>
      </w:r>
    </w:p>
    <w:p>
      <w:pPr>
        <w:rPr>
          <w:rFonts w:ascii="仿宋" w:hAnsi="仿宋" w:eastAsia="仿宋" w:cs="仿宋"/>
          <w:color w:val="000000"/>
          <w:sz w:val="24"/>
        </w:rPr>
      </w:pPr>
    </w:p>
    <w:bookmarkEnd w:id="3"/>
    <w:bookmarkEnd w:id="4"/>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F91A87"/>
    <w:multiLevelType w:val="singleLevel"/>
    <w:tmpl w:val="86F91A87"/>
    <w:lvl w:ilvl="0" w:tentative="0">
      <w:start w:val="2"/>
      <w:numFmt w:val="chineseCounting"/>
      <w:suff w:val="space"/>
      <w:lvlText w:val="第%1部分"/>
      <w:lvlJc w:val="left"/>
      <w:pPr>
        <w:ind w:left="0" w:firstLine="0"/>
      </w:pPr>
    </w:lvl>
  </w:abstractNum>
  <w:abstractNum w:abstractNumId="1">
    <w:nsid w:val="CF08B3D0"/>
    <w:multiLevelType w:val="singleLevel"/>
    <w:tmpl w:val="CF08B3D0"/>
    <w:lvl w:ilvl="0" w:tentative="0">
      <w:start w:val="1"/>
      <w:numFmt w:val="chineseCounting"/>
      <w:suff w:val="nothing"/>
      <w:lvlText w:val="%1、"/>
      <w:lvlJc w:val="left"/>
      <w:pPr>
        <w:ind w:left="105" w:firstLine="0"/>
      </w:pPr>
    </w:lvl>
  </w:abstractNum>
  <w:abstractNum w:abstractNumId="2">
    <w:nsid w:val="0895EC9F"/>
    <w:multiLevelType w:val="singleLevel"/>
    <w:tmpl w:val="0895EC9F"/>
    <w:lvl w:ilvl="0" w:tentative="0">
      <w:start w:val="1"/>
      <w:numFmt w:val="decimal"/>
      <w:lvlText w:val="%1."/>
      <w:lvlJc w:val="left"/>
      <w:pPr>
        <w:tabs>
          <w:tab w:val="left" w:pos="312"/>
        </w:tabs>
      </w:pPr>
    </w:lvl>
  </w:abstractNum>
  <w:abstractNum w:abstractNumId="3">
    <w:nsid w:val="259A3268"/>
    <w:multiLevelType w:val="multilevel"/>
    <w:tmpl w:val="259A3268"/>
    <w:lvl w:ilvl="0" w:tentative="0">
      <w:start w:val="4"/>
      <w:numFmt w:val="decimal"/>
      <w:lvlText w:val="%1、"/>
      <w:lvlJc w:val="left"/>
      <w:pPr>
        <w:ind w:left="720" w:hanging="720"/>
      </w:pPr>
      <w:rPr>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D090AEC"/>
    <w:multiLevelType w:val="singleLevel"/>
    <w:tmpl w:val="2D090AEC"/>
    <w:lvl w:ilvl="0" w:tentative="0">
      <w:start w:val="2"/>
      <w:numFmt w:val="decimal"/>
      <w:suff w:val="space"/>
      <w:lvlText w:val="%1."/>
      <w:lvlJc w:val="left"/>
      <w:pPr>
        <w:ind w:left="0" w:firstLine="0"/>
      </w:pPr>
    </w:lvl>
  </w:abstractNum>
  <w:abstractNum w:abstractNumId="5">
    <w:nsid w:val="72AABAE8"/>
    <w:multiLevelType w:val="singleLevel"/>
    <w:tmpl w:val="72AABAE8"/>
    <w:lvl w:ilvl="0" w:tentative="0">
      <w:start w:val="2"/>
      <w:numFmt w:val="decimal"/>
      <w:suff w:val="space"/>
      <w:lvlText w:val="%1)"/>
      <w:lvlJc w:val="left"/>
      <w:pPr>
        <w:ind w:left="0" w:firstLine="0"/>
      </w:pPr>
    </w:lvl>
  </w:abstractNum>
  <w:num w:numId="1">
    <w:abstractNumId w:val="4"/>
    <w:lvlOverride w:ilvl="0">
      <w:startOverride w:val="2"/>
    </w:lvlOverride>
  </w:num>
  <w:num w:numId="2">
    <w:abstractNumId w:val="0"/>
    <w:lvlOverride w:ilvl="0">
      <w:startOverride w:val="2"/>
    </w:lvlOverride>
  </w:num>
  <w:num w:numId="3">
    <w:abstractNumId w:val="2"/>
  </w:num>
  <w:num w:numId="4">
    <w:abstractNumId w:val="5"/>
    <w:lvlOverride w:ilvl="0">
      <w:startOverride w:val="2"/>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1MGNjZjBiNjFiNTdlZGJlODM0MjkyMTY0OTdkNjgifQ=="/>
  </w:docVars>
  <w:rsids>
    <w:rsidRoot w:val="00894707"/>
    <w:rsid w:val="0002251C"/>
    <w:rsid w:val="000765F5"/>
    <w:rsid w:val="000B28CD"/>
    <w:rsid w:val="000C4703"/>
    <w:rsid w:val="000E7B79"/>
    <w:rsid w:val="001353B6"/>
    <w:rsid w:val="00236BCC"/>
    <w:rsid w:val="002707A4"/>
    <w:rsid w:val="002B7CA6"/>
    <w:rsid w:val="002E41B8"/>
    <w:rsid w:val="002E4EC0"/>
    <w:rsid w:val="00301C04"/>
    <w:rsid w:val="00340958"/>
    <w:rsid w:val="003509D2"/>
    <w:rsid w:val="00373314"/>
    <w:rsid w:val="0040434D"/>
    <w:rsid w:val="00431DD8"/>
    <w:rsid w:val="00444A9D"/>
    <w:rsid w:val="004B4218"/>
    <w:rsid w:val="004D135E"/>
    <w:rsid w:val="004E3E7C"/>
    <w:rsid w:val="00502B5C"/>
    <w:rsid w:val="00527B8C"/>
    <w:rsid w:val="0057631A"/>
    <w:rsid w:val="00607F6C"/>
    <w:rsid w:val="006342AF"/>
    <w:rsid w:val="00643327"/>
    <w:rsid w:val="0065213A"/>
    <w:rsid w:val="00666AAC"/>
    <w:rsid w:val="006C1A44"/>
    <w:rsid w:val="00742C4E"/>
    <w:rsid w:val="0075075E"/>
    <w:rsid w:val="00754529"/>
    <w:rsid w:val="0078312C"/>
    <w:rsid w:val="007850F3"/>
    <w:rsid w:val="007B4488"/>
    <w:rsid w:val="007B7585"/>
    <w:rsid w:val="007D0224"/>
    <w:rsid w:val="007F123C"/>
    <w:rsid w:val="0082138B"/>
    <w:rsid w:val="00894281"/>
    <w:rsid w:val="00894707"/>
    <w:rsid w:val="008B6151"/>
    <w:rsid w:val="008E10DA"/>
    <w:rsid w:val="009361F1"/>
    <w:rsid w:val="009410D3"/>
    <w:rsid w:val="00946FEA"/>
    <w:rsid w:val="00985815"/>
    <w:rsid w:val="009B65AE"/>
    <w:rsid w:val="009C3F93"/>
    <w:rsid w:val="009F43D2"/>
    <w:rsid w:val="00A36C34"/>
    <w:rsid w:val="00A51B60"/>
    <w:rsid w:val="00A73C68"/>
    <w:rsid w:val="00A84898"/>
    <w:rsid w:val="00A8536A"/>
    <w:rsid w:val="00A86440"/>
    <w:rsid w:val="00A90E91"/>
    <w:rsid w:val="00A94BBD"/>
    <w:rsid w:val="00AA4BCD"/>
    <w:rsid w:val="00AD45CF"/>
    <w:rsid w:val="00AF7423"/>
    <w:rsid w:val="00B46261"/>
    <w:rsid w:val="00BB4D89"/>
    <w:rsid w:val="00C166C6"/>
    <w:rsid w:val="00C35FB6"/>
    <w:rsid w:val="00C3602C"/>
    <w:rsid w:val="00C639F7"/>
    <w:rsid w:val="00C63C97"/>
    <w:rsid w:val="00C85E7A"/>
    <w:rsid w:val="00CC1451"/>
    <w:rsid w:val="00CC341D"/>
    <w:rsid w:val="00CC7162"/>
    <w:rsid w:val="00CE309C"/>
    <w:rsid w:val="00CF6D83"/>
    <w:rsid w:val="00D03253"/>
    <w:rsid w:val="00D16637"/>
    <w:rsid w:val="00D55182"/>
    <w:rsid w:val="00D568B5"/>
    <w:rsid w:val="00D570B2"/>
    <w:rsid w:val="00D96748"/>
    <w:rsid w:val="00DF2310"/>
    <w:rsid w:val="00DF2ACB"/>
    <w:rsid w:val="00E1496D"/>
    <w:rsid w:val="00E27FAD"/>
    <w:rsid w:val="00E41718"/>
    <w:rsid w:val="00ED7200"/>
    <w:rsid w:val="00F16CD8"/>
    <w:rsid w:val="00F179A2"/>
    <w:rsid w:val="00F34115"/>
    <w:rsid w:val="00F42D63"/>
    <w:rsid w:val="00F4684B"/>
    <w:rsid w:val="00F52E75"/>
    <w:rsid w:val="00F55710"/>
    <w:rsid w:val="00F64CCB"/>
    <w:rsid w:val="00F76910"/>
    <w:rsid w:val="00F86A91"/>
    <w:rsid w:val="12C744F6"/>
    <w:rsid w:val="12E83194"/>
    <w:rsid w:val="163D0746"/>
    <w:rsid w:val="1DE96E3B"/>
    <w:rsid w:val="37194A06"/>
    <w:rsid w:val="5CC70E96"/>
    <w:rsid w:val="66033057"/>
    <w:rsid w:val="66743FC8"/>
    <w:rsid w:val="74265B02"/>
    <w:rsid w:val="77805E63"/>
    <w:rsid w:val="78DE315D"/>
    <w:rsid w:val="79290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link w:val="13"/>
    <w:semiHidden/>
    <w:unhideWhenUsed/>
    <w:qFormat/>
    <w:uiPriority w:val="0"/>
    <w:pPr>
      <w:keepNext/>
      <w:keepLines/>
      <w:spacing w:before="280" w:after="290" w:line="374" w:lineRule="auto"/>
      <w:outlineLvl w:val="3"/>
    </w:pPr>
    <w:rPr>
      <w:rFonts w:ascii="Arial" w:hAnsi="Arial" w:eastAsia="黑体"/>
      <w:b/>
      <w:bCs/>
      <w:sz w:val="28"/>
      <w:szCs w:val="28"/>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14"/>
    <w:unhideWhenUsed/>
    <w:qFormat/>
    <w:uiPriority w:val="99"/>
    <w:pPr>
      <w:spacing w:after="120"/>
    </w:pPr>
  </w:style>
  <w:style w:type="paragraph" w:styleId="4">
    <w:name w:val="Normal Indent"/>
    <w:basedOn w:val="1"/>
    <w:link w:val="15"/>
    <w:unhideWhenUsed/>
    <w:qFormat/>
    <w:uiPriority w:val="0"/>
    <w:pPr>
      <w:ind w:firstLine="420"/>
    </w:pPr>
    <w:rPr>
      <w:rFonts w:asciiTheme="minorHAnsi" w:hAnsiTheme="minorHAnsi" w:eastAsiaTheme="minorEastAsia" w:cstheme="minorBidi"/>
      <w:szCs w:val="22"/>
    </w:rPr>
  </w:style>
  <w:style w:type="paragraph" w:styleId="5">
    <w:name w:val="Plain Text"/>
    <w:basedOn w:val="1"/>
    <w:next w:val="1"/>
    <w:link w:val="16"/>
    <w:unhideWhenUsed/>
    <w:qFormat/>
    <w:uiPriority w:val="0"/>
    <w:rPr>
      <w:rFonts w:ascii="宋体" w:hAnsi="Courier New" w:cs="Courier New"/>
      <w:szCs w:val="21"/>
    </w:rPr>
  </w:style>
  <w:style w:type="paragraph" w:styleId="6">
    <w:name w:val="footer"/>
    <w:basedOn w:val="1"/>
    <w:link w:val="25"/>
    <w:unhideWhenUsed/>
    <w:qFormat/>
    <w:uiPriority w:val="99"/>
    <w:pPr>
      <w:tabs>
        <w:tab w:val="center" w:pos="4153"/>
        <w:tab w:val="right" w:pos="8306"/>
      </w:tabs>
      <w:snapToGrid w:val="0"/>
      <w:jc w:val="left"/>
    </w:pPr>
    <w:rPr>
      <w:sz w:val="18"/>
      <w:szCs w:val="18"/>
    </w:rPr>
  </w:style>
  <w:style w:type="paragraph" w:styleId="7">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semiHidden/>
    <w:unhideWhenUsed/>
    <w:uiPriority w:val="99"/>
    <w:rPr>
      <w:color w:val="800080"/>
      <w:u w:val="single"/>
    </w:rPr>
  </w:style>
  <w:style w:type="character" w:styleId="12">
    <w:name w:val="Hyperlink"/>
    <w:basedOn w:val="10"/>
    <w:semiHidden/>
    <w:unhideWhenUsed/>
    <w:uiPriority w:val="99"/>
    <w:rPr>
      <w:color w:val="0000FF"/>
      <w:u w:val="single"/>
    </w:rPr>
  </w:style>
  <w:style w:type="character" w:customStyle="1" w:styleId="13">
    <w:name w:val="标题 4 字符"/>
    <w:basedOn w:val="10"/>
    <w:link w:val="3"/>
    <w:semiHidden/>
    <w:qFormat/>
    <w:uiPriority w:val="0"/>
    <w:rPr>
      <w:rFonts w:ascii="Arial" w:hAnsi="Arial" w:eastAsia="黑体" w:cs="Times New Roman"/>
      <w:b/>
      <w:bCs/>
      <w:sz w:val="28"/>
      <w:szCs w:val="28"/>
    </w:rPr>
  </w:style>
  <w:style w:type="character" w:customStyle="1" w:styleId="14">
    <w:name w:val="正文文本 字符"/>
    <w:basedOn w:val="10"/>
    <w:link w:val="2"/>
    <w:qFormat/>
    <w:uiPriority w:val="99"/>
    <w:rPr>
      <w:rFonts w:ascii="Times New Roman" w:hAnsi="Times New Roman" w:eastAsia="宋体" w:cs="Times New Roman"/>
      <w:szCs w:val="24"/>
    </w:rPr>
  </w:style>
  <w:style w:type="character" w:customStyle="1" w:styleId="15">
    <w:name w:val="正文缩进 字符"/>
    <w:basedOn w:val="10"/>
    <w:link w:val="4"/>
    <w:qFormat/>
    <w:locked/>
    <w:uiPriority w:val="0"/>
  </w:style>
  <w:style w:type="character" w:customStyle="1" w:styleId="16">
    <w:name w:val="纯文本 字符"/>
    <w:basedOn w:val="10"/>
    <w:link w:val="5"/>
    <w:qFormat/>
    <w:uiPriority w:val="0"/>
    <w:rPr>
      <w:rFonts w:ascii="宋体" w:hAnsi="Courier New" w:eastAsia="宋体" w:cs="Courier New"/>
      <w:szCs w:val="21"/>
    </w:rPr>
  </w:style>
  <w:style w:type="paragraph" w:styleId="17">
    <w:name w:val="List Paragraph"/>
    <w:basedOn w:val="1"/>
    <w:qFormat/>
    <w:uiPriority w:val="34"/>
    <w:pPr>
      <w:ind w:firstLine="420" w:firstLineChars="200"/>
    </w:pPr>
  </w:style>
  <w:style w:type="paragraph" w:customStyle="1" w:styleId="18">
    <w:name w:val="Table Paragraph"/>
    <w:basedOn w:val="1"/>
    <w:qFormat/>
    <w:uiPriority w:val="1"/>
    <w:rPr>
      <w:rFonts w:ascii="宋体" w:hAnsi="宋体" w:cs="宋体"/>
      <w:lang w:val="zh-CN" w:bidi="zh-CN"/>
    </w:rPr>
  </w:style>
  <w:style w:type="paragraph" w:customStyle="1" w:styleId="19">
    <w:name w:val="表格文字"/>
    <w:basedOn w:val="1"/>
    <w:qFormat/>
    <w:uiPriority w:val="0"/>
    <w:pPr>
      <w:spacing w:before="25" w:after="25"/>
      <w:jc w:val="left"/>
    </w:pPr>
    <w:rPr>
      <w:bCs/>
      <w:spacing w:val="10"/>
      <w:kern w:val="0"/>
      <w:sz w:val="24"/>
      <w:szCs w:val="20"/>
    </w:rPr>
  </w:style>
  <w:style w:type="paragraph" w:customStyle="1" w:styleId="20">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1">
    <w:name w:val="font31"/>
    <w:basedOn w:val="10"/>
    <w:qFormat/>
    <w:uiPriority w:val="0"/>
    <w:rPr>
      <w:rFonts w:hint="default" w:ascii="Arial" w:hAnsi="Arial" w:cs="Arial"/>
      <w:color w:val="000000"/>
      <w:sz w:val="24"/>
      <w:szCs w:val="24"/>
      <w:u w:val="none"/>
    </w:rPr>
  </w:style>
  <w:style w:type="character" w:customStyle="1" w:styleId="22">
    <w:name w:val="font11"/>
    <w:basedOn w:val="10"/>
    <w:qFormat/>
    <w:uiPriority w:val="0"/>
    <w:rPr>
      <w:rFonts w:hint="eastAsia" w:ascii="宋体" w:hAnsi="宋体" w:eastAsia="宋体" w:cs="宋体"/>
      <w:color w:val="000000"/>
      <w:sz w:val="24"/>
      <w:szCs w:val="24"/>
      <w:u w:val="none"/>
    </w:rPr>
  </w:style>
  <w:style w:type="character" w:customStyle="1" w:styleId="23">
    <w:name w:val="fontstyle01"/>
    <w:basedOn w:val="10"/>
    <w:qFormat/>
    <w:uiPriority w:val="0"/>
    <w:rPr>
      <w:rFonts w:hint="eastAsia" w:ascii="宋体" w:hAnsi="宋体" w:eastAsia="宋体"/>
      <w:color w:val="000000"/>
      <w:sz w:val="22"/>
      <w:szCs w:val="22"/>
    </w:rPr>
  </w:style>
  <w:style w:type="character" w:customStyle="1" w:styleId="24">
    <w:name w:val="页眉 字符"/>
    <w:basedOn w:val="10"/>
    <w:link w:val="7"/>
    <w:qFormat/>
    <w:uiPriority w:val="99"/>
    <w:rPr>
      <w:rFonts w:ascii="Times New Roman" w:hAnsi="Times New Roman" w:eastAsia="宋体" w:cs="Times New Roman"/>
      <w:sz w:val="18"/>
      <w:szCs w:val="18"/>
    </w:rPr>
  </w:style>
  <w:style w:type="character" w:customStyle="1" w:styleId="25">
    <w:name w:val="页脚 字符"/>
    <w:basedOn w:val="10"/>
    <w:link w:val="6"/>
    <w:qFormat/>
    <w:uiPriority w:val="99"/>
    <w:rPr>
      <w:rFonts w:ascii="Times New Roman" w:hAnsi="Times New Roman" w:eastAsia="宋体" w:cs="Times New Roman"/>
      <w:sz w:val="18"/>
      <w:szCs w:val="18"/>
    </w:rPr>
  </w:style>
  <w:style w:type="paragraph" w:customStyle="1" w:styleId="26">
    <w:name w:val="msonormal"/>
    <w:basedOn w:val="1"/>
    <w:uiPriority w:val="0"/>
    <w:pPr>
      <w:widowControl/>
      <w:spacing w:before="100" w:beforeAutospacing="1" w:after="100" w:afterAutospacing="1"/>
      <w:jc w:val="left"/>
    </w:pPr>
    <w:rPr>
      <w:rFonts w:ascii="宋体" w:hAnsi="宋体" w:cs="宋体"/>
      <w:kern w:val="0"/>
      <w:sz w:val="24"/>
    </w:rPr>
  </w:style>
  <w:style w:type="paragraph" w:customStyle="1" w:styleId="27">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8">
    <w:name w:val="xl6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29">
    <w:name w:val="xl6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30">
    <w:name w:val="xl6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31">
    <w:name w:val="xl6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32">
    <w:name w:val="xl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宋体" w:hAnsi="宋体" w:cs="宋体"/>
      <w:kern w:val="0"/>
      <w:sz w:val="18"/>
      <w:szCs w:val="18"/>
    </w:rPr>
  </w:style>
  <w:style w:type="paragraph" w:customStyle="1" w:styleId="33">
    <w:name w:val="xl6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宋体" w:hAnsi="宋体" w:cs="宋体"/>
      <w:kern w:val="0"/>
      <w:sz w:val="18"/>
      <w:szCs w:val="18"/>
    </w:rPr>
  </w:style>
  <w:style w:type="paragraph" w:customStyle="1" w:styleId="34">
    <w:name w:val="xl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宋体" w:hAnsi="宋体" w:cs="宋体"/>
      <w:kern w:val="0"/>
      <w:sz w:val="18"/>
      <w:szCs w:val="18"/>
    </w:rPr>
  </w:style>
  <w:style w:type="paragraph" w:customStyle="1" w:styleId="35">
    <w:name w:val="xl70"/>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36">
    <w:name w:val="xl71"/>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37">
    <w:name w:val="xl72"/>
    <w:basedOn w:val="1"/>
    <w:uiPriority w:val="0"/>
    <w:pPr>
      <w:widowControl/>
      <w:pBdr>
        <w:top w:val="single" w:color="auto" w:sz="4" w:space="0"/>
        <w:left w:val="single" w:color="auto"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38">
    <w:name w:val="xl73"/>
    <w:basedOn w:val="1"/>
    <w:uiPriority w:val="0"/>
    <w:pPr>
      <w:widowControl/>
      <w:pBdr>
        <w:top w:val="single" w:color="auto" w:sz="4" w:space="0"/>
        <w:left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39">
    <w:name w:val="xl74"/>
    <w:basedOn w:val="1"/>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40">
    <w:name w:val="xl75"/>
    <w:basedOn w:val="1"/>
    <w:uiPriority w:val="0"/>
    <w:pPr>
      <w:widowControl/>
      <w:pBdr>
        <w:top w:val="single" w:color="auto" w:sz="4" w:space="0"/>
        <w:left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41">
    <w:name w:val="xl76"/>
    <w:basedOn w:val="1"/>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42">
    <w:name w:val="xl77"/>
    <w:basedOn w:val="1"/>
    <w:uiPriority w:val="0"/>
    <w:pPr>
      <w:widowControl/>
      <w:pBdr>
        <w:top w:val="single" w:color="auto" w:sz="4" w:space="0"/>
        <w:left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43">
    <w:name w:val="xl78"/>
    <w:basedOn w:val="1"/>
    <w:uiPriority w:val="0"/>
    <w:pPr>
      <w:widowControl/>
      <w:pBdr>
        <w:left w:val="single" w:color="000000" w:sz="4" w:space="0"/>
        <w:bottom w:val="single" w:color="auto"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44">
    <w:name w:val="xl79"/>
    <w:basedOn w:val="1"/>
    <w:uiPriority w:val="0"/>
    <w:pPr>
      <w:widowControl/>
      <w:pBdr>
        <w:left w:val="single" w:color="000000" w:sz="4" w:space="0"/>
        <w:bottom w:val="single" w:color="auto"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45">
    <w:name w:val="xl80"/>
    <w:basedOn w:val="1"/>
    <w:uiPriority w:val="0"/>
    <w:pPr>
      <w:widowControl/>
      <w:pBdr>
        <w:left w:val="single" w:color="auto" w:sz="4" w:space="0"/>
        <w:bottom w:val="single" w:color="auto"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46">
    <w:name w:val="xl81"/>
    <w:basedOn w:val="1"/>
    <w:uiPriority w:val="0"/>
    <w:pPr>
      <w:widowControl/>
      <w:pBdr>
        <w:top w:val="single" w:color="000000"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47">
    <w:name w:val="xl82"/>
    <w:basedOn w:val="1"/>
    <w:uiPriority w:val="0"/>
    <w:pPr>
      <w:widowControl/>
      <w:pBdr>
        <w:top w:val="single" w:color="000000"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9241</Words>
  <Characters>10754</Characters>
  <Lines>90</Lines>
  <Paragraphs>25</Paragraphs>
  <TotalTime>122</TotalTime>
  <ScaleCrop>false</ScaleCrop>
  <LinksUpToDate>false</LinksUpToDate>
  <CharactersWithSpaces>11381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2022-09-14T08:25:00Z</dcterms:created>
  <dc:creator>Administrator</dc:creator>
  <cp:lastModifiedBy>小容</cp:lastModifiedBy>
  <dcterms:modified xsi:type="dcterms:W3CDTF">2023-06-02T01:44:38Z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F7E29817D494463CB4E9AB9933B8EFB0</vt:lpwstr>
  </property>
</Properties>
</file>