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kern w:val="0"/>
          <w:sz w:val="44"/>
          <w:szCs w:val="44"/>
        </w:rPr>
      </w:pPr>
      <w:r>
        <w:rPr>
          <w:rFonts w:hint="eastAsia" w:ascii="仿宋" w:hAnsi="仿宋" w:eastAsia="仿宋" w:cs="仿宋"/>
          <w:b/>
          <w:kern w:val="0"/>
          <w:sz w:val="44"/>
          <w:szCs w:val="44"/>
        </w:rPr>
        <w:t>深圳市广播电视技术中心</w:t>
      </w:r>
    </w:p>
    <w:p>
      <w:pPr>
        <w:tabs>
          <w:tab w:val="left" w:pos="7740"/>
        </w:tabs>
        <w:autoSpaceDE w:val="0"/>
        <w:autoSpaceDN w:val="0"/>
        <w:spacing w:line="20" w:lineRule="atLeast"/>
        <w:jc w:val="center"/>
        <w:rPr>
          <w:rFonts w:ascii="仿宋" w:hAnsi="仿宋" w:eastAsia="仿宋" w:cs="仿宋"/>
          <w:b/>
          <w:kern w:val="0"/>
          <w:sz w:val="44"/>
          <w:szCs w:val="44"/>
        </w:rPr>
      </w:pPr>
      <w:r>
        <w:rPr>
          <w:rFonts w:hint="eastAsia" w:ascii="仿宋" w:hAnsi="仿宋" w:eastAsia="仿宋" w:cs="仿宋"/>
          <w:b/>
          <w:kern w:val="0"/>
          <w:sz w:val="44"/>
          <w:szCs w:val="44"/>
        </w:rPr>
        <w:t>更换电视塔1楼机房V</w:t>
      </w:r>
      <w:r>
        <w:rPr>
          <w:rFonts w:ascii="仿宋" w:hAnsi="仿宋" w:eastAsia="仿宋" w:cs="仿宋"/>
          <w:b/>
          <w:kern w:val="0"/>
          <w:sz w:val="44"/>
          <w:szCs w:val="44"/>
        </w:rPr>
        <w:t>RV</w:t>
      </w:r>
      <w:r>
        <w:rPr>
          <w:rFonts w:hint="eastAsia" w:ascii="仿宋" w:hAnsi="仿宋" w:eastAsia="仿宋" w:cs="仿宋"/>
          <w:b/>
          <w:kern w:val="0"/>
          <w:sz w:val="44"/>
          <w:szCs w:val="44"/>
        </w:rPr>
        <w:t>空调室外主机工程</w:t>
      </w:r>
    </w:p>
    <w:p>
      <w:pPr>
        <w:jc w:val="center"/>
        <w:rPr>
          <w:rFonts w:ascii="仿宋" w:hAnsi="仿宋" w:eastAsia="仿宋" w:cs="仿宋"/>
          <w:b/>
          <w:kern w:val="0"/>
          <w:sz w:val="44"/>
          <w:szCs w:val="44"/>
        </w:rPr>
      </w:pPr>
      <w:r>
        <w:rPr>
          <w:rFonts w:hint="eastAsia" w:ascii="仿宋" w:hAnsi="仿宋" w:eastAsia="仿宋" w:cs="仿宋"/>
          <w:b/>
          <w:kern w:val="0"/>
          <w:sz w:val="44"/>
          <w:szCs w:val="44"/>
        </w:rPr>
        <w:t>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spacing w:line="20" w:lineRule="atLeast"/>
        <w:ind w:firstLine="560" w:firstLineChars="200"/>
        <w:rPr>
          <w:rFonts w:ascii="仿宋" w:hAnsi="仿宋" w:eastAsia="仿宋" w:cs="仿宋"/>
          <w:b/>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b/>
          <w:sz w:val="28"/>
          <w:szCs w:val="28"/>
        </w:rPr>
        <w:t>项目简介</w:t>
      </w:r>
    </w:p>
    <w:p>
      <w:pPr>
        <w:ind w:firstLine="560" w:firstLineChars="200"/>
        <w:rPr>
          <w:rFonts w:ascii="仿宋" w:hAnsi="仿宋" w:eastAsia="仿宋" w:cs="仿宋"/>
          <w:sz w:val="28"/>
          <w:szCs w:val="28"/>
        </w:rPr>
      </w:pPr>
      <w:r>
        <w:rPr>
          <w:rFonts w:hint="eastAsia" w:ascii="仿宋" w:hAnsi="仿宋" w:eastAsia="仿宋" w:cs="仿宋"/>
          <w:sz w:val="28"/>
          <w:szCs w:val="28"/>
        </w:rPr>
        <w:t>本项目为</w:t>
      </w:r>
      <w:bookmarkStart w:id="0" w:name="_Hlk135732103"/>
      <w:r>
        <w:rPr>
          <w:rFonts w:hint="eastAsia" w:ascii="仿宋" w:hAnsi="仿宋" w:eastAsia="仿宋" w:cs="仿宋"/>
          <w:sz w:val="28"/>
          <w:szCs w:val="28"/>
        </w:rPr>
        <w:t>更换电视塔1楼机房V</w:t>
      </w:r>
      <w:r>
        <w:rPr>
          <w:rFonts w:ascii="仿宋" w:hAnsi="仿宋" w:eastAsia="仿宋" w:cs="仿宋"/>
          <w:sz w:val="28"/>
          <w:szCs w:val="28"/>
        </w:rPr>
        <w:t>RV</w:t>
      </w:r>
      <w:r>
        <w:rPr>
          <w:rFonts w:hint="eastAsia" w:ascii="仿宋" w:hAnsi="仿宋" w:eastAsia="仿宋" w:cs="仿宋"/>
          <w:sz w:val="28"/>
          <w:szCs w:val="28"/>
        </w:rPr>
        <w:t>空调室外主机工程</w:t>
      </w:r>
      <w:bookmarkEnd w:id="0"/>
      <w:r>
        <w:rPr>
          <w:rFonts w:hint="eastAsia" w:ascii="仿宋" w:hAnsi="仿宋" w:eastAsia="仿宋" w:cs="仿宋"/>
          <w:sz w:val="28"/>
          <w:szCs w:val="28"/>
        </w:rPr>
        <w:t>，主要包括更换电视塔1楼其中一组室外主机及相关联的铜管电源连接、系统调试等，详细要求及清单请见文件第二部分内容。该项目为交钥匙工程。</w:t>
      </w:r>
    </w:p>
    <w:p>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更换电视塔1楼机房V</w:t>
      </w:r>
      <w:r>
        <w:rPr>
          <w:rFonts w:ascii="仿宋" w:hAnsi="仿宋" w:eastAsia="仿宋" w:cs="仿宋"/>
          <w:sz w:val="28"/>
          <w:szCs w:val="28"/>
          <w:u w:val="single"/>
        </w:rPr>
        <w:t>RV</w:t>
      </w:r>
      <w:r>
        <w:rPr>
          <w:rFonts w:hint="eastAsia" w:ascii="仿宋" w:hAnsi="仿宋" w:eastAsia="仿宋" w:cs="仿宋"/>
          <w:sz w:val="28"/>
          <w:szCs w:val="28"/>
          <w:u w:val="single"/>
        </w:rPr>
        <w:t>空调室外主机工程</w:t>
      </w:r>
    </w:p>
    <w:p>
      <w:pPr>
        <w:pStyle w:val="2"/>
      </w:pPr>
      <w:r>
        <w:rPr>
          <w:rFonts w:hint="eastAsia" w:ascii="仿宋" w:hAnsi="仿宋" w:eastAsia="仿宋" w:cs="仿宋"/>
          <w:sz w:val="28"/>
          <w:szCs w:val="28"/>
        </w:rPr>
        <w:t xml:space="preserve">    施工地点：</w:t>
      </w:r>
      <w:r>
        <w:rPr>
          <w:rFonts w:hint="eastAsia" w:ascii="仿宋" w:hAnsi="仿宋" w:eastAsia="仿宋" w:cs="仿宋"/>
          <w:sz w:val="28"/>
          <w:szCs w:val="28"/>
          <w:u w:val="single"/>
        </w:rPr>
        <w:t>深圳市罗湖区东湖街道梧桐山小梧桐山顶电视塔1楼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rPr>
        <w:t xml:space="preserve"> </w:t>
      </w:r>
      <w:r>
        <w:rPr>
          <w:rFonts w:ascii="仿宋" w:hAnsi="仿宋" w:eastAsia="仿宋" w:cs="仿宋"/>
          <w:sz w:val="28"/>
          <w:szCs w:val="28"/>
          <w:u w:val="single"/>
        </w:rPr>
        <w:t>15.5</w:t>
      </w:r>
      <w:r>
        <w:rPr>
          <w:rFonts w:hint="eastAsia" w:ascii="仿宋" w:hAnsi="仿宋" w:eastAsia="仿宋" w:cs="仿宋"/>
          <w:sz w:val="28"/>
          <w:szCs w:val="28"/>
        </w:rPr>
        <w:t>万元，报价人所报总价不能高于最高限价，若高于最高限价将导致报价无效。</w:t>
      </w:r>
    </w:p>
    <w:p>
      <w:pPr>
        <w:pStyle w:val="2"/>
        <w:rPr>
          <w:rFonts w:ascii="仿宋" w:hAnsi="仿宋" w:eastAsia="仿宋" w:cs="仿宋"/>
          <w:sz w:val="28"/>
          <w:szCs w:val="28"/>
        </w:rPr>
      </w:pPr>
      <w:r>
        <w:rPr>
          <w:rFonts w:hint="eastAsia" w:ascii="仿宋" w:hAnsi="仿宋" w:eastAsia="仿宋" w:cs="仿宋"/>
          <w:sz w:val="28"/>
          <w:szCs w:val="28"/>
        </w:rPr>
        <w:t xml:space="preserve">    二、</w:t>
      </w:r>
      <w:r>
        <w:rPr>
          <w:rFonts w:hint="eastAsia" w:ascii="仿宋" w:hAnsi="仿宋" w:eastAsia="仿宋" w:cs="仿宋"/>
          <w:b/>
          <w:sz w:val="28"/>
          <w:szCs w:val="28"/>
        </w:rPr>
        <w:t>投标人资质：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应具备《中华人民共和国政府采购法》第二十二条规定的条件：</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bookmarkStart w:id="1" w:name="_Hlk107511169"/>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bookmarkEnd w:id="1"/>
      <w:r>
        <w:rPr>
          <w:rFonts w:hint="eastAsia" w:ascii="仿宋" w:hAnsi="仿宋" w:eastAsia="仿宋" w:cs="仿宋"/>
          <w:sz w:val="28"/>
          <w:szCs w:val="28"/>
          <w:lang w:val="hr-HR"/>
        </w:rPr>
        <w:t>;</w:t>
      </w:r>
    </w:p>
    <w:p>
      <w:pPr>
        <w:tabs>
          <w:tab w:val="left" w:pos="7740"/>
        </w:tabs>
        <w:autoSpaceDE w:val="0"/>
        <w:autoSpaceDN w:val="0"/>
        <w:spacing w:line="20" w:lineRule="atLeast"/>
        <w:ind w:firstLine="420" w:firstLineChars="200"/>
        <w:rPr>
          <w:rFonts w:ascii="仿宋" w:hAnsi="仿宋" w:eastAsia="仿宋" w:cs="仿宋"/>
          <w:sz w:val="28"/>
          <w:szCs w:val="28"/>
          <w:lang w:val="hr-HR"/>
        </w:rPr>
      </w:pPr>
      <w:r>
        <w:rPr>
          <w:rFonts w:hint="eastAsia"/>
          <w:lang w:val="hr-HR"/>
        </w:rPr>
        <w:t xml:space="preserve"> </w:t>
      </w:r>
      <w:r>
        <w:rPr>
          <w:rFonts w:hint="eastAsia" w:ascii="仿宋" w:hAnsi="仿宋" w:eastAsia="仿宋" w:cs="仿宋"/>
          <w:sz w:val="28"/>
          <w:szCs w:val="28"/>
        </w:rPr>
        <w:t>1.</w:t>
      </w:r>
      <w:r>
        <w:rPr>
          <w:rFonts w:ascii="仿宋" w:hAnsi="仿宋" w:eastAsia="仿宋" w:cs="仿宋"/>
          <w:sz w:val="28"/>
          <w:szCs w:val="28"/>
        </w:rPr>
        <w:t xml:space="preserve">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r>
        <w:rPr>
          <w:rFonts w:hint="eastAsia" w:ascii="仿宋" w:hAnsi="仿宋" w:eastAsia="仿宋" w:cs="仿宋"/>
          <w:sz w:val="28"/>
          <w:szCs w:val="28"/>
        </w:rPr>
        <w:t xml:space="preserve"> 有依法缴纳税收和社会保障资金的良好记录;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hr-HR"/>
        </w:rPr>
        <w:t>1</w:t>
      </w:r>
      <w:r>
        <w:rPr>
          <w:rFonts w:ascii="仿宋" w:hAnsi="仿宋" w:eastAsia="仿宋" w:cs="仿宋"/>
          <w:sz w:val="28"/>
          <w:szCs w:val="28"/>
          <w:lang w:val="hr-HR"/>
        </w:rPr>
        <w:t xml:space="preserve">.5 </w:t>
      </w:r>
      <w:r>
        <w:rPr>
          <w:rFonts w:hint="eastAsia" w:ascii="仿宋" w:hAnsi="仿宋" w:eastAsia="仿宋" w:cs="仿宋"/>
          <w:sz w:val="28"/>
          <w:szCs w:val="28"/>
          <w:lang w:val="hr-HR"/>
        </w:rPr>
        <w:t>具有设备制造商安装和销售认定证。</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6</w:t>
      </w:r>
      <w:r>
        <w:rPr>
          <w:rFonts w:hint="eastAsia" w:ascii="仿宋" w:hAnsi="仿宋" w:eastAsia="仿宋" w:cs="仿宋"/>
          <w:sz w:val="28"/>
          <w:szCs w:val="28"/>
        </w:rPr>
        <w:t>参加政府采购活动前三年内，在经营活动中没有重大违法记</w:t>
      </w:r>
      <w:r>
        <w:rPr>
          <w:rFonts w:hint="eastAsia" w:ascii="仿宋" w:hAnsi="仿宋" w:eastAsia="仿宋" w:cs="仿宋"/>
          <w:sz w:val="28"/>
          <w:szCs w:val="28"/>
          <w:lang w:val="hr-HR"/>
        </w:rPr>
        <w:t>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1.</w:t>
      </w:r>
      <w:r>
        <w:rPr>
          <w:rFonts w:ascii="仿宋" w:hAnsi="仿宋" w:eastAsia="仿宋" w:cs="仿宋"/>
          <w:sz w:val="28"/>
          <w:szCs w:val="28"/>
        </w:rPr>
        <w:t>7</w:t>
      </w:r>
      <w:r>
        <w:rPr>
          <w:rFonts w:hint="eastAsia" w:ascii="仿宋" w:hAnsi="仿宋" w:eastAsia="仿宋" w:cs="仿宋"/>
          <w:sz w:val="28"/>
          <w:szCs w:val="28"/>
          <w:lang w:val="hr-HR"/>
        </w:rPr>
        <w:t>法律、行政法规规定的其他条件。</w:t>
      </w:r>
    </w:p>
    <w:p>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营业执照副本、法定代表人/负责人资格证明书及授权委托书、纳税证明（复印件加盖公章）；</w:t>
      </w:r>
    </w:p>
    <w:p>
      <w:pPr>
        <w:numPr>
          <w:ilvl w:val="0"/>
          <w:numId w:val="1"/>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 xml:space="preserve">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投标文件中需提供“信用中国”信息报告。 </w:t>
      </w:r>
      <w:r>
        <w:rPr>
          <w:rFonts w:ascii="仿宋" w:hAnsi="仿宋" w:eastAsia="仿宋" w:cs="仿宋"/>
          <w:sz w:val="28"/>
          <w:szCs w:val="28"/>
          <w:lang w:val="hr-HR"/>
        </w:rPr>
        <w:t xml:space="preserve">  </w:t>
      </w:r>
    </w:p>
    <w:p>
      <w:pPr>
        <w:numPr>
          <w:ilvl w:val="0"/>
          <w:numId w:val="1"/>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tabs>
          <w:tab w:val="left" w:pos="7740"/>
        </w:tabs>
        <w:autoSpaceDE w:val="0"/>
        <w:autoSpaceDN w:val="0"/>
        <w:spacing w:line="2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w:t>
      </w:r>
      <w:r>
        <w:rPr>
          <w:rFonts w:hint="eastAsia" w:ascii="仿宋" w:hAnsi="仿宋" w:eastAsia="仿宋" w:cs="仿宋"/>
          <w:b/>
          <w:sz w:val="28"/>
          <w:szCs w:val="28"/>
          <w:lang w:val="zh-CN"/>
        </w:rPr>
        <w:t>现场踏勘(答疑会)时间、地点</w:t>
      </w:r>
      <w:r>
        <w:rPr>
          <w:rFonts w:hint="eastAsia" w:ascii="仿宋" w:hAnsi="仿宋" w:eastAsia="仿宋" w:cs="仿宋"/>
          <w:sz w:val="28"/>
          <w:szCs w:val="28"/>
          <w:lang w:val="zh-CN"/>
        </w:rPr>
        <w:t>：不组织踏勘现场，投标人可以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pPr>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b/>
          <w:sz w:val="28"/>
          <w:szCs w:val="28"/>
        </w:rPr>
        <w:t>评标方法</w:t>
      </w:r>
      <w:r>
        <w:rPr>
          <w:rFonts w:hint="eastAsia" w:ascii="仿宋" w:hAnsi="仿宋" w:eastAsia="仿宋" w:cs="仿宋"/>
          <w:sz w:val="28"/>
          <w:szCs w:val="28"/>
        </w:rPr>
        <w:t>：综合评分法</w:t>
      </w:r>
    </w:p>
    <w:p/>
    <w:p>
      <w:pPr>
        <w:numPr>
          <w:ilvl w:val="0"/>
          <w:numId w:val="2"/>
        </w:numPr>
        <w:jc w:val="center"/>
        <w:rPr>
          <w:rFonts w:ascii="仿宋" w:hAnsi="仿宋" w:eastAsia="仿宋" w:cs="仿宋"/>
          <w:b/>
          <w:sz w:val="28"/>
          <w:szCs w:val="28"/>
        </w:rPr>
      </w:pPr>
      <w:r>
        <w:rPr>
          <w:rFonts w:hint="eastAsia" w:ascii="仿宋" w:hAnsi="仿宋" w:eastAsia="仿宋" w:cs="仿宋"/>
          <w:b/>
          <w:sz w:val="28"/>
          <w:szCs w:val="28"/>
        </w:rPr>
        <w:t>项目要求及清单</w:t>
      </w:r>
    </w:p>
    <w:p>
      <w:pPr>
        <w:pStyle w:val="2"/>
        <w:ind w:firstLine="560" w:firstLineChars="200"/>
        <w:rPr>
          <w:rFonts w:ascii="仿宋" w:hAnsi="仿宋" w:eastAsia="仿宋" w:cs="仿宋"/>
          <w:sz w:val="28"/>
          <w:szCs w:val="28"/>
        </w:rPr>
      </w:pPr>
      <w:r>
        <w:rPr>
          <w:rFonts w:hint="eastAsia" w:ascii="仿宋" w:hAnsi="仿宋" w:eastAsia="仿宋" w:cs="仿宋"/>
          <w:sz w:val="28"/>
          <w:szCs w:val="28"/>
          <w:lang w:val="zh-CN"/>
        </w:rPr>
        <w:t>一、</w:t>
      </w:r>
      <w:r>
        <w:rPr>
          <w:rFonts w:hint="eastAsia" w:ascii="仿宋" w:hAnsi="仿宋" w:eastAsia="仿宋" w:cs="仿宋"/>
          <w:b/>
          <w:sz w:val="28"/>
          <w:szCs w:val="28"/>
        </w:rPr>
        <w:t>项目要求</w:t>
      </w:r>
    </w:p>
    <w:p>
      <w:pPr>
        <w:pStyle w:val="26"/>
        <w:spacing w:line="276" w:lineRule="auto"/>
        <w:ind w:firstLine="560"/>
        <w:rPr>
          <w:rFonts w:ascii="仿宋" w:hAnsi="仿宋" w:eastAsia="仿宋" w:cstheme="minorEastAsia"/>
          <w:sz w:val="28"/>
          <w:szCs w:val="28"/>
        </w:rPr>
      </w:pPr>
      <w:r>
        <w:rPr>
          <w:rFonts w:hint="eastAsia" w:ascii="仿宋" w:hAnsi="仿宋" w:eastAsia="仿宋" w:cs="仿宋"/>
          <w:sz w:val="28"/>
          <w:szCs w:val="28"/>
          <w:lang w:val="zh-CN"/>
        </w:rPr>
        <w:t>1、</w:t>
      </w:r>
      <w:r>
        <w:rPr>
          <w:rFonts w:hint="eastAsia" w:ascii="仿宋" w:hAnsi="仿宋" w:eastAsia="仿宋" w:cs="仿宋"/>
          <w:sz w:val="28"/>
          <w:szCs w:val="28"/>
        </w:rPr>
        <w:t>本项目为</w:t>
      </w:r>
      <w:bookmarkStart w:id="2" w:name="_Hlk135732677"/>
      <w:r>
        <w:rPr>
          <w:rFonts w:hint="eastAsia" w:ascii="仿宋" w:hAnsi="仿宋" w:eastAsia="仿宋" w:cs="仿宋"/>
          <w:sz w:val="28"/>
          <w:szCs w:val="28"/>
        </w:rPr>
        <w:t>更换电视塔1楼机房V</w:t>
      </w:r>
      <w:r>
        <w:rPr>
          <w:rFonts w:ascii="仿宋" w:hAnsi="仿宋" w:eastAsia="仿宋" w:cs="仿宋"/>
          <w:sz w:val="28"/>
          <w:szCs w:val="28"/>
        </w:rPr>
        <w:t>RV</w:t>
      </w:r>
      <w:r>
        <w:rPr>
          <w:rFonts w:hint="eastAsia" w:ascii="仿宋" w:hAnsi="仿宋" w:eastAsia="仿宋" w:cs="仿宋"/>
          <w:sz w:val="28"/>
          <w:szCs w:val="28"/>
        </w:rPr>
        <w:t>空调室外主机工程</w:t>
      </w:r>
      <w:bookmarkEnd w:id="2"/>
      <w:r>
        <w:rPr>
          <w:rFonts w:hint="eastAsia" w:ascii="仿宋" w:hAnsi="仿宋" w:eastAsia="仿宋" w:cs="仿宋"/>
          <w:sz w:val="28"/>
          <w:szCs w:val="28"/>
        </w:rPr>
        <w:t>，原</w:t>
      </w:r>
      <w:r>
        <w:rPr>
          <w:rFonts w:hint="eastAsia" w:ascii="仿宋" w:hAnsi="仿宋" w:eastAsia="仿宋" w:cstheme="minorEastAsia"/>
          <w:sz w:val="28"/>
          <w:szCs w:val="28"/>
        </w:rPr>
        <w:t>空调系统是大金VRVII（多联机）系列产品,现已经连续运行1</w:t>
      </w:r>
      <w:r>
        <w:rPr>
          <w:rFonts w:ascii="仿宋" w:hAnsi="仿宋" w:eastAsia="仿宋" w:cstheme="minorEastAsia"/>
          <w:sz w:val="28"/>
          <w:szCs w:val="28"/>
        </w:rPr>
        <w:t>7</w:t>
      </w:r>
      <w:r>
        <w:rPr>
          <w:rFonts w:hint="eastAsia" w:ascii="仿宋" w:hAnsi="仿宋" w:eastAsia="仿宋" w:cstheme="minorEastAsia"/>
          <w:sz w:val="28"/>
          <w:szCs w:val="28"/>
        </w:rPr>
        <w:t>年之久，机房空调系统每天24小时不间断运行，而且因梧桐山山顶空气潮湿，设备</w:t>
      </w:r>
      <w:r>
        <w:rPr>
          <w:rFonts w:hint="eastAsia" w:ascii="仿宋" w:hAnsi="仿宋" w:eastAsia="仿宋"/>
          <w:sz w:val="28"/>
          <w:szCs w:val="28"/>
        </w:rPr>
        <w:t>老化严重，零部件性能明显下降，导致空调系统运行效率降低、能耗高、故障率偏高。鉴于本空调设备用于重要机房降温散热，经评估在保留原有系统设施设备基础上，拟对这套系统主机进行升级更换。投标人必须承诺更换主机后确保和原有系统形成一套达到设备各项技术参数指标和正常运转的完整系统作为验收条件，招标人并对此拥有最终解释权。</w:t>
      </w:r>
      <w:r>
        <w:rPr>
          <w:rFonts w:ascii="仿宋" w:hAnsi="仿宋" w:eastAsia="仿宋" w:cstheme="minorEastAsia"/>
          <w:sz w:val="28"/>
          <w:szCs w:val="28"/>
        </w:rPr>
        <w:t xml:space="preserve"> </w:t>
      </w:r>
      <w:r>
        <w:rPr>
          <w:rFonts w:hint="eastAsia" w:ascii="仿宋" w:hAnsi="仿宋" w:eastAsia="仿宋" w:cs="仿宋"/>
          <w:sz w:val="28"/>
          <w:szCs w:val="28"/>
        </w:rPr>
        <w:t>设备具体要求见项目清单。</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2、本次招标以满足本项目建设需要为主要目的，包括但不限于：工程相关材料供货及安装、系统调试、验收等。本项目费用包括所有前期费用、材料、辅材、安装、调试、人工、防护、垃圾清运等所有费用。</w:t>
      </w:r>
    </w:p>
    <w:p>
      <w:pPr>
        <w:adjustRightInd w:val="0"/>
        <w:snapToGrid w:val="0"/>
        <w:spacing w:line="5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、投标方承担本项目全部安全作业责任。投标方承担本项目作业人员的所有国家法律法规规定的各项保险和其他费用，此费用已包含在本项目投标费用内。</w:t>
      </w:r>
    </w:p>
    <w:p>
      <w:pPr>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w:t>
      </w:r>
      <w:r>
        <w:rPr>
          <w:rFonts w:hint="eastAsia" w:ascii="仿宋" w:hAnsi="仿宋" w:eastAsia="仿宋" w:cs="仿宋"/>
          <w:b/>
          <w:sz w:val="28"/>
          <w:szCs w:val="28"/>
          <w:lang w:val="zh-CN"/>
        </w:rPr>
        <w:t>项目清单</w:t>
      </w:r>
    </w:p>
    <w:tbl>
      <w:tblPr>
        <w:tblStyle w:val="9"/>
        <w:tblW w:w="9209" w:type="dxa"/>
        <w:tblInd w:w="0" w:type="dxa"/>
        <w:tblLayout w:type="autofit"/>
        <w:tblCellMar>
          <w:top w:w="0" w:type="dxa"/>
          <w:left w:w="0" w:type="dxa"/>
          <w:bottom w:w="0" w:type="dxa"/>
          <w:right w:w="0" w:type="dxa"/>
        </w:tblCellMar>
      </w:tblPr>
      <w:tblGrid>
        <w:gridCol w:w="1950"/>
        <w:gridCol w:w="1412"/>
        <w:gridCol w:w="1028"/>
        <w:gridCol w:w="992"/>
        <w:gridCol w:w="1276"/>
        <w:gridCol w:w="1417"/>
        <w:gridCol w:w="1134"/>
      </w:tblGrid>
      <w:tr>
        <w:tblPrEx>
          <w:tblCellMar>
            <w:top w:w="0" w:type="dxa"/>
            <w:left w:w="0" w:type="dxa"/>
            <w:bottom w:w="0" w:type="dxa"/>
            <w:right w:w="0" w:type="dxa"/>
          </w:tblCellMar>
        </w:tblPrEx>
        <w:trPr>
          <w:trHeight w:val="594"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规格型号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单价（元）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0" w:type="dxa"/>
            <w:bottom w:w="0" w:type="dxa"/>
            <w:right w:w="0" w:type="dxa"/>
          </w:tblCellMar>
        </w:tblPrEx>
        <w:trPr>
          <w:trHeight w:val="312" w:hRule="atLeast"/>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VRV空调主机更换改造工程</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RQ</w:t>
            </w:r>
            <w:r>
              <w:rPr>
                <w:rStyle w:val="27"/>
                <w:rFonts w:hint="default"/>
                <w:lang w:bidi="ar"/>
              </w:rPr>
              <w:t>XYQ28BA</w:t>
            </w: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详见下表</w:t>
            </w:r>
          </w:p>
        </w:tc>
      </w:tr>
      <w:tr>
        <w:tblPrEx>
          <w:tblCellMar>
            <w:top w:w="0" w:type="dxa"/>
            <w:left w:w="0" w:type="dxa"/>
            <w:bottom w:w="0" w:type="dxa"/>
            <w:right w:w="0" w:type="dxa"/>
          </w:tblCellMar>
        </w:tblPrEx>
        <w:trPr>
          <w:trHeight w:val="312" w:hRule="atLeast"/>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pStyle w:val="26"/>
        <w:spacing w:line="276" w:lineRule="auto"/>
        <w:ind w:firstLine="0" w:firstLineChars="0"/>
        <w:rPr>
          <w:rFonts w:asciiTheme="minorEastAsia" w:hAnsiTheme="minorEastAsia" w:eastAsiaTheme="minorEastAsia" w:cstheme="minorEastAsia"/>
          <w:b/>
          <w:sz w:val="32"/>
          <w:szCs w:val="32"/>
        </w:rPr>
      </w:pPr>
    </w:p>
    <w:p>
      <w:pPr>
        <w:pStyle w:val="26"/>
        <w:spacing w:line="276" w:lineRule="auto"/>
        <w:ind w:firstLine="0" w:firstLineChars="0"/>
        <w:jc w:val="center"/>
        <w:rPr>
          <w:rFonts w:asciiTheme="minorEastAsia" w:hAnsiTheme="minorEastAsia" w:eastAsiaTheme="minorEastAsia" w:cstheme="minorEastAsia"/>
          <w:b/>
          <w:bCs/>
        </w:rPr>
      </w:pPr>
      <w:r>
        <w:rPr>
          <w:rFonts w:hint="eastAsia" w:ascii="仿宋" w:hAnsi="仿宋" w:eastAsia="仿宋" w:cs="仿宋"/>
          <w:b/>
          <w:bCs/>
          <w:sz w:val="28"/>
          <w:szCs w:val="28"/>
        </w:rPr>
        <w:t>更换电视塔1楼机房V</w:t>
      </w:r>
      <w:r>
        <w:rPr>
          <w:rFonts w:ascii="仿宋" w:hAnsi="仿宋" w:eastAsia="仿宋" w:cs="仿宋"/>
          <w:b/>
          <w:bCs/>
          <w:sz w:val="28"/>
          <w:szCs w:val="28"/>
        </w:rPr>
        <w:t>RV</w:t>
      </w:r>
      <w:r>
        <w:rPr>
          <w:rFonts w:hint="eastAsia" w:ascii="仿宋" w:hAnsi="仿宋" w:eastAsia="仿宋" w:cs="仿宋"/>
          <w:b/>
          <w:bCs/>
          <w:sz w:val="28"/>
          <w:szCs w:val="28"/>
        </w:rPr>
        <w:t>空调室外主机工程项目清单</w:t>
      </w:r>
    </w:p>
    <w:tbl>
      <w:tblPr>
        <w:tblStyle w:val="9"/>
        <w:tblW w:w="8784" w:type="dxa"/>
        <w:tblInd w:w="0" w:type="dxa"/>
        <w:tblLayout w:type="fixed"/>
        <w:tblCellMar>
          <w:top w:w="0" w:type="dxa"/>
          <w:left w:w="0" w:type="dxa"/>
          <w:bottom w:w="0" w:type="dxa"/>
          <w:right w:w="0" w:type="dxa"/>
        </w:tblCellMar>
      </w:tblPr>
      <w:tblGrid>
        <w:gridCol w:w="645"/>
        <w:gridCol w:w="3247"/>
        <w:gridCol w:w="1009"/>
        <w:gridCol w:w="818"/>
        <w:gridCol w:w="1222"/>
        <w:gridCol w:w="851"/>
        <w:gridCol w:w="992"/>
      </w:tblGrid>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3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内         容</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综合单价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 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一</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设备采购</w:t>
            </w: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室外机 RQXYQ12BA</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室外机 RQXYQ16BA</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        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二</w:t>
            </w:r>
          </w:p>
        </w:tc>
        <w:tc>
          <w:tcPr>
            <w:tcW w:w="813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旧设备拆除及新设备安装调试</w:t>
            </w: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旧设备保护性拆</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旧设备二次搬运</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铜管、保温、电线</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主机基础调整</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新设备二次搬运及安装</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主管分歧器及变径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室外机电缆线YZV-5*25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米</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PVC水管及管件（Φ50）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原系统铜管管路吹洗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铜管试压及保压</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铜管干燥、抽真空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专用R410A环保冷媒</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kg</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系统调试</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不锈钢支架托架及螺丝等辅料</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3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垃圾清理及成品保护</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r>
    </w:tbl>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rPr>
      </w:pPr>
    </w:p>
    <w:p>
      <w:pPr>
        <w:rPr>
          <w:rFonts w:ascii="仿宋" w:hAnsi="仿宋" w:eastAsia="仿宋"/>
          <w:sz w:val="28"/>
          <w:szCs w:val="28"/>
        </w:rPr>
      </w:pPr>
    </w:p>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zh-CN"/>
        </w:rPr>
        <w:t>主要设备技术参数和要求</w:t>
      </w:r>
      <w:r>
        <w:rPr>
          <w:rFonts w:hint="eastAsia" w:hAnsi="宋体"/>
        </w:rPr>
        <w:t>▲</w:t>
      </w:r>
    </w:p>
    <w:tbl>
      <w:tblPr>
        <w:tblStyle w:val="9"/>
        <w:tblW w:w="911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271"/>
        <w:gridCol w:w="993"/>
        <w:gridCol w:w="26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70" w:type="dxa"/>
            <w:vAlign w:val="center"/>
          </w:tcPr>
          <w:p>
            <w:pPr>
              <w:pStyle w:val="26"/>
              <w:spacing w:line="360" w:lineRule="auto"/>
              <w:ind w:firstLine="0" w:firstLineChars="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系统</w:t>
            </w:r>
          </w:p>
        </w:tc>
        <w:tc>
          <w:tcPr>
            <w:tcW w:w="3271" w:type="dxa"/>
            <w:vAlign w:val="center"/>
          </w:tcPr>
          <w:p>
            <w:pPr>
              <w:pStyle w:val="26"/>
              <w:spacing w:line="360" w:lineRule="auto"/>
              <w:ind w:firstLine="0" w:firstLineChars="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原室外机型号</w:t>
            </w:r>
          </w:p>
        </w:tc>
        <w:tc>
          <w:tcPr>
            <w:tcW w:w="993" w:type="dxa"/>
            <w:vAlign w:val="center"/>
          </w:tcPr>
          <w:p>
            <w:pPr>
              <w:pStyle w:val="26"/>
              <w:spacing w:line="360" w:lineRule="auto"/>
              <w:ind w:firstLine="0" w:firstLineChars="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数量</w:t>
            </w:r>
          </w:p>
        </w:tc>
        <w:tc>
          <w:tcPr>
            <w:tcW w:w="2693" w:type="dxa"/>
            <w:vAlign w:val="center"/>
          </w:tcPr>
          <w:p>
            <w:pPr>
              <w:pStyle w:val="26"/>
              <w:spacing w:line="360" w:lineRule="auto"/>
              <w:ind w:firstLine="0" w:firstLineChars="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改造后室外机型号</w:t>
            </w:r>
          </w:p>
        </w:tc>
        <w:tc>
          <w:tcPr>
            <w:tcW w:w="992" w:type="dxa"/>
            <w:vAlign w:val="center"/>
          </w:tcPr>
          <w:p>
            <w:pPr>
              <w:pStyle w:val="26"/>
              <w:spacing w:line="360" w:lineRule="auto"/>
              <w:ind w:firstLine="0" w:firstLineChars="0"/>
              <w:jc w:val="center"/>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rPr>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Theme="minorEastAsia" w:hAnsiTheme="minorEastAsia" w:eastAsiaTheme="minorEastAsia" w:cstheme="minorEastAsia"/>
                <w:color w:val="000000"/>
                <w:sz w:val="24"/>
              </w:rPr>
            </w:pPr>
            <w:r>
              <w:rPr>
                <w:rFonts w:hint="eastAsia" w:ascii="宋体" w:hAnsi="宋体"/>
                <w:szCs w:val="21"/>
              </w:rPr>
              <w:t>▲</w:t>
            </w:r>
          </w:p>
        </w:tc>
        <w:tc>
          <w:tcPr>
            <w:tcW w:w="32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RCXYQ28MAY1</w:t>
            </w:r>
          </w:p>
          <w:p>
            <w:pPr>
              <w:widowControl/>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（RCXYQ12MAY1+RCXYQ16MAY1）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1套</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RQXYQ28BA</w:t>
            </w:r>
          </w:p>
          <w:p>
            <w:pPr>
              <w:widowControl/>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24"/>
              </w:rPr>
              <w:t>（RQXYQ12BA+RQXYQ16BA）</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1套</w:t>
            </w:r>
          </w:p>
        </w:tc>
      </w:tr>
    </w:tbl>
    <w:p>
      <w:pPr>
        <w:pStyle w:val="26"/>
        <w:spacing w:line="276" w:lineRule="auto"/>
        <w:ind w:firstLine="0" w:firstLineChars="0"/>
        <w:rPr>
          <w:rFonts w:asciiTheme="minorEastAsia" w:hAnsiTheme="minorEastAsia" w:eastAsiaTheme="minorEastAsia" w:cstheme="minorEastAsia"/>
          <w:b/>
        </w:rPr>
      </w:pPr>
    </w:p>
    <w:p>
      <w:pPr>
        <w:pStyle w:val="26"/>
        <w:spacing w:line="276" w:lineRule="auto"/>
        <w:ind w:firstLine="0" w:firstLineChars="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空调主机技术参数表</w:t>
      </w:r>
    </w:p>
    <w:tbl>
      <w:tblPr>
        <w:tblStyle w:val="10"/>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423"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型号</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RQXYQ28BA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匹数(HP)</w:t>
            </w:r>
            <w:r>
              <w:rPr>
                <w:rFonts w:hint="eastAsia"/>
                <w:szCs w:val="21"/>
              </w:rPr>
              <w:t xml:space="preserve"> ▲</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组合方式</w:t>
            </w:r>
            <w:r>
              <w:rPr>
                <w:rFonts w:hint="eastAsia"/>
                <w:szCs w:val="21"/>
              </w:rPr>
              <w:t>▲</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RQXYQ12BA+RQXYQ16BA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电源</w:t>
            </w:r>
            <w:r>
              <w:rPr>
                <w:rFonts w:hint="eastAsia"/>
                <w:szCs w:val="21"/>
              </w:rPr>
              <w:t>▲</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三相 50Hz 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额定制冷/制热容量(kW)</w:t>
            </w:r>
            <w:r>
              <w:rPr>
                <w:rFonts w:hint="eastAsia"/>
                <w:szCs w:val="21"/>
              </w:rPr>
              <w:t xml:space="preserve"> ▲</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78.5/87.5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额定耗电量(制冷/制热)(kW)</w:t>
            </w:r>
            <w:r>
              <w:rPr>
                <w:rFonts w:hint="eastAsia"/>
                <w:szCs w:val="21"/>
              </w:rPr>
              <w:t xml:space="preserve"> ▲</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19.9/20.6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机器尺寸(H×W×D)(mm)</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(1657*930*765)+(1657*1240*765)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风扇风量(m³/min)</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185+280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机外静压</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110Pa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配管尺寸(mm)</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Ф19.1/31.8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运转音(dB)</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重量(kg)</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240+335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冷媒</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R410A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运转范围 (制冷/制热)</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-15℃DB-54℃DB/-25℃WB-15.5℃WB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pStyle w:val="26"/>
              <w:spacing w:line="276" w:lineRule="auto"/>
              <w:ind w:firstLine="0" w:firstLineChars="0"/>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最大熔丝电流(A)/最小线路电流(A)</w:t>
            </w:r>
          </w:p>
        </w:tc>
        <w:tc>
          <w:tcPr>
            <w:tcW w:w="3969" w:type="dxa"/>
          </w:tcPr>
          <w:p>
            <w:pPr>
              <w:pStyle w:val="26"/>
              <w:spacing w:line="276" w:lineRule="auto"/>
              <w:ind w:firstLine="0" w:firstLineChars="0"/>
              <w:jc w:val="center"/>
              <w:rPr>
                <w:rFonts w:asciiTheme="minorEastAsia" w:hAnsiTheme="minorEastAsia" w:eastAsiaTheme="minorEastAsia" w:cstheme="minorEastAsia"/>
                <w:bCs/>
                <w:szCs w:val="22"/>
              </w:rPr>
            </w:pPr>
            <w:r>
              <w:rPr>
                <w:rFonts w:hint="eastAsia" w:asciiTheme="minorEastAsia" w:hAnsiTheme="minorEastAsia" w:eastAsiaTheme="minorEastAsia" w:cstheme="minorEastAsia"/>
                <w:bCs/>
                <w:szCs w:val="22"/>
              </w:rPr>
              <w:t>63/46.1</w:t>
            </w:r>
          </w:p>
        </w:tc>
      </w:tr>
    </w:tbl>
    <w:p>
      <w:pPr>
        <w:pStyle w:val="26"/>
        <w:spacing w:line="276" w:lineRule="auto"/>
        <w:ind w:firstLine="0" w:firstLineChars="0"/>
        <w:jc w:val="center"/>
        <w:rPr>
          <w:rFonts w:asciiTheme="minorEastAsia" w:hAnsiTheme="minorEastAsia" w:eastAsiaTheme="minorEastAsia" w:cstheme="minorEastAsia"/>
          <w:b/>
          <w:sz w:val="36"/>
          <w:szCs w:val="36"/>
        </w:rPr>
      </w:pPr>
    </w:p>
    <w:p>
      <w:pPr>
        <w:spacing w:before="156" w:beforeLines="50"/>
        <w:rPr>
          <w:rFonts w:asciiTheme="minorEastAsia" w:hAnsiTheme="minorEastAsia" w:eastAsiaTheme="minorEastAsia" w:cstheme="minorEastAsia"/>
        </w:rPr>
      </w:pPr>
    </w:p>
    <w:p>
      <w:pPr>
        <w:rPr>
          <w:lang w:val="zh-CN"/>
        </w:rPr>
      </w:pPr>
    </w:p>
    <w:p>
      <w:pPr>
        <w:pStyle w:val="5"/>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第四部分  </w:t>
      </w:r>
      <w:r>
        <w:rPr>
          <w:rFonts w:hint="eastAsia" w:ascii="仿宋" w:hAnsi="仿宋" w:eastAsia="仿宋" w:cs="仿宋"/>
          <w:b/>
          <w:bCs/>
          <w:sz w:val="28"/>
          <w:szCs w:val="28"/>
          <w:lang w:val="zh-CN"/>
        </w:rPr>
        <w:t>采购项目商务要求</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一、交货期限：签订合同起</w:t>
      </w:r>
      <w:r>
        <w:rPr>
          <w:rFonts w:ascii="仿宋" w:hAnsi="仿宋" w:eastAsia="仿宋" w:cs="仿宋"/>
          <w:sz w:val="28"/>
          <w:szCs w:val="28"/>
        </w:rPr>
        <w:t>30</w:t>
      </w:r>
      <w:r>
        <w:rPr>
          <w:rFonts w:hint="eastAsia" w:ascii="仿宋" w:hAnsi="仿宋" w:eastAsia="仿宋" w:cs="仿宋"/>
          <w:sz w:val="28"/>
          <w:szCs w:val="28"/>
        </w:rPr>
        <w:t>个日历天交货到采购单位指定地点并完成施工。</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二、保修期（含保修期服务要求）：</w:t>
      </w:r>
      <w:r>
        <w:rPr>
          <w:rFonts w:ascii="仿宋" w:hAnsi="仿宋" w:eastAsia="仿宋" w:cs="仿宋"/>
          <w:sz w:val="28"/>
          <w:szCs w:val="28"/>
        </w:rPr>
        <w:t>2</w:t>
      </w:r>
      <w:r>
        <w:rPr>
          <w:rFonts w:hint="eastAsia" w:ascii="仿宋" w:hAnsi="仿宋" w:eastAsia="仿宋" w:cs="仿宋"/>
          <w:sz w:val="28"/>
          <w:szCs w:val="28"/>
        </w:rPr>
        <w:t>年或以上。</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三、采购单位将自投标人履行完合同义务之日起10个工作日内组织验收。</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四、付款方式：合同签订之日起10个工作日内，采购单位向中标方支付合同总价款的</w:t>
      </w:r>
      <w:r>
        <w:rPr>
          <w:rFonts w:ascii="仿宋" w:hAnsi="仿宋" w:eastAsia="仿宋" w:cs="仿宋"/>
          <w:sz w:val="28"/>
          <w:szCs w:val="28"/>
        </w:rPr>
        <w:t>5</w:t>
      </w:r>
      <w:r>
        <w:rPr>
          <w:rFonts w:hint="eastAsia" w:ascii="仿宋" w:hAnsi="仿宋" w:eastAsia="仿宋" w:cs="仿宋"/>
          <w:sz w:val="28"/>
          <w:szCs w:val="28"/>
        </w:rPr>
        <w:t>0%作为工程备料款；项目竣工验收后15个工作日内，采购单位向中标方支付合同余款。</w:t>
      </w:r>
    </w:p>
    <w:p>
      <w:pPr>
        <w:tabs>
          <w:tab w:val="left" w:pos="7740"/>
        </w:tabs>
        <w:autoSpaceDE w:val="0"/>
        <w:autoSpaceDN w:val="0"/>
        <w:spacing w:line="360" w:lineRule="auto"/>
        <w:ind w:firstLine="560" w:firstLineChars="200"/>
        <w:rPr>
          <w:rFonts w:ascii="仿宋" w:hAnsi="仿宋" w:eastAsia="仿宋" w:cs="仿宋"/>
          <w:sz w:val="28"/>
          <w:szCs w:val="28"/>
        </w:rPr>
      </w:pPr>
    </w:p>
    <w:p>
      <w:pPr>
        <w:pStyle w:val="2"/>
      </w:pPr>
    </w:p>
    <w:p>
      <w:pPr>
        <w:pStyle w:val="2"/>
        <w:rPr>
          <w:rFonts w:hint="eastAsia"/>
        </w:rPr>
      </w:pPr>
    </w:p>
    <w:p>
      <w:pPr>
        <w:jc w:val="center"/>
        <w:rPr>
          <w:rFonts w:ascii="仿宋" w:hAnsi="仿宋" w:eastAsia="仿宋" w:cs="仿宋"/>
          <w:b/>
          <w:sz w:val="28"/>
          <w:szCs w:val="28"/>
          <w:lang w:val="zh-CN"/>
        </w:rPr>
      </w:pPr>
      <w:r>
        <w:rPr>
          <w:rFonts w:hint="eastAsia" w:ascii="仿宋" w:hAnsi="仿宋" w:eastAsia="仿宋" w:cs="仿宋"/>
          <w:b/>
          <w:bCs/>
          <w:sz w:val="28"/>
          <w:szCs w:val="28"/>
        </w:rPr>
        <w:t>第五部分  投标人须知</w:t>
      </w:r>
    </w:p>
    <w:p>
      <w:pPr>
        <w:tabs>
          <w:tab w:val="left" w:pos="7740"/>
        </w:tabs>
        <w:autoSpaceDE w:val="0"/>
        <w:autoSpaceDN w:val="0"/>
        <w:ind w:left="420" w:leftChars="200" w:right="34"/>
        <w:rPr>
          <w:rFonts w:ascii="仿宋" w:hAnsi="仿宋" w:eastAsia="仿宋" w:cs="仿宋"/>
          <w:bCs/>
          <w:sz w:val="28"/>
          <w:szCs w:val="28"/>
        </w:rPr>
      </w:pPr>
      <w:r>
        <w:rPr>
          <w:rFonts w:hint="eastAsia" w:ascii="仿宋" w:hAnsi="仿宋" w:eastAsia="仿宋" w:cs="仿宋"/>
          <w:bCs/>
          <w:sz w:val="28"/>
          <w:szCs w:val="28"/>
        </w:rPr>
        <w:t>一、投标文件的递交</w:t>
      </w:r>
    </w:p>
    <w:p>
      <w:pPr>
        <w:tabs>
          <w:tab w:val="left" w:pos="7740"/>
        </w:tabs>
        <w:autoSpaceDE w:val="0"/>
        <w:autoSpaceDN w:val="0"/>
        <w:ind w:right="34" w:firstLine="560" w:firstLineChars="200"/>
        <w:rPr>
          <w:rFonts w:ascii="仿宋" w:hAnsi="仿宋" w:eastAsia="仿宋" w:cs="仿宋"/>
          <w:bCs/>
          <w:sz w:val="28"/>
          <w:szCs w:val="28"/>
        </w:rPr>
      </w:pPr>
      <w:r>
        <w:rPr>
          <w:rFonts w:hint="eastAsia" w:ascii="仿宋" w:hAnsi="仿宋" w:eastAsia="仿宋" w:cs="仿宋"/>
          <w:bCs/>
          <w:sz w:val="28"/>
          <w:szCs w:val="28"/>
        </w:rPr>
        <w:t>1. 投标文件应进行包装、加贴封条。一式五份（正本1份、副本4份），外包装上应当注明采购项目名称、注明“在规定的开标日期和时点之前不得启封”的字样，封口处应加盖投标人印章。</w:t>
      </w:r>
    </w:p>
    <w:p>
      <w:pPr>
        <w:tabs>
          <w:tab w:val="left" w:pos="7740"/>
        </w:tabs>
        <w:autoSpaceDE w:val="0"/>
        <w:autoSpaceDN w:val="0"/>
        <w:ind w:right="34" w:firstLine="560" w:firstLine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ind w:right="34" w:firstLine="560" w:firstLine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5"/>
        <w:tabs>
          <w:tab w:val="left" w:pos="7740"/>
        </w:tabs>
        <w:adjustRightInd w:val="0"/>
        <w:ind w:firstLine="560" w:firstLineChars="200"/>
        <w:rPr>
          <w:rFonts w:ascii="仿宋" w:hAnsi="仿宋" w:eastAsia="仿宋" w:cs="仿宋"/>
          <w:bCs/>
          <w:sz w:val="28"/>
          <w:szCs w:val="28"/>
        </w:rPr>
      </w:pPr>
      <w:r>
        <w:rPr>
          <w:rFonts w:hint="eastAsia" w:ascii="仿宋" w:hAnsi="仿宋" w:eastAsia="仿宋" w:cs="仿宋"/>
          <w:bCs/>
          <w:sz w:val="28"/>
          <w:szCs w:val="28"/>
        </w:rPr>
        <w:t>二、开标与评标</w:t>
      </w:r>
    </w:p>
    <w:p>
      <w:pPr>
        <w:tabs>
          <w:tab w:val="left" w:pos="7740"/>
        </w:tabs>
        <w:autoSpaceDE w:val="0"/>
        <w:autoSpaceDN w:val="0"/>
        <w:adjustRightInd w:val="0"/>
        <w:ind w:right="32" w:firstLine="560" w:firstLineChars="200"/>
        <w:rPr>
          <w:rFonts w:ascii="仿宋" w:hAnsi="仿宋" w:eastAsia="仿宋" w:cs="仿宋"/>
          <w:bCs/>
          <w:sz w:val="28"/>
          <w:szCs w:val="28"/>
        </w:rPr>
      </w:pPr>
      <w:r>
        <w:rPr>
          <w:rFonts w:hint="eastAsia" w:ascii="仿宋" w:hAnsi="仿宋" w:eastAsia="仿宋" w:cs="仿宋"/>
          <w:bCs/>
          <w:sz w:val="28"/>
          <w:szCs w:val="28"/>
        </w:rPr>
        <w:t>1. 采购人在规定的日期、时间和地点组织公开开标。</w:t>
      </w:r>
    </w:p>
    <w:p>
      <w:pPr>
        <w:tabs>
          <w:tab w:val="left" w:pos="7740"/>
        </w:tabs>
        <w:autoSpaceDE w:val="0"/>
        <w:autoSpaceDN w:val="0"/>
        <w:adjustRightInd w:val="0"/>
        <w:ind w:right="32" w:firstLine="560" w:firstLine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ind w:right="32" w:firstLine="560" w:firstLine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4"/>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第六部分  评标方法、步骤及标准</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根据《中华人民共和国政府采购法》、《中华人民共和国招标投标法》的相关规定确定以下评标方法、步骤及</w:t>
      </w:r>
      <w:bookmarkStart w:id="8" w:name="_GoBack"/>
      <w:bookmarkEnd w:id="8"/>
      <w:r>
        <w:rPr>
          <w:rFonts w:hint="eastAsia" w:ascii="仿宋" w:hAnsi="仿宋" w:eastAsia="仿宋" w:cs="仿宋"/>
          <w:sz w:val="28"/>
          <w:szCs w:val="28"/>
        </w:rPr>
        <w:t>标准：</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一、评标方法</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2.本次评标是以招标文件为依据，按公正、科学、客观、平等竞争的要求，推荐有技术实力、报价合理、经验丰富、信誉良好、售后服务好以及综合实力强的中标人。</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二、评标步骤</w:t>
      </w:r>
    </w:p>
    <w:p>
      <w:pPr>
        <w:pStyle w:val="4"/>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三、评分及其统计</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68"/>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评分项目</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技术部分</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商务部分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分数分配</w:t>
            </w:r>
          </w:p>
        </w:tc>
        <w:tc>
          <w:tcPr>
            <w:tcW w:w="2268" w:type="dxa"/>
            <w:tcBorders>
              <w:top w:val="single" w:color="auto" w:sz="4" w:space="0"/>
              <w:left w:val="single" w:color="auto" w:sz="4" w:space="0"/>
              <w:bottom w:val="single" w:color="auto" w:sz="4" w:space="0"/>
              <w:right w:val="single" w:color="auto" w:sz="4" w:space="0"/>
            </w:tcBorders>
            <w:vAlign w:val="center"/>
          </w:tcPr>
          <w:p>
            <w:pPr>
              <w:pStyle w:val="4"/>
              <w:spacing w:line="20" w:lineRule="atLeast"/>
              <w:ind w:firstLine="31"/>
              <w:jc w:val="center"/>
              <w:rPr>
                <w:rFonts w:ascii="仿宋" w:hAnsi="仿宋" w:eastAsia="仿宋" w:cs="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0</w:t>
            </w:r>
          </w:p>
        </w:tc>
        <w:tc>
          <w:tcPr>
            <w:tcW w:w="2126" w:type="dxa"/>
            <w:tcBorders>
              <w:top w:val="single" w:color="auto" w:sz="4" w:space="0"/>
              <w:left w:val="single" w:color="auto" w:sz="4" w:space="0"/>
              <w:bottom w:val="single" w:color="auto" w:sz="4" w:space="0"/>
              <w:right w:val="single" w:color="auto" w:sz="4" w:space="0"/>
            </w:tcBorders>
            <w:vAlign w:val="center"/>
          </w:tcPr>
          <w:p>
            <w:pPr>
              <w:pStyle w:val="4"/>
              <w:spacing w:line="20" w:lineRule="atLeast"/>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985" w:type="dxa"/>
            <w:tcBorders>
              <w:top w:val="single" w:color="auto" w:sz="4" w:space="0"/>
              <w:left w:val="single" w:color="auto" w:sz="4" w:space="0"/>
              <w:bottom w:val="single" w:color="auto" w:sz="4" w:space="0"/>
              <w:right w:val="single" w:color="auto" w:sz="4" w:space="0"/>
            </w:tcBorders>
            <w:vAlign w:val="center"/>
          </w:tcPr>
          <w:p>
            <w:pPr>
              <w:pStyle w:val="4"/>
              <w:spacing w:line="20" w:lineRule="atLeast"/>
              <w:jc w:val="center"/>
              <w:rPr>
                <w:rFonts w:ascii="仿宋" w:hAnsi="仿宋" w:eastAsia="仿宋" w:cs="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0</w:t>
            </w:r>
          </w:p>
        </w:tc>
      </w:tr>
    </w:tbl>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（3）价格评分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将不同投标人的有效报价中最低价为基准价格，基准价格的投标报价定为满分。折算公式：</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基准价格=有效报价中最低价</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w:t>
      </w:r>
      <w:r>
        <w:rPr>
          <w:rFonts w:ascii="仿宋" w:hAnsi="仿宋" w:eastAsia="仿宋" w:cs="仿宋"/>
          <w:color w:val="000000"/>
          <w:sz w:val="28"/>
          <w:szCs w:val="28"/>
        </w:rPr>
        <w:t>3</w:t>
      </w:r>
      <w:r>
        <w:rPr>
          <w:rFonts w:hint="eastAsia" w:ascii="仿宋" w:hAnsi="仿宋" w:eastAsia="仿宋" w:cs="仿宋"/>
          <w:color w:val="000000"/>
          <w:sz w:val="28"/>
          <w:szCs w:val="28"/>
        </w:rPr>
        <w:t>0分</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当投标价格＞基准价格时：价格得分=（基准价格÷投标价格）x</w:t>
      </w:r>
      <w:r>
        <w:rPr>
          <w:rFonts w:ascii="仿宋" w:hAnsi="仿宋" w:eastAsia="仿宋" w:cs="仿宋"/>
          <w:color w:val="000000"/>
          <w:sz w:val="28"/>
          <w:szCs w:val="28"/>
        </w:rPr>
        <w:t>3</w:t>
      </w:r>
      <w:r>
        <w:rPr>
          <w:rFonts w:hint="eastAsia" w:ascii="仿宋" w:hAnsi="仿宋" w:eastAsia="仿宋" w:cs="仿宋"/>
          <w:color w:val="000000"/>
          <w:sz w:val="28"/>
          <w:szCs w:val="28"/>
        </w:rPr>
        <w:t>0分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（4）综合得分</w:t>
      </w:r>
    </w:p>
    <w:p>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pPr>
        <w:pStyle w:val="4"/>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4"/>
        <w:tabs>
          <w:tab w:val="left" w:pos="7740"/>
        </w:tabs>
        <w:spacing w:line="20" w:lineRule="atLeast"/>
        <w:ind w:firstLine="560" w:firstLineChars="200"/>
        <w:rPr>
          <w:rFonts w:ascii="仿宋" w:hAnsi="仿宋" w:eastAsia="仿宋" w:cs="仿宋"/>
          <w:sz w:val="28"/>
          <w:szCs w:val="28"/>
        </w:rPr>
      </w:pPr>
    </w:p>
    <w:p>
      <w:pPr>
        <w:pStyle w:val="4"/>
        <w:tabs>
          <w:tab w:val="left" w:pos="7740"/>
        </w:tabs>
        <w:spacing w:line="20" w:lineRule="atLeast"/>
        <w:ind w:firstLine="560" w:firstLineChars="200"/>
        <w:rPr>
          <w:rFonts w:ascii="仿宋" w:hAnsi="仿宋" w:eastAsia="仿宋" w:cs="仿宋"/>
          <w:sz w:val="28"/>
          <w:szCs w:val="28"/>
        </w:rPr>
      </w:pPr>
    </w:p>
    <w:p>
      <w:pPr>
        <w:pStyle w:val="4"/>
        <w:tabs>
          <w:tab w:val="left" w:pos="7740"/>
        </w:tabs>
        <w:spacing w:line="20" w:lineRule="atLeast"/>
        <w:ind w:firstLine="560" w:firstLineChars="200"/>
        <w:rPr>
          <w:rFonts w:ascii="仿宋" w:hAnsi="仿宋" w:eastAsia="仿宋" w:cs="仿宋"/>
          <w:sz w:val="28"/>
          <w:szCs w:val="28"/>
        </w:rPr>
      </w:pPr>
    </w:p>
    <w:p>
      <w:pPr>
        <w:pStyle w:val="4"/>
        <w:tabs>
          <w:tab w:val="left" w:pos="7740"/>
        </w:tabs>
        <w:spacing w:line="20" w:lineRule="atLeast"/>
        <w:ind w:firstLine="560" w:firstLineChars="200"/>
        <w:rPr>
          <w:rFonts w:ascii="仿宋" w:hAnsi="仿宋" w:eastAsia="仿宋" w:cs="仿宋"/>
          <w:sz w:val="28"/>
          <w:szCs w:val="28"/>
        </w:rPr>
      </w:pPr>
    </w:p>
    <w:p>
      <w:pPr>
        <w:pStyle w:val="4"/>
        <w:tabs>
          <w:tab w:val="left" w:pos="7740"/>
        </w:tabs>
        <w:spacing w:line="20" w:lineRule="atLeast"/>
        <w:ind w:firstLine="560" w:firstLineChars="200"/>
        <w:rPr>
          <w:rFonts w:ascii="仿宋" w:hAnsi="仿宋" w:eastAsia="仿宋" w:cs="仿宋"/>
          <w:sz w:val="28"/>
          <w:szCs w:val="28"/>
        </w:rPr>
      </w:pPr>
    </w:p>
    <w:p>
      <w:pPr>
        <w:pStyle w:val="3"/>
        <w:numPr>
          <w:ilvl w:val="0"/>
          <w:numId w:val="3"/>
        </w:numPr>
        <w:spacing w:line="240" w:lineRule="auto"/>
        <w:rPr>
          <w:rFonts w:ascii="仿宋" w:hAnsi="仿宋" w:eastAsia="仿宋" w:cs="仿宋"/>
          <w:b w:val="0"/>
          <w:bCs w:val="0"/>
          <w:color w:val="000000"/>
        </w:rPr>
      </w:pPr>
      <w:r>
        <w:rPr>
          <w:rFonts w:hint="eastAsia" w:ascii="仿宋" w:hAnsi="仿宋" w:eastAsia="仿宋" w:cs="仿宋"/>
          <w:b w:val="0"/>
          <w:bCs w:val="0"/>
          <w:color w:val="000000"/>
        </w:rPr>
        <w:t>评分标准</w:t>
      </w:r>
    </w:p>
    <w:tbl>
      <w:tblPr>
        <w:tblStyle w:val="9"/>
        <w:tblW w:w="10020" w:type="dxa"/>
        <w:jc w:val="center"/>
        <w:tblLayout w:type="fixed"/>
        <w:tblCellMar>
          <w:top w:w="15" w:type="dxa"/>
          <w:left w:w="15" w:type="dxa"/>
          <w:bottom w:w="15" w:type="dxa"/>
          <w:right w:w="15" w:type="dxa"/>
        </w:tblCellMar>
      </w:tblPr>
      <w:tblGrid>
        <w:gridCol w:w="954"/>
        <w:gridCol w:w="1349"/>
        <w:gridCol w:w="392"/>
        <w:gridCol w:w="1369"/>
        <w:gridCol w:w="5089"/>
        <w:gridCol w:w="867"/>
      </w:tblGrid>
      <w:tr>
        <w:tblPrEx>
          <w:tblCellMar>
            <w:top w:w="15" w:type="dxa"/>
            <w:left w:w="15" w:type="dxa"/>
            <w:bottom w:w="15" w:type="dxa"/>
            <w:right w:w="15" w:type="dxa"/>
          </w:tblCellMar>
        </w:tblPrEx>
        <w:trPr>
          <w:trHeight w:val="366"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评审内容</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权重值100%</w:t>
            </w:r>
          </w:p>
        </w:tc>
        <w:tc>
          <w:tcPr>
            <w:tcW w:w="17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评分因素</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评审子项</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满分值</w:t>
            </w:r>
          </w:p>
        </w:tc>
      </w:tr>
      <w:tr>
        <w:tblPrEx>
          <w:tblCellMar>
            <w:top w:w="15" w:type="dxa"/>
            <w:left w:w="15" w:type="dxa"/>
            <w:bottom w:w="15" w:type="dxa"/>
            <w:right w:w="15" w:type="dxa"/>
          </w:tblCellMar>
        </w:tblPrEx>
        <w:trPr>
          <w:trHeight w:val="2843"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商务部分</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r>
              <w:rPr>
                <w:rFonts w:hint="eastAsia" w:ascii="宋体" w:hAnsi="宋体" w:cs="宋体"/>
                <w:color w:val="000000"/>
                <w:szCs w:val="21"/>
              </w:rPr>
              <w:t>%</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综合实力</w:t>
            </w:r>
          </w:p>
        </w:tc>
        <w:tc>
          <w:tcPr>
            <w:tcW w:w="5089" w:type="dxa"/>
            <w:tcBorders>
              <w:top w:val="single" w:color="000000" w:sz="4" w:space="0"/>
              <w:left w:val="single" w:color="000000" w:sz="4" w:space="0"/>
              <w:bottom w:val="single" w:color="000000" w:sz="4" w:space="0"/>
              <w:right w:val="single" w:color="000000" w:sz="4" w:space="0"/>
            </w:tcBorders>
            <w:vAlign w:val="center"/>
          </w:tcPr>
          <w:p>
            <w:pPr>
              <w:rPr>
                <w:sz w:val="22"/>
                <w:szCs w:val="22"/>
              </w:rPr>
            </w:pPr>
            <w:r>
              <w:rPr>
                <w:rFonts w:ascii="宋体" w:hAnsi="宋体" w:cs="宋体"/>
                <w:szCs w:val="22"/>
              </w:rPr>
              <w:t>1</w:t>
            </w:r>
            <w:r>
              <w:rPr>
                <w:rFonts w:hint="eastAsia" w:ascii="宋体" w:hAnsi="宋体" w:cs="宋体"/>
                <w:sz w:val="22"/>
                <w:szCs w:val="22"/>
              </w:rPr>
              <w:t>、投标人有主机品</w:t>
            </w:r>
            <w:r>
              <w:rPr>
                <w:rFonts w:hint="eastAsia" w:ascii="宋体" w:hAnsi="宋体"/>
                <w:bCs/>
                <w:snapToGrid w:val="0"/>
                <w:kern w:val="0"/>
                <w:sz w:val="22"/>
                <w:szCs w:val="22"/>
              </w:rPr>
              <w:t>牌商核发的多联系统安装认定证、经销商认定证、售后服务认定证每项2分，最多计6分；</w:t>
            </w:r>
          </w:p>
          <w:p>
            <w:pPr>
              <w:rPr>
                <w:rStyle w:val="22"/>
                <w:rFonts w:hint="default" w:ascii="Times New Roman" w:hAnsi="Times New Roman"/>
                <w:color w:val="auto"/>
              </w:rPr>
            </w:pPr>
            <w:r>
              <w:rPr>
                <w:rFonts w:ascii="宋体" w:hAnsi="宋体" w:cs="宋体"/>
                <w:szCs w:val="22"/>
              </w:rPr>
              <w:t>2</w:t>
            </w:r>
            <w:r>
              <w:rPr>
                <w:rFonts w:hint="eastAsia" w:ascii="宋体" w:hAnsi="宋体" w:cs="宋体"/>
                <w:szCs w:val="22"/>
              </w:rPr>
              <w:t>、提供本项目作业人员须有应急管理局签发的特种作业操作证包括制冷与空调作业证、焊接与热切割作业证、电工作业证，每项三人或三人以上得2分、最多计</w:t>
            </w:r>
            <w:r>
              <w:rPr>
                <w:rFonts w:ascii="宋体" w:hAnsi="宋体" w:cs="宋体"/>
                <w:szCs w:val="22"/>
              </w:rPr>
              <w:t>6</w:t>
            </w:r>
            <w:r>
              <w:rPr>
                <w:rFonts w:hint="eastAsia" w:ascii="宋体" w:hAnsi="宋体" w:cs="宋体"/>
                <w:szCs w:val="22"/>
              </w:rPr>
              <w:t>分。</w:t>
            </w:r>
          </w:p>
          <w:p>
            <w:pPr>
              <w:widowControl/>
              <w:rPr>
                <w:rFonts w:ascii="宋体" w:hAnsi="宋体"/>
                <w:color w:val="000000"/>
                <w:sz w:val="22"/>
                <w:szCs w:val="21"/>
              </w:rPr>
            </w:pPr>
            <w:r>
              <w:rPr>
                <w:rFonts w:hint="eastAsia" w:ascii="宋体" w:hAnsi="宋体" w:cs="宋体"/>
                <w:szCs w:val="22"/>
              </w:rPr>
              <w:t>注：扫描件需盖公章有效。</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12</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712" w:hRule="atLeast"/>
          <w:jc w:val="center"/>
        </w:trPr>
        <w:tc>
          <w:tcPr>
            <w:tcW w:w="95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134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szCs w:val="21"/>
              </w:rPr>
              <w:t>保修期</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rPr>
            </w:pPr>
            <w:r>
              <w:rPr>
                <w:rFonts w:hint="eastAsia" w:ascii="宋体" w:hAnsi="宋体" w:cs="宋体"/>
                <w:kern w:val="0"/>
                <w:szCs w:val="21"/>
                <w:lang w:bidi="ar"/>
              </w:rPr>
              <w:t>系统重要设备承诺质保期为1年得1分，</w:t>
            </w:r>
            <w:r>
              <w:rPr>
                <w:rFonts w:ascii="宋体" w:hAnsi="宋体" w:cs="宋体"/>
                <w:kern w:val="0"/>
                <w:szCs w:val="21"/>
                <w:lang w:bidi="ar"/>
              </w:rPr>
              <w:t>2</w:t>
            </w:r>
            <w:r>
              <w:rPr>
                <w:rFonts w:hint="eastAsia" w:ascii="宋体" w:hAnsi="宋体" w:cs="宋体"/>
                <w:kern w:val="0"/>
                <w:szCs w:val="21"/>
                <w:lang w:bidi="ar"/>
              </w:rPr>
              <w:t>年或以上得</w:t>
            </w:r>
            <w:r>
              <w:rPr>
                <w:rFonts w:ascii="宋体" w:hAnsi="宋体" w:cs="宋体"/>
                <w:kern w:val="0"/>
                <w:szCs w:val="21"/>
                <w:lang w:bidi="ar"/>
              </w:rPr>
              <w:t>2</w:t>
            </w:r>
            <w:r>
              <w:rPr>
                <w:rFonts w:hint="eastAsia" w:ascii="宋体" w:hAnsi="宋体" w:cs="宋体"/>
                <w:kern w:val="0"/>
                <w:szCs w:val="21"/>
                <w:lang w:bidi="ar"/>
              </w:rPr>
              <w:t>分，不满足得0分.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2</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1342" w:hRule="atLeast"/>
          <w:jc w:val="center"/>
        </w:trPr>
        <w:tc>
          <w:tcPr>
            <w:tcW w:w="95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134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w w:val="95"/>
                <w:sz w:val="24"/>
              </w:rPr>
              <w:t>企业业绩</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rPr>
            </w:pPr>
            <w:r>
              <w:rPr>
                <w:rFonts w:hint="eastAsia"/>
              </w:rPr>
              <w:t>提供近五年</w:t>
            </w:r>
            <w:r>
              <w:t>（从2018年月1日起，以合同签订的时间为准</w:t>
            </w:r>
            <w:r>
              <w:rPr>
                <w:rFonts w:hint="eastAsia"/>
              </w:rPr>
              <w:t>）最具代表性类似3个工程业绩（类似更换同类室外主机相关的工程），每有一项计</w:t>
            </w:r>
            <w:r>
              <w:t>2</w:t>
            </w:r>
            <w:r>
              <w:rPr>
                <w:rFonts w:hint="eastAsia"/>
              </w:rPr>
              <w:t>分，本项最多计</w:t>
            </w:r>
            <w:r>
              <w:t>6</w:t>
            </w:r>
            <w:r>
              <w:rPr>
                <w:rFonts w:hint="eastAsia"/>
              </w:rPr>
              <w:t>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6</w:t>
            </w:r>
            <w:r>
              <w:rPr>
                <w:rFonts w:hint="eastAsia" w:ascii="宋体" w:hAnsi="宋体" w:cs="宋体"/>
                <w:kern w:val="0"/>
                <w:szCs w:val="21"/>
                <w:lang w:bidi="ar"/>
              </w:rPr>
              <w:t>分</w:t>
            </w:r>
          </w:p>
        </w:tc>
      </w:tr>
      <w:tr>
        <w:tblPrEx>
          <w:tblCellMar>
            <w:top w:w="15" w:type="dxa"/>
            <w:left w:w="15" w:type="dxa"/>
            <w:bottom w:w="15" w:type="dxa"/>
            <w:right w:w="15" w:type="dxa"/>
          </w:tblCellMar>
        </w:tblPrEx>
        <w:trPr>
          <w:trHeight w:val="1818" w:hRule="atLeast"/>
          <w:jc w:val="center"/>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技术部分</w:t>
            </w:r>
          </w:p>
        </w:tc>
        <w:tc>
          <w:tcPr>
            <w:tcW w:w="13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color w:val="000000"/>
                <w:szCs w:val="21"/>
              </w:rPr>
            </w:pPr>
            <w:r>
              <w:rPr>
                <w:rFonts w:hint="eastAsia" w:hAnsi="宋体" w:cs="仿宋_GB2312"/>
                <w:color w:val="000000" w:themeColor="text1"/>
                <w:szCs w:val="21"/>
                <w14:textFill>
                  <w14:solidFill>
                    <w14:schemeClr w14:val="tx1"/>
                  </w14:solidFill>
                </w14:textFill>
              </w:rPr>
              <w:t>技术参数</w:t>
            </w:r>
          </w:p>
        </w:tc>
        <w:tc>
          <w:tcPr>
            <w:tcW w:w="5089" w:type="dxa"/>
            <w:tcBorders>
              <w:top w:val="single" w:color="000000" w:sz="4" w:space="0"/>
              <w:left w:val="single" w:color="000000" w:sz="4" w:space="0"/>
              <w:bottom w:val="single" w:color="000000" w:sz="4" w:space="0"/>
              <w:right w:val="single" w:color="000000" w:sz="4" w:space="0"/>
            </w:tcBorders>
            <w:vAlign w:val="center"/>
          </w:tcPr>
          <w:p>
            <w:pPr>
              <w:widowControl/>
              <w:rPr>
                <w:szCs w:val="21"/>
              </w:rPr>
            </w:pPr>
            <w:r>
              <w:rPr>
                <w:szCs w:val="21"/>
              </w:rPr>
              <w:t>投标人所投产品技术参数完全满足或优于招标要求的得 10分，有一项不满足扣 1 分， 扣完为止。</w:t>
            </w:r>
            <w:r>
              <w:rPr>
                <w:rFonts w:hint="eastAsia"/>
                <w:szCs w:val="21"/>
              </w:rPr>
              <w:t>提供产品说明书以供参考。</w:t>
            </w:r>
          </w:p>
          <w:p>
            <w:pPr>
              <w:spacing w:line="360" w:lineRule="exact"/>
              <w:rPr>
                <w:rFonts w:ascii="宋体" w:hAnsi="宋体"/>
                <w:szCs w:val="21"/>
              </w:rPr>
            </w:pPr>
            <w:r>
              <w:rPr>
                <w:szCs w:val="21"/>
              </w:rPr>
              <w:t>标注</w:t>
            </w:r>
            <w:bookmarkStart w:id="3" w:name="_Hlk135750619"/>
            <w:r>
              <w:rPr>
                <w:rFonts w:hint="eastAsia" w:ascii="宋体" w:hAnsi="宋体"/>
                <w:szCs w:val="21"/>
              </w:rPr>
              <w:t>▲</w:t>
            </w:r>
            <w:bookmarkEnd w:id="3"/>
            <w:r>
              <w:rPr>
                <w:szCs w:val="21"/>
              </w:rPr>
              <w:t>部分为必须满足项， 如有不满足按无效投标处理。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ascii="宋体" w:hAnsi="宋体" w:cs="宋体"/>
                <w:color w:val="000000"/>
                <w:kern w:val="0"/>
                <w:szCs w:val="21"/>
                <w:lang w:bidi="ar"/>
              </w:rPr>
              <w:t>1</w:t>
            </w:r>
            <w:r>
              <w:rPr>
                <w:rFonts w:hint="eastAsia" w:ascii="宋体" w:hAnsi="宋体" w:cs="宋体"/>
                <w:color w:val="000000"/>
                <w:kern w:val="0"/>
                <w:szCs w:val="21"/>
                <w:lang w:bidi="ar"/>
              </w:rPr>
              <w:t>0分</w:t>
            </w:r>
          </w:p>
        </w:tc>
      </w:tr>
      <w:tr>
        <w:tblPrEx>
          <w:tblCellMar>
            <w:top w:w="15" w:type="dxa"/>
            <w:left w:w="15" w:type="dxa"/>
            <w:bottom w:w="15" w:type="dxa"/>
            <w:right w:w="15" w:type="dxa"/>
          </w:tblCellMar>
        </w:tblPrEx>
        <w:trPr>
          <w:trHeight w:val="83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19"/>
              <w:jc w:val="center"/>
              <w:rPr>
                <w:rFonts w:hAnsi="宋体" w:cs="仿宋_GB2312"/>
                <w:color w:val="000000" w:themeColor="text1"/>
                <w:kern w:val="2"/>
                <w:sz w:val="21"/>
                <w:szCs w:val="21"/>
                <w14:textFill>
                  <w14:solidFill>
                    <w14:schemeClr w14:val="tx1"/>
                  </w14:solidFill>
                </w14:textFill>
              </w:rPr>
            </w:pPr>
            <w:r>
              <w:rPr>
                <w:rFonts w:hint="eastAsia" w:hAnsi="宋体" w:cs="仿宋_GB2312"/>
                <w:color w:val="000000" w:themeColor="text1"/>
                <w:kern w:val="2"/>
                <w:sz w:val="21"/>
                <w:szCs w:val="21"/>
                <w14:textFill>
                  <w14:solidFill>
                    <w14:schemeClr w14:val="tx1"/>
                  </w14:solidFill>
                </w14:textFill>
              </w:rPr>
              <w:t>实施方案</w:t>
            </w:r>
          </w:p>
        </w:tc>
        <w:tc>
          <w:tcPr>
            <w:tcW w:w="508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szCs w:val="21"/>
              </w:rPr>
            </w:pPr>
            <w:r>
              <w:t>详细说明方案及保障措施，由评标委员会进行横向比较评</w:t>
            </w:r>
            <w:r>
              <w:rPr>
                <w:spacing w:val="-11"/>
              </w:rPr>
              <w:t>分，按优 20</w:t>
            </w:r>
            <w:r>
              <w:rPr>
                <w:rFonts w:hint="eastAsia"/>
                <w:spacing w:val="-11"/>
              </w:rPr>
              <w:t>-</w:t>
            </w:r>
            <w:r>
              <w:rPr>
                <w:spacing w:val="-11"/>
              </w:rPr>
              <w:t>3</w:t>
            </w:r>
            <w:r>
              <w:rPr>
                <w:rFonts w:hint="eastAsia"/>
                <w:spacing w:val="-11"/>
              </w:rPr>
              <w:t>0</w:t>
            </w:r>
            <w:r>
              <w:rPr>
                <w:spacing w:val="-23"/>
              </w:rPr>
              <w:t xml:space="preserve"> 分，良 10</w:t>
            </w:r>
            <w:r>
              <w:rPr>
                <w:rFonts w:hint="eastAsia"/>
                <w:spacing w:val="-23"/>
              </w:rPr>
              <w:t>-</w:t>
            </w:r>
            <w:r>
              <w:rPr>
                <w:spacing w:val="-23"/>
              </w:rPr>
              <w:t xml:space="preserve">19 分，中 </w:t>
            </w:r>
            <w:r>
              <w:t>1</w:t>
            </w:r>
            <w:r>
              <w:rPr>
                <w:rFonts w:hint="eastAsia"/>
              </w:rPr>
              <w:t>-9</w:t>
            </w:r>
            <w:r>
              <w:rPr>
                <w:spacing w:val="-8"/>
              </w:rPr>
              <w:t xml:space="preserve"> 分，差不得分</w:t>
            </w:r>
          </w:p>
          <w:p>
            <w:pPr>
              <w:spacing w:line="360" w:lineRule="exact"/>
              <w:rPr>
                <w:rFonts w:ascii="宋体" w:hAnsi="宋体"/>
                <w:szCs w:val="21"/>
              </w:rPr>
            </w:pPr>
            <w:r>
              <w:rPr>
                <w:rFonts w:hint="eastAsia" w:ascii="宋体" w:hAnsi="宋体"/>
                <w:szCs w:val="21"/>
              </w:rPr>
              <w:t>综合评定：0～</w:t>
            </w:r>
            <w:r>
              <w:rPr>
                <w:rFonts w:ascii="宋体" w:hAnsi="宋体"/>
                <w:szCs w:val="21"/>
              </w:rPr>
              <w:t>30</w:t>
            </w:r>
            <w:r>
              <w:rPr>
                <w:rFonts w:hint="eastAsia" w:ascii="宋体" w:hAnsi="宋体"/>
                <w:szCs w:val="21"/>
              </w:rPr>
              <w:t>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r>
              <w:rPr>
                <w:rFonts w:hint="eastAsia" w:ascii="宋体" w:hAnsi="宋体" w:cs="宋体"/>
                <w:color w:val="000000"/>
                <w:kern w:val="0"/>
                <w:szCs w:val="21"/>
                <w:lang w:bidi="ar"/>
              </w:rPr>
              <w:t>分</w:t>
            </w:r>
          </w:p>
        </w:tc>
      </w:tr>
      <w:tr>
        <w:tblPrEx>
          <w:tblCellMar>
            <w:top w:w="15" w:type="dxa"/>
            <w:left w:w="15" w:type="dxa"/>
            <w:bottom w:w="15" w:type="dxa"/>
            <w:right w:w="15" w:type="dxa"/>
          </w:tblCellMar>
        </w:tblPrEx>
        <w:trPr>
          <w:trHeight w:val="208" w:hRule="atLeast"/>
          <w:jc w:val="center"/>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19"/>
              <w:jc w:val="center"/>
              <w:rPr>
                <w:rFonts w:hAnsi="宋体" w:cs="仿宋_GB2312"/>
                <w:color w:val="000000" w:themeColor="text1"/>
                <w:kern w:val="2"/>
                <w:sz w:val="21"/>
                <w:szCs w:val="21"/>
                <w14:textFill>
                  <w14:solidFill>
                    <w14:schemeClr w14:val="tx1"/>
                  </w14:solidFill>
                </w14:textFill>
              </w:rPr>
            </w:pPr>
            <w:r>
              <w:rPr>
                <w:rFonts w:hint="eastAsia" w:hAnsi="宋体" w:cs="仿宋_GB2312"/>
                <w:color w:val="000000" w:themeColor="text1"/>
                <w:kern w:val="2"/>
                <w:sz w:val="21"/>
                <w:szCs w:val="21"/>
                <w14:textFill>
                  <w14:solidFill>
                    <w14:schemeClr w14:val="tx1"/>
                  </w14:solidFill>
                </w14:textFill>
              </w:rPr>
              <w:t>技术证明</w:t>
            </w:r>
          </w:p>
        </w:tc>
        <w:tc>
          <w:tcPr>
            <w:tcW w:w="5089" w:type="dxa"/>
            <w:tcBorders>
              <w:top w:val="single" w:color="000000" w:sz="4" w:space="0"/>
              <w:left w:val="single" w:color="000000" w:sz="4" w:space="0"/>
              <w:bottom w:val="single" w:color="000000" w:sz="4" w:space="0"/>
              <w:right w:val="single" w:color="000000" w:sz="4" w:space="0"/>
            </w:tcBorders>
            <w:vAlign w:val="center"/>
          </w:tcPr>
          <w:p>
            <w:pPr>
              <w:pStyle w:val="19"/>
              <w:rPr>
                <w:rFonts w:hAnsi="宋体"/>
                <w:color w:val="auto"/>
                <w:sz w:val="21"/>
                <w:szCs w:val="21"/>
              </w:rPr>
            </w:pPr>
            <w:r>
              <w:rPr>
                <w:rFonts w:hint="eastAsia" w:hAnsi="宋体"/>
                <w:color w:val="auto"/>
                <w:sz w:val="21"/>
                <w:szCs w:val="21"/>
              </w:rPr>
              <w:t>卖方提供品牌商出具的授权函和售后服务承诺函。</w:t>
            </w:r>
          </w:p>
          <w:p>
            <w:pPr>
              <w:pStyle w:val="19"/>
              <w:jc w:val="both"/>
              <w:rPr>
                <w:rFonts w:hAnsi="宋体"/>
                <w:color w:val="auto"/>
                <w:sz w:val="21"/>
                <w:szCs w:val="21"/>
              </w:rPr>
            </w:pPr>
            <w:r>
              <w:rPr>
                <w:rFonts w:hint="eastAsia" w:hAnsi="宋体"/>
                <w:color w:val="auto"/>
                <w:sz w:val="21"/>
                <w:szCs w:val="21"/>
              </w:rPr>
              <w:t>满足得</w:t>
            </w:r>
            <w:r>
              <w:rPr>
                <w:rFonts w:hAnsi="宋体"/>
                <w:color w:val="auto"/>
                <w:sz w:val="21"/>
                <w:szCs w:val="21"/>
              </w:rPr>
              <w:t>10</w:t>
            </w:r>
            <w:r>
              <w:rPr>
                <w:rFonts w:hint="eastAsia" w:hAnsi="宋体"/>
                <w:color w:val="auto"/>
                <w:sz w:val="21"/>
                <w:szCs w:val="21"/>
              </w:rPr>
              <w:t>分，不满足，得0分；</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10分</w:t>
            </w:r>
          </w:p>
        </w:tc>
      </w:tr>
      <w:tr>
        <w:tblPrEx>
          <w:tblCellMar>
            <w:top w:w="15" w:type="dxa"/>
            <w:left w:w="15" w:type="dxa"/>
            <w:bottom w:w="15" w:type="dxa"/>
            <w:right w:w="15" w:type="dxa"/>
          </w:tblCellMar>
        </w:tblPrEx>
        <w:trPr>
          <w:trHeight w:val="2003" w:hRule="atLeast"/>
          <w:jc w:val="center"/>
        </w:trPr>
        <w:tc>
          <w:tcPr>
            <w:tcW w:w="9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价格部分</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6850"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将评委会修正审核后的有效报价中的最低价作为基准价格，等于基准价格的投标报价定为满分。折算公式：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基准价格=各有效投标价格中的最低价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1.当投标价格=基准价格时：价格得分=30分</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2.当投标价格&gt;基准价格时：价格得分=（基准价格</w:t>
            </w:r>
            <w:r>
              <w:rPr>
                <w:rStyle w:val="20"/>
                <w:szCs w:val="21"/>
                <w:lang w:bidi="ar"/>
              </w:rPr>
              <w:t>÷</w:t>
            </w:r>
            <w:r>
              <w:rPr>
                <w:rStyle w:val="21"/>
                <w:rFonts w:hint="default"/>
                <w:szCs w:val="21"/>
                <w:lang w:bidi="ar"/>
              </w:rPr>
              <w:t>投标价格）x30</w:t>
            </w:r>
          </w:p>
        </w:tc>
        <w:tc>
          <w:tcPr>
            <w:tcW w:w="86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kern w:val="0"/>
                <w:szCs w:val="21"/>
                <w:lang w:bidi="ar"/>
              </w:rPr>
            </w:pP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30分</w:t>
            </w:r>
          </w:p>
        </w:tc>
      </w:tr>
    </w:tbl>
    <w:p/>
    <w:p>
      <w:pPr>
        <w:jc w:val="center"/>
        <w:rPr>
          <w:rFonts w:ascii="仿宋" w:hAnsi="仿宋" w:eastAsia="仿宋" w:cs="仿宋"/>
          <w:b/>
          <w:sz w:val="28"/>
          <w:szCs w:val="28"/>
        </w:rPr>
      </w:pPr>
    </w:p>
    <w:p>
      <w:pPr>
        <w:pStyle w:val="2"/>
      </w:pPr>
    </w:p>
    <w:p>
      <w:pPr>
        <w:pStyle w:val="2"/>
      </w:pPr>
    </w:p>
    <w:p>
      <w:pPr>
        <w:jc w:val="center"/>
        <w:rPr>
          <w:rFonts w:ascii="仿宋" w:hAnsi="仿宋" w:eastAsia="仿宋" w:cs="仿宋"/>
          <w:b/>
          <w:sz w:val="28"/>
          <w:szCs w:val="28"/>
        </w:rPr>
      </w:pPr>
      <w:r>
        <w:rPr>
          <w:rFonts w:hint="eastAsia" w:ascii="仿宋" w:hAnsi="仿宋" w:eastAsia="仿宋" w:cs="仿宋"/>
          <w:b/>
          <w:sz w:val="28"/>
          <w:szCs w:val="28"/>
        </w:rPr>
        <w:t>第七部分 合同书签订</w:t>
      </w:r>
    </w:p>
    <w:p>
      <w:pPr>
        <w:jc w:val="center"/>
        <w:rPr>
          <w:rFonts w:ascii="仿宋" w:hAnsi="仿宋" w:eastAsia="仿宋" w:cs="仿宋"/>
          <w:b/>
          <w:sz w:val="28"/>
          <w:szCs w:val="28"/>
        </w:rPr>
      </w:pP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一、中标人应当按照招标文件和《中标通知书》与采购单位签订合同。</w:t>
      </w: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二、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pPr>
        <w:tabs>
          <w:tab w:val="left" w:pos="7740"/>
        </w:tabs>
        <w:ind w:firstLine="560" w:firstLineChars="200"/>
        <w:rPr>
          <w:rFonts w:ascii="仿宋" w:hAnsi="仿宋" w:eastAsia="仿宋" w:cs="仿宋"/>
          <w:sz w:val="28"/>
          <w:szCs w:val="28"/>
        </w:rPr>
      </w:pPr>
      <w:r>
        <w:rPr>
          <w:rFonts w:hint="eastAsia" w:ascii="仿宋" w:hAnsi="仿宋" w:eastAsia="仿宋" w:cs="仿宋"/>
          <w:sz w:val="28"/>
          <w:szCs w:val="28"/>
        </w:rPr>
        <w:t>三、在不背离招标文件和投标文件的实质性内容前提下,采购单位对有关内容有权作出必要的细化和补充。</w:t>
      </w: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第八部分  投标文件格式</w:t>
      </w:r>
    </w:p>
    <w:p>
      <w:pPr>
        <w:spacing w:line="360" w:lineRule="auto"/>
        <w:ind w:firstLine="420" w:firstLineChars="200"/>
        <w:rPr>
          <w:rFonts w:ascii="仿宋" w:hAnsi="仿宋" w:eastAsia="仿宋" w:cs="仿宋"/>
          <w:szCs w:val="21"/>
        </w:rPr>
      </w:pPr>
    </w:p>
    <w:p>
      <w:pPr>
        <w:spacing w:line="360" w:lineRule="auto"/>
        <w:ind w:firstLine="420" w:firstLineChars="200"/>
        <w:rPr>
          <w:rFonts w:ascii="仿宋" w:hAnsi="仿宋" w:eastAsia="仿宋" w:cs="仿宋"/>
          <w:szCs w:val="21"/>
        </w:rPr>
      </w:pPr>
    </w:p>
    <w:p>
      <w:pPr>
        <w:rPr>
          <w:rFonts w:ascii="仿宋" w:hAnsi="仿宋" w:eastAsia="仿宋" w:cs="仿宋"/>
          <w:b/>
          <w:color w:val="000000"/>
          <w:sz w:val="24"/>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pStyle w:val="5"/>
        <w:tabs>
          <w:tab w:val="left" w:pos="1260"/>
        </w:tabs>
        <w:spacing w:line="360" w:lineRule="auto"/>
        <w:jc w:val="center"/>
        <w:rPr>
          <w:rFonts w:ascii="仿宋" w:hAnsi="仿宋" w:eastAsia="仿宋" w:cs="仿宋"/>
          <w:b/>
          <w:color w:val="000000"/>
          <w:spacing w:val="100"/>
          <w:w w:val="110"/>
          <w:kern w:val="0"/>
          <w:sz w:val="44"/>
          <w:szCs w:val="44"/>
        </w:rPr>
      </w:pPr>
    </w:p>
    <w:p>
      <w:pPr>
        <w:pStyle w:val="5"/>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ascii="仿宋" w:hAnsi="仿宋" w:eastAsia="仿宋" w:cs="仿宋"/>
          <w:color w:val="000000"/>
        </w:rPr>
      </w:pPr>
    </w:p>
    <w:p>
      <w:pPr>
        <w:pStyle w:val="5"/>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5"/>
        <w:spacing w:line="360" w:lineRule="auto"/>
        <w:rPr>
          <w:rFonts w:ascii="仿宋" w:hAnsi="仿宋" w:eastAsia="仿宋" w:cs="仿宋"/>
          <w:b/>
          <w:color w:val="000000"/>
          <w:sz w:val="28"/>
          <w:szCs w:val="28"/>
        </w:rPr>
      </w:pPr>
    </w:p>
    <w:p>
      <w:pPr>
        <w:pStyle w:val="5"/>
        <w:spacing w:line="360" w:lineRule="auto"/>
        <w:rPr>
          <w:rFonts w:ascii="仿宋" w:hAnsi="仿宋" w:eastAsia="仿宋" w:cs="仿宋"/>
          <w:b/>
          <w:color w:val="000000"/>
          <w:sz w:val="28"/>
          <w:szCs w:val="28"/>
        </w:rPr>
      </w:pPr>
    </w:p>
    <w:p>
      <w:pPr>
        <w:pStyle w:val="5"/>
        <w:spacing w:line="360" w:lineRule="auto"/>
        <w:ind w:firstLine="1661" w:firstLineChars="591"/>
        <w:rPr>
          <w:rFonts w:ascii="仿宋" w:hAnsi="仿宋" w:eastAsia="仿宋" w:cs="仿宋"/>
          <w:b/>
          <w:color w:val="000000"/>
          <w:sz w:val="28"/>
          <w:szCs w:val="28"/>
        </w:rPr>
      </w:pPr>
    </w:p>
    <w:p/>
    <w:p>
      <w:pPr>
        <w:pStyle w:val="2"/>
      </w:pPr>
    </w:p>
    <w:p>
      <w:pPr>
        <w:pStyle w:val="2"/>
      </w:pPr>
    </w:p>
    <w:p>
      <w:pPr>
        <w:pStyle w:val="5"/>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5"/>
        <w:spacing w:line="360" w:lineRule="auto"/>
        <w:ind w:firstLine="1521" w:firstLineChars="541"/>
        <w:rPr>
          <w:rFonts w:ascii="仿宋" w:hAnsi="仿宋" w:eastAsia="仿宋" w:cs="仿宋"/>
          <w:b/>
          <w:color w:val="000000"/>
          <w:sz w:val="28"/>
          <w:szCs w:val="28"/>
        </w:rPr>
      </w:pPr>
    </w:p>
    <w:p>
      <w:pPr>
        <w:pStyle w:val="5"/>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ascii="仿宋" w:hAnsi="仿宋" w:eastAsia="仿宋" w:cs="仿宋"/>
          <w:b/>
          <w:color w:val="000000"/>
          <w:sz w:val="28"/>
          <w:szCs w:val="28"/>
        </w:rPr>
      </w:pPr>
    </w:p>
    <w:p>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rPr>
          <w:rFonts w:ascii="仿宋" w:hAnsi="仿宋" w:eastAsia="仿宋" w:cs="仿宋"/>
          <w:b/>
          <w:bCs/>
          <w:color w:val="000000"/>
          <w:sz w:val="24"/>
        </w:rPr>
      </w:pPr>
      <w:r>
        <w:rPr>
          <w:rFonts w:hint="eastAsia" w:ascii="仿宋" w:hAnsi="仿宋" w:eastAsia="仿宋" w:cs="仿宋"/>
          <w:color w:val="000000"/>
          <w:sz w:val="28"/>
          <w:szCs w:val="28"/>
        </w:rPr>
        <w:br w:type="page"/>
      </w:r>
      <w:bookmarkStart w:id="4" w:name="OLE_LINK6"/>
      <w:r>
        <w:rPr>
          <w:rFonts w:hint="eastAsia" w:ascii="仿宋" w:hAnsi="仿宋" w:eastAsia="仿宋" w:cs="仿宋"/>
          <w:b/>
          <w:bCs/>
          <w:color w:val="000000"/>
          <w:sz w:val="28"/>
          <w:szCs w:val="28"/>
        </w:rPr>
        <w:t>1、投标人情况介绍表</w:t>
      </w:r>
    </w:p>
    <w:p>
      <w:pPr>
        <w:pStyle w:val="18"/>
        <w:ind w:left="105" w:hanging="1"/>
        <w:jc w:val="center"/>
        <w:rPr>
          <w:rFonts w:ascii="仿宋" w:hAnsi="仿宋" w:eastAsia="仿宋" w:cs="仿宋"/>
          <w:b/>
          <w:color w:val="000000"/>
          <w:spacing w:val="0"/>
          <w:kern w:val="2"/>
          <w:sz w:val="28"/>
          <w:szCs w:val="28"/>
          <w:lang w:val="en-GB"/>
        </w:rPr>
      </w:pPr>
    </w:p>
    <w:tbl>
      <w:tblPr>
        <w:tblStyle w:val="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471"/>
        <w:gridCol w:w="1461"/>
        <w:gridCol w:w="227"/>
        <w:gridCol w:w="1394"/>
        <w:gridCol w:w="256"/>
        <w:gridCol w:w="1005"/>
        <w:gridCol w:w="789"/>
        <w:gridCol w:w="29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8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napToGrid w:val="0"/>
                <w:color w:val="000000"/>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pPr>
        <w:tabs>
          <w:tab w:val="left" w:pos="180"/>
        </w:tabs>
        <w:spacing w:line="360" w:lineRule="auto"/>
        <w:ind w:left="-239" w:leftChars="-114" w:firstLine="102" w:firstLineChars="49"/>
        <w:rPr>
          <w:rFonts w:ascii="仿宋" w:hAnsi="仿宋" w:eastAsia="仿宋" w:cs="仿宋"/>
          <w:bCs/>
          <w:color w:val="000000"/>
          <w:szCs w:val="40"/>
          <w:lang w:val="en-GB"/>
        </w:rPr>
      </w:pPr>
    </w:p>
    <w:p>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pPr>
        <w:numPr>
          <w:ilvl w:val="0"/>
          <w:numId w:val="4"/>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jc w:val="center"/>
        <w:rPr>
          <w:rFonts w:ascii="仿宋" w:hAnsi="仿宋" w:eastAsia="仿宋" w:cs="仿宋"/>
          <w:bCs/>
          <w:color w:val="000000"/>
          <w:kern w:val="0"/>
          <w:sz w:val="28"/>
          <w:szCs w:val="28"/>
        </w:rPr>
      </w:pPr>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rPr>
        <w:t>2、投标函</w:t>
      </w:r>
      <w:bookmarkEnd w:id="4"/>
    </w:p>
    <w:p>
      <w:pPr>
        <w:tabs>
          <w:tab w:val="left" w:pos="180"/>
        </w:tabs>
        <w:spacing w:line="360" w:lineRule="auto"/>
        <w:ind w:left="283" w:leftChars="135"/>
        <w:rPr>
          <w:rFonts w:ascii="仿宋" w:hAnsi="仿宋" w:eastAsia="仿宋" w:cs="仿宋"/>
          <w:bCs/>
          <w:color w:val="000000"/>
          <w:kern w:val="0"/>
          <w:sz w:val="28"/>
          <w:szCs w:val="28"/>
        </w:rPr>
      </w:pPr>
    </w:p>
    <w:p>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b/>
          <w:bCs/>
          <w:sz w:val="22"/>
          <w:szCs w:val="22"/>
          <w:u w:val="single"/>
        </w:rPr>
        <w:t>更换电视塔1楼机房V</w:t>
      </w:r>
      <w:r>
        <w:rPr>
          <w:rFonts w:ascii="仿宋" w:hAnsi="仿宋" w:eastAsia="仿宋" w:cs="仿宋"/>
          <w:b/>
          <w:bCs/>
          <w:sz w:val="22"/>
          <w:szCs w:val="22"/>
          <w:u w:val="single"/>
        </w:rPr>
        <w:t>RV</w:t>
      </w:r>
      <w:r>
        <w:rPr>
          <w:rFonts w:hint="eastAsia" w:ascii="仿宋" w:hAnsi="仿宋" w:eastAsia="仿宋" w:cs="仿宋"/>
          <w:b/>
          <w:bCs/>
          <w:sz w:val="22"/>
          <w:szCs w:val="22"/>
          <w:u w:val="single"/>
        </w:rPr>
        <w:t>空调室外主机工程</w:t>
      </w:r>
      <w:r>
        <w:rPr>
          <w:rFonts w:hint="eastAsia" w:ascii="仿宋" w:hAnsi="仿宋" w:eastAsia="仿宋" w:cs="仿宋"/>
          <w:b/>
          <w:color w:val="000000"/>
          <w:kern w:val="0"/>
          <w:sz w:val="22"/>
          <w:szCs w:val="22"/>
          <w:u w:val="single"/>
        </w:rPr>
        <w:t>项目</w:t>
      </w:r>
      <w:r>
        <w:rPr>
          <w:rFonts w:hint="eastAsia" w:ascii="仿宋" w:hAnsi="仿宋" w:eastAsia="仿宋" w:cs="仿宋"/>
          <w:color w:val="000000"/>
          <w:kern w:val="0"/>
          <w:sz w:val="22"/>
          <w:szCs w:val="22"/>
          <w:u w:val="single"/>
        </w:rPr>
        <w:t>的</w:t>
      </w:r>
      <w:r>
        <w:rPr>
          <w:rFonts w:hint="eastAsia" w:ascii="仿宋" w:hAnsi="仿宋" w:eastAsia="仿宋" w:cs="仿宋"/>
          <w:color w:val="000000"/>
          <w:kern w:val="0"/>
          <w:sz w:val="22"/>
          <w:szCs w:val="22"/>
        </w:rPr>
        <w:t>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仿宋" w:hAnsi="仿宋" w:eastAsia="仿宋" w:cs="仿宋"/>
          <w:color w:val="000000"/>
          <w:kern w:val="0"/>
          <w:sz w:val="22"/>
          <w:szCs w:val="22"/>
        </w:rPr>
      </w:pPr>
    </w:p>
    <w:p>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pPr>
        <w:adjustRightInd w:val="0"/>
        <w:snapToGrid w:val="0"/>
        <w:spacing w:line="360" w:lineRule="auto"/>
        <w:ind w:left="-88" w:leftChars="-42"/>
        <w:outlineLvl w:val="3"/>
        <w:rPr>
          <w:rFonts w:ascii="仿宋" w:hAnsi="仿宋" w:eastAsia="仿宋" w:cs="仿宋"/>
          <w:b/>
          <w:color w:val="000000"/>
          <w:sz w:val="24"/>
        </w:rPr>
      </w:pPr>
    </w:p>
    <w:p>
      <w:pPr>
        <w:adjustRightInd w:val="0"/>
        <w:snapToGrid w:val="0"/>
        <w:spacing w:line="360" w:lineRule="auto"/>
        <w:ind w:left="-88" w:leftChars="-42"/>
        <w:outlineLvl w:val="3"/>
        <w:rPr>
          <w:rFonts w:ascii="仿宋" w:hAnsi="仿宋" w:eastAsia="仿宋" w:cs="仿宋"/>
          <w:b/>
          <w:color w:val="000000"/>
          <w:sz w:val="24"/>
        </w:rPr>
      </w:pPr>
    </w:p>
    <w:p>
      <w:pPr>
        <w:pStyle w:val="2"/>
      </w:pPr>
    </w:p>
    <w:p/>
    <w:p>
      <w:pPr>
        <w:pStyle w:val="3"/>
        <w:spacing w:line="360" w:lineRule="auto"/>
        <w:jc w:val="center"/>
        <w:rPr>
          <w:rFonts w:ascii="仿宋" w:hAnsi="仿宋" w:eastAsia="仿宋" w:cs="仿宋"/>
          <w:bCs w:val="0"/>
          <w:color w:val="000000"/>
          <w:sz w:val="24"/>
          <w:szCs w:val="24"/>
        </w:rPr>
      </w:pPr>
      <w:r>
        <w:rPr>
          <w:rFonts w:hint="eastAsia" w:ascii="仿宋" w:hAnsi="仿宋" w:eastAsia="仿宋" w:cs="仿宋"/>
          <w:bCs w:val="0"/>
          <w:color w:val="000000"/>
          <w:sz w:val="24"/>
        </w:rPr>
        <w:t>3、</w:t>
      </w:r>
      <w:bookmarkStart w:id="5" w:name="OLE_LINK7"/>
      <w:r>
        <w:rPr>
          <w:rFonts w:hint="eastAsia" w:ascii="仿宋" w:hAnsi="仿宋" w:eastAsia="仿宋" w:cs="仿宋"/>
          <w:bCs w:val="0"/>
          <w:color w:val="000000"/>
          <w:kern w:val="0"/>
        </w:rPr>
        <w:t>法定代表人/负责人资格证明书及授权委托书</w:t>
      </w:r>
      <w:bookmarkEnd w:id="5"/>
    </w:p>
    <w:p>
      <w:pPr>
        <w:rPr>
          <w:rFonts w:ascii="仿宋" w:hAnsi="仿宋" w:eastAsia="仿宋" w:cs="仿宋"/>
        </w:rPr>
      </w:pP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ascii="仿宋" w:hAnsi="仿宋" w:eastAsia="仿宋" w:cs="仿宋"/>
          <w:color w:val="000000"/>
          <w:szCs w:val="21"/>
        </w:rPr>
      </w:pPr>
    </w:p>
    <w:p>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ascii="仿宋" w:hAnsi="仿宋" w:eastAsia="仿宋" w:cs="仿宋"/>
          <w:b/>
          <w:color w:val="000000"/>
          <w:sz w:val="28"/>
          <w:szCs w:val="28"/>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291465</wp:posOffset>
                </wp:positionV>
                <wp:extent cx="2333625" cy="1584325"/>
                <wp:effectExtent l="0" t="0" r="28575" b="15875"/>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60288;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ascii="仿宋" w:hAnsi="仿宋" w:eastAsia="仿宋" w:cs="仿宋"/>
          <w:color w:val="000000"/>
          <w:sz w:val="24"/>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ascii="仿宋" w:hAnsi="仿宋" w:eastAsia="仿宋" w:cs="仿宋"/>
          <w:color w:val="000000"/>
          <w:sz w:val="24"/>
          <w:u w:val="single"/>
        </w:rPr>
      </w:pPr>
    </w:p>
    <w:p>
      <w:pPr>
        <w:jc w:val="center"/>
        <w:rPr>
          <w:rFonts w:ascii="仿宋" w:hAnsi="仿宋" w:eastAsia="仿宋" w:cs="仿宋"/>
          <w:color w:val="000000"/>
          <w:szCs w:val="21"/>
        </w:rPr>
      </w:pPr>
    </w:p>
    <w:p>
      <w:pPr>
        <w:spacing w:line="360" w:lineRule="auto"/>
        <w:ind w:firstLine="420"/>
        <w:rPr>
          <w:rFonts w:ascii="仿宋" w:hAnsi="仿宋" w:eastAsia="仿宋" w:cs="仿宋"/>
          <w:color w:val="000000"/>
          <w:sz w:val="28"/>
          <w:szCs w:val="28"/>
          <w:u w:val="single"/>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-139700</wp:posOffset>
                </wp:positionV>
                <wp:extent cx="1933575" cy="1173480"/>
                <wp:effectExtent l="0" t="0" r="28575" b="26670"/>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1312;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pStyle w:val="16"/>
        <w:numPr>
          <w:ilvl w:val="0"/>
          <w:numId w:val="5"/>
        </w:numPr>
        <w:autoSpaceDE w:val="0"/>
        <w:autoSpaceDN w:val="0"/>
        <w:spacing w:line="360" w:lineRule="auto"/>
        <w:ind w:firstLineChars="0"/>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8"/>
          <w:szCs w:val="28"/>
        </w:rPr>
        <w:t>开标一览表</w:t>
      </w:r>
    </w:p>
    <w:p>
      <w:pPr>
        <w:autoSpaceDE w:val="0"/>
        <w:autoSpaceDN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ascii="仿宋" w:hAnsi="仿宋" w:eastAsia="仿宋" w:cs="仿宋"/>
          <w:color w:val="000000"/>
          <w:sz w:val="24"/>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ascii="仿宋" w:hAnsi="仿宋" w:eastAsia="仿宋" w:cs="仿宋"/>
          <w:color w:val="000000"/>
          <w:sz w:val="24"/>
        </w:rPr>
      </w:pP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rPr>
      </w:pP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color w:val="000000"/>
          <w:sz w:val="28"/>
          <w:szCs w:val="28"/>
        </w:rPr>
        <w:t>5、投标明细报价表</w:t>
      </w:r>
    </w:p>
    <w:p>
      <w:pPr>
        <w:adjustRightInd w:val="0"/>
        <w:snapToGrid w:val="0"/>
        <w:jc w:val="center"/>
        <w:rPr>
          <w:rFonts w:ascii="仿宋" w:hAnsi="仿宋" w:eastAsia="仿宋" w:cs="仿宋"/>
          <w:bCs/>
          <w:color w:val="000000"/>
          <w:sz w:val="28"/>
          <w:szCs w:val="28"/>
        </w:rPr>
      </w:pPr>
    </w:p>
    <w:p>
      <w:pPr>
        <w:numPr>
          <w:ilvl w:val="0"/>
          <w:numId w:val="6"/>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提供设备详细报价单。</w:t>
      </w:r>
    </w:p>
    <w:p>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3.报价明细表中的内容，可根据自身的实际情况、招标文件项目清单编制，体现服务项目内容、数量、单价及合价金额，分析说明和理由，格式不限。</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4.在报价表内未有明确列述的项目费用应视为包括在报价单价之内。</w:t>
      </w:r>
    </w:p>
    <w:p>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5.如果不提供明细报价将视为没有实质性响应招标文件。</w:t>
      </w:r>
    </w:p>
    <w:p>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6. 详细报价表有投标人法定代表人/负责人（或法定代表人/负责人授权代表）签字，投标人名称(加盖公章)。 </w:t>
      </w:r>
      <w:bookmarkStart w:id="6" w:name="_Toc43264530"/>
      <w:bookmarkStart w:id="7" w:name="_Toc391542588"/>
    </w:p>
    <w:p>
      <w:pPr>
        <w:spacing w:line="360" w:lineRule="auto"/>
        <w:rPr>
          <w:rFonts w:ascii="仿宋" w:hAnsi="仿宋" w:eastAsia="仿宋" w:cs="仿宋"/>
          <w:color w:val="000000"/>
        </w:rPr>
      </w:pP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6、商务部分应提供的资料</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7、质保期承诺函（须加盖投标人公章）</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8、技术部分资料</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9、投标人认为应该提供的其他资料</w:t>
      </w:r>
    </w:p>
    <w:p>
      <w:pPr>
        <w:tabs>
          <w:tab w:val="left" w:pos="540"/>
        </w:tabs>
        <w:spacing w:line="360" w:lineRule="auto"/>
        <w:rPr>
          <w:rFonts w:ascii="仿宋" w:hAnsi="仿宋" w:eastAsia="仿宋" w:cs="仿宋"/>
          <w:b/>
          <w:color w:val="000000"/>
          <w:sz w:val="28"/>
          <w:szCs w:val="28"/>
        </w:rPr>
      </w:pPr>
    </w:p>
    <w:p>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rPr>
          <w:rFonts w:ascii="仿宋" w:hAnsi="仿宋" w:eastAsia="仿宋" w:cs="仿宋"/>
          <w:color w:val="000000"/>
          <w:sz w:val="24"/>
        </w:rPr>
      </w:pPr>
    </w:p>
    <w:bookmarkEnd w:id="6"/>
    <w:bookmarkEnd w:id="7"/>
    <w:p/>
    <w:p/>
    <w:sectPr>
      <w:footerReference r:id="rId3"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pPr>
        <w:ind w:left="0" w:firstLine="0"/>
      </w:pPr>
    </w:lvl>
  </w:abstractNum>
  <w:abstractNum w:abstractNumId="1">
    <w:nsid w:val="CF08B3D0"/>
    <w:multiLevelType w:val="singleLevel"/>
    <w:tmpl w:val="CF08B3D0"/>
    <w:lvl w:ilvl="0" w:tentative="0">
      <w:start w:val="1"/>
      <w:numFmt w:val="chineseCounting"/>
      <w:suff w:val="nothing"/>
      <w:lvlText w:val="%1、"/>
      <w:lvlJc w:val="left"/>
      <w:pPr>
        <w:ind w:left="105" w:firstLine="0"/>
      </w:pPr>
    </w:lvl>
  </w:abstractNum>
  <w:abstractNum w:abstractNumId="2">
    <w:nsid w:val="259A3268"/>
    <w:multiLevelType w:val="multilevel"/>
    <w:tmpl w:val="259A3268"/>
    <w:lvl w:ilvl="0" w:tentative="0">
      <w:start w:val="4"/>
      <w:numFmt w:val="decimal"/>
      <w:lvlText w:val="%1、"/>
      <w:lvlJc w:val="left"/>
      <w:pPr>
        <w:ind w:left="720" w:hanging="720"/>
      </w:pPr>
      <w:rPr>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090AEC"/>
    <w:multiLevelType w:val="singleLevel"/>
    <w:tmpl w:val="2D090AEC"/>
    <w:lvl w:ilvl="0" w:tentative="0">
      <w:start w:val="2"/>
      <w:numFmt w:val="decimal"/>
      <w:suff w:val="space"/>
      <w:lvlText w:val="%1."/>
      <w:lvlJc w:val="left"/>
      <w:pPr>
        <w:ind w:left="0" w:firstLine="0"/>
      </w:pPr>
    </w:lvl>
  </w:abstractNum>
  <w:abstractNum w:abstractNumId="4">
    <w:nsid w:val="6B980156"/>
    <w:multiLevelType w:val="multilevel"/>
    <w:tmpl w:val="6B980156"/>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AABAE8"/>
    <w:multiLevelType w:val="singleLevel"/>
    <w:tmpl w:val="72AABAE8"/>
    <w:lvl w:ilvl="0" w:tentative="0">
      <w:start w:val="2"/>
      <w:numFmt w:val="decimal"/>
      <w:suff w:val="space"/>
      <w:lvlText w:val="%1)"/>
      <w:lvlJc w:val="left"/>
      <w:pPr>
        <w:ind w:left="0" w:firstLine="0"/>
      </w:pPr>
    </w:lvl>
  </w:abstractNum>
  <w:num w:numId="1">
    <w:abstractNumId w:val="3"/>
    <w:lvlOverride w:ilvl="0">
      <w:startOverride w:val="2"/>
    </w:lvlOverride>
  </w:num>
  <w:num w:numId="2">
    <w:abstractNumId w:val="0"/>
    <w:lvlOverride w:ilvl="0">
      <w:startOverride w:val="2"/>
    </w:lvlOverride>
  </w:num>
  <w:num w:numId="3">
    <w:abstractNumId w:val="4"/>
  </w:num>
  <w:num w:numId="4">
    <w:abstractNumId w:val="5"/>
    <w:lvlOverride w:ilvl="0">
      <w:startOverride w:val="2"/>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MGNjZjBiNjFiNTdlZGJlODM0MjkyMTY0OTdkNjgifQ=="/>
  </w:docVars>
  <w:rsids>
    <w:rsidRoot w:val="00894707"/>
    <w:rsid w:val="00004F12"/>
    <w:rsid w:val="000635F1"/>
    <w:rsid w:val="000B28CD"/>
    <w:rsid w:val="000C4703"/>
    <w:rsid w:val="000E7B79"/>
    <w:rsid w:val="00105DB4"/>
    <w:rsid w:val="00112584"/>
    <w:rsid w:val="00124341"/>
    <w:rsid w:val="001353B6"/>
    <w:rsid w:val="001A1478"/>
    <w:rsid w:val="001E08DF"/>
    <w:rsid w:val="001E702F"/>
    <w:rsid w:val="001F237D"/>
    <w:rsid w:val="001F3546"/>
    <w:rsid w:val="00236BCC"/>
    <w:rsid w:val="00254143"/>
    <w:rsid w:val="00276A05"/>
    <w:rsid w:val="002935F3"/>
    <w:rsid w:val="002B7CA6"/>
    <w:rsid w:val="002E41B8"/>
    <w:rsid w:val="00305B3D"/>
    <w:rsid w:val="003353CE"/>
    <w:rsid w:val="00340958"/>
    <w:rsid w:val="0034660C"/>
    <w:rsid w:val="00350F58"/>
    <w:rsid w:val="003653D6"/>
    <w:rsid w:val="003C37C3"/>
    <w:rsid w:val="003D3DBE"/>
    <w:rsid w:val="003E5D84"/>
    <w:rsid w:val="00403BCA"/>
    <w:rsid w:val="00431DD8"/>
    <w:rsid w:val="00444A9D"/>
    <w:rsid w:val="00464B5E"/>
    <w:rsid w:val="004748C5"/>
    <w:rsid w:val="0047501A"/>
    <w:rsid w:val="004860F7"/>
    <w:rsid w:val="00492257"/>
    <w:rsid w:val="004C2FF4"/>
    <w:rsid w:val="004C69CA"/>
    <w:rsid w:val="004D135E"/>
    <w:rsid w:val="004E3E7C"/>
    <w:rsid w:val="005110E1"/>
    <w:rsid w:val="005144E3"/>
    <w:rsid w:val="00566FD6"/>
    <w:rsid w:val="005A111F"/>
    <w:rsid w:val="005A2B58"/>
    <w:rsid w:val="005E6E3E"/>
    <w:rsid w:val="006342AF"/>
    <w:rsid w:val="00643327"/>
    <w:rsid w:val="006610EC"/>
    <w:rsid w:val="006D6372"/>
    <w:rsid w:val="00717B0A"/>
    <w:rsid w:val="00726F6D"/>
    <w:rsid w:val="00742C4E"/>
    <w:rsid w:val="0075075E"/>
    <w:rsid w:val="0078312C"/>
    <w:rsid w:val="007913DC"/>
    <w:rsid w:val="007B2747"/>
    <w:rsid w:val="007B7585"/>
    <w:rsid w:val="007D0224"/>
    <w:rsid w:val="007F123C"/>
    <w:rsid w:val="0082138B"/>
    <w:rsid w:val="008935B7"/>
    <w:rsid w:val="00894707"/>
    <w:rsid w:val="008A0AB9"/>
    <w:rsid w:val="008B3D1C"/>
    <w:rsid w:val="008D466D"/>
    <w:rsid w:val="00907132"/>
    <w:rsid w:val="009B0B31"/>
    <w:rsid w:val="009B1291"/>
    <w:rsid w:val="009B65AE"/>
    <w:rsid w:val="009E7CB9"/>
    <w:rsid w:val="009F43D2"/>
    <w:rsid w:val="00A24DBF"/>
    <w:rsid w:val="00A41342"/>
    <w:rsid w:val="00A70248"/>
    <w:rsid w:val="00A84898"/>
    <w:rsid w:val="00A8536A"/>
    <w:rsid w:val="00A94BBD"/>
    <w:rsid w:val="00AA1881"/>
    <w:rsid w:val="00AD0F1A"/>
    <w:rsid w:val="00AF069E"/>
    <w:rsid w:val="00AF5297"/>
    <w:rsid w:val="00AF7423"/>
    <w:rsid w:val="00B07ABC"/>
    <w:rsid w:val="00BD5A42"/>
    <w:rsid w:val="00BE5F35"/>
    <w:rsid w:val="00BF4976"/>
    <w:rsid w:val="00C166C6"/>
    <w:rsid w:val="00C61982"/>
    <w:rsid w:val="00C639F7"/>
    <w:rsid w:val="00C63C97"/>
    <w:rsid w:val="00C77BD1"/>
    <w:rsid w:val="00C834A1"/>
    <w:rsid w:val="00C84BD5"/>
    <w:rsid w:val="00C85E7A"/>
    <w:rsid w:val="00C9783D"/>
    <w:rsid w:val="00CB75C7"/>
    <w:rsid w:val="00CC7162"/>
    <w:rsid w:val="00CD18C8"/>
    <w:rsid w:val="00CD34C9"/>
    <w:rsid w:val="00CE309C"/>
    <w:rsid w:val="00CF6D83"/>
    <w:rsid w:val="00D13CB4"/>
    <w:rsid w:val="00D21B11"/>
    <w:rsid w:val="00D456BC"/>
    <w:rsid w:val="00D55182"/>
    <w:rsid w:val="00D570B2"/>
    <w:rsid w:val="00D645C4"/>
    <w:rsid w:val="00DA36C1"/>
    <w:rsid w:val="00DC55E0"/>
    <w:rsid w:val="00E21F26"/>
    <w:rsid w:val="00E27FAD"/>
    <w:rsid w:val="00E3380A"/>
    <w:rsid w:val="00E75106"/>
    <w:rsid w:val="00E8411B"/>
    <w:rsid w:val="00EC1CD8"/>
    <w:rsid w:val="00EC61A6"/>
    <w:rsid w:val="00EC7354"/>
    <w:rsid w:val="00EC7A92"/>
    <w:rsid w:val="00F16CD8"/>
    <w:rsid w:val="00F4262B"/>
    <w:rsid w:val="00F4684B"/>
    <w:rsid w:val="00F56C4B"/>
    <w:rsid w:val="00F64CCB"/>
    <w:rsid w:val="00F76910"/>
    <w:rsid w:val="00F8747B"/>
    <w:rsid w:val="00FB2CA0"/>
    <w:rsid w:val="08846EC3"/>
    <w:rsid w:val="40174C0F"/>
    <w:rsid w:val="5B9F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link w:val="12"/>
    <w:semiHidden/>
    <w:unhideWhenUsed/>
    <w:qFormat/>
    <w:uiPriority w:val="0"/>
    <w:pPr>
      <w:keepNext/>
      <w:keepLines/>
      <w:spacing w:before="280" w:after="290" w:line="374"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0"/>
    <w:pPr>
      <w:spacing w:after="120"/>
    </w:pPr>
  </w:style>
  <w:style w:type="paragraph" w:styleId="4">
    <w:name w:val="Normal Indent"/>
    <w:basedOn w:val="1"/>
    <w:link w:val="14"/>
    <w:semiHidden/>
    <w:unhideWhenUsed/>
    <w:qFormat/>
    <w:uiPriority w:val="0"/>
    <w:pPr>
      <w:ind w:firstLine="420"/>
    </w:pPr>
    <w:rPr>
      <w:rFonts w:asciiTheme="minorHAnsi" w:hAnsiTheme="minorHAnsi" w:eastAsiaTheme="minorEastAsia" w:cstheme="minorBidi"/>
      <w:szCs w:val="22"/>
    </w:rPr>
  </w:style>
  <w:style w:type="paragraph" w:styleId="5">
    <w:name w:val="Plain Text"/>
    <w:basedOn w:val="1"/>
    <w:next w:val="1"/>
    <w:link w:val="15"/>
    <w:unhideWhenUsed/>
    <w:qFormat/>
    <w:uiPriority w:val="0"/>
    <w:rPr>
      <w:rFonts w:ascii="宋体" w:hAnsi="Courier New" w:cs="Courier New"/>
      <w:szCs w:val="21"/>
    </w:rPr>
  </w:style>
  <w:style w:type="paragraph" w:styleId="6">
    <w:name w:val="Balloon Text"/>
    <w:basedOn w:val="1"/>
    <w:link w:val="25"/>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4 字符"/>
    <w:basedOn w:val="11"/>
    <w:link w:val="3"/>
    <w:semiHidden/>
    <w:qFormat/>
    <w:uiPriority w:val="0"/>
    <w:rPr>
      <w:rFonts w:ascii="Arial" w:hAnsi="Arial" w:eastAsia="黑体" w:cs="Times New Roman"/>
      <w:b/>
      <w:bCs/>
      <w:sz w:val="28"/>
      <w:szCs w:val="28"/>
    </w:rPr>
  </w:style>
  <w:style w:type="character" w:customStyle="1" w:styleId="13">
    <w:name w:val="正文文本 字符"/>
    <w:basedOn w:val="11"/>
    <w:link w:val="2"/>
    <w:qFormat/>
    <w:uiPriority w:val="0"/>
    <w:rPr>
      <w:rFonts w:ascii="Times New Roman" w:hAnsi="Times New Roman" w:eastAsia="宋体" w:cs="Times New Roman"/>
      <w:szCs w:val="24"/>
    </w:rPr>
  </w:style>
  <w:style w:type="character" w:customStyle="1" w:styleId="14">
    <w:name w:val="正文缩进 字符"/>
    <w:basedOn w:val="11"/>
    <w:link w:val="4"/>
    <w:semiHidden/>
    <w:qFormat/>
    <w:locked/>
    <w:uiPriority w:val="0"/>
  </w:style>
  <w:style w:type="character" w:customStyle="1" w:styleId="15">
    <w:name w:val="纯文本 字符"/>
    <w:basedOn w:val="11"/>
    <w:link w:val="5"/>
    <w:qFormat/>
    <w:uiPriority w:val="0"/>
    <w:rPr>
      <w:rFonts w:ascii="宋体" w:hAnsi="Courier New" w:eastAsia="宋体" w:cs="Courier New"/>
      <w:szCs w:val="21"/>
    </w:rPr>
  </w:style>
  <w:style w:type="paragraph" w:styleId="16">
    <w:name w:val="List Paragraph"/>
    <w:basedOn w:val="1"/>
    <w:qFormat/>
    <w:uiPriority w:val="34"/>
    <w:pPr>
      <w:ind w:firstLine="420" w:firstLineChars="200"/>
    </w:pPr>
  </w:style>
  <w:style w:type="paragraph" w:customStyle="1" w:styleId="17">
    <w:name w:val="Table Paragraph"/>
    <w:basedOn w:val="1"/>
    <w:qFormat/>
    <w:uiPriority w:val="1"/>
    <w:rPr>
      <w:rFonts w:ascii="宋体" w:hAnsi="宋体" w:cs="宋体"/>
      <w:lang w:val="zh-CN" w:bidi="zh-CN"/>
    </w:rPr>
  </w:style>
  <w:style w:type="paragraph" w:customStyle="1" w:styleId="18">
    <w:name w:val="表格文字"/>
    <w:basedOn w:val="1"/>
    <w:qFormat/>
    <w:uiPriority w:val="0"/>
    <w:pPr>
      <w:spacing w:before="25" w:after="25"/>
      <w:jc w:val="left"/>
    </w:pPr>
    <w:rPr>
      <w:bCs/>
      <w:spacing w:val="10"/>
      <w:kern w:val="0"/>
      <w:sz w:val="24"/>
      <w:szCs w:val="20"/>
    </w:rPr>
  </w:style>
  <w:style w:type="paragraph" w:customStyle="1" w:styleId="1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font31"/>
    <w:basedOn w:val="11"/>
    <w:qFormat/>
    <w:uiPriority w:val="0"/>
    <w:rPr>
      <w:rFonts w:hint="default" w:ascii="Arial" w:hAnsi="Arial" w:cs="Arial"/>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 w:type="character" w:customStyle="1" w:styleId="22">
    <w:name w:val="fontstyle01"/>
    <w:basedOn w:val="11"/>
    <w:qFormat/>
    <w:uiPriority w:val="0"/>
    <w:rPr>
      <w:rFonts w:hint="eastAsia" w:ascii="宋体" w:hAnsi="宋体" w:eastAsia="宋体"/>
      <w:color w:val="000000"/>
      <w:sz w:val="22"/>
      <w:szCs w:val="22"/>
    </w:rPr>
  </w:style>
  <w:style w:type="character" w:customStyle="1" w:styleId="23">
    <w:name w:val="页眉 字符"/>
    <w:basedOn w:val="11"/>
    <w:link w:val="8"/>
    <w:qFormat/>
    <w:uiPriority w:val="99"/>
    <w:rPr>
      <w:rFonts w:ascii="Times New Roman" w:hAnsi="Times New Roman" w:eastAsia="宋体" w:cs="Times New Roman"/>
      <w:sz w:val="18"/>
      <w:szCs w:val="18"/>
    </w:rPr>
  </w:style>
  <w:style w:type="character" w:customStyle="1" w:styleId="24">
    <w:name w:val="页脚 字符"/>
    <w:basedOn w:val="11"/>
    <w:link w:val="7"/>
    <w:qFormat/>
    <w:uiPriority w:val="99"/>
    <w:rPr>
      <w:rFonts w:ascii="Times New Roman" w:hAnsi="Times New Roman" w:eastAsia="宋体" w:cs="Times New Roman"/>
      <w:sz w:val="18"/>
      <w:szCs w:val="18"/>
    </w:rPr>
  </w:style>
  <w:style w:type="character" w:customStyle="1" w:styleId="25">
    <w:name w:val="批注框文本 字符"/>
    <w:basedOn w:val="11"/>
    <w:link w:val="6"/>
    <w:semiHidden/>
    <w:uiPriority w:val="99"/>
    <w:rPr>
      <w:rFonts w:ascii="Times New Roman" w:hAnsi="Times New Roman" w:eastAsia="宋体" w:cs="Times New Roman"/>
      <w:sz w:val="18"/>
      <w:szCs w:val="18"/>
    </w:rPr>
  </w:style>
  <w:style w:type="paragraph" w:customStyle="1" w:styleId="26">
    <w:name w:val="列表段落1"/>
    <w:basedOn w:val="1"/>
    <w:qFormat/>
    <w:uiPriority w:val="34"/>
    <w:pPr>
      <w:widowControl/>
      <w:ind w:firstLine="420" w:firstLineChars="200"/>
      <w:jc w:val="left"/>
    </w:pPr>
    <w:rPr>
      <w:rFonts w:ascii="宋体" w:hAnsi="宋体" w:cs="宋体"/>
      <w:kern w:val="0"/>
      <w:sz w:val="24"/>
    </w:rPr>
  </w:style>
  <w:style w:type="character" w:customStyle="1" w:styleId="27">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5585</Words>
  <Characters>6023</Characters>
  <Lines>51</Lines>
  <Paragraphs>14</Paragraphs>
  <TotalTime>18</TotalTime>
  <ScaleCrop>false</ScaleCrop>
  <LinksUpToDate>false</LinksUpToDate>
  <CharactersWithSpaces>6574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2023-05-24T03:07:00Z</dcterms:created>
  <dc:creator>Administrator</dc:creator>
  <cp:lastModifiedBy>小容</cp:lastModifiedBy>
  <cp:lastPrinted>2023-06-06T02:16:00Z</cp:lastPrinted>
  <dcterms:modified xsi:type="dcterms:W3CDTF">2023-06-13T01:40:45Z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D8336A1545574E2EA5075529D807CF48_12</vt:lpwstr>
  </property>
</Properties>
</file>