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002" w:firstLineChars="200"/>
        <w:rPr>
          <w:rFonts w:ascii="华文新魏" w:hAnsi="Garamond" w:eastAsia="华文新魏"/>
          <w:b/>
          <w:caps/>
          <w:spacing w:val="20"/>
          <w:kern w:val="0"/>
          <w:sz w:val="96"/>
          <w:szCs w:val="96"/>
          <w:lang w:bidi="he-IL"/>
        </w:rPr>
      </w:pPr>
      <w:bookmarkStart w:id="0" w:name="chapter55"/>
      <w:bookmarkEnd w:id="0"/>
      <w:r>
        <w:rPr>
          <w:rFonts w:hint="eastAsia" w:ascii="华文新魏" w:hAnsi="Garamond" w:eastAsia="华文新魏"/>
          <w:b/>
          <w:caps/>
          <w:spacing w:val="20"/>
          <w:kern w:val="0"/>
          <w:sz w:val="96"/>
          <w:szCs w:val="96"/>
          <w:lang w:bidi="he-IL"/>
        </w:rPr>
        <w:t>招标文件</w:t>
      </w:r>
    </w:p>
    <w:p>
      <w:pPr>
        <w:spacing w:line="312" w:lineRule="auto"/>
        <w:ind w:firstLine="2002" w:firstLineChars="200"/>
        <w:rPr>
          <w:rFonts w:ascii="华文新魏" w:hAnsi="Garamond" w:eastAsia="华文新魏"/>
          <w:b/>
          <w:caps/>
          <w:spacing w:val="20"/>
          <w:kern w:val="0"/>
          <w:sz w:val="96"/>
          <w:szCs w:val="96"/>
          <w:lang w:bidi="he-IL"/>
        </w:rPr>
      </w:pPr>
    </w:p>
    <w:p>
      <w:pPr>
        <w:spacing w:line="312" w:lineRule="auto"/>
        <w:ind w:firstLine="422" w:firstLineChars="200"/>
        <w:rPr>
          <w:rFonts w:ascii="宋体" w:hAnsi="宋体"/>
          <w:b/>
          <w:bCs/>
          <w:szCs w:val="21"/>
        </w:rPr>
      </w:pPr>
    </w:p>
    <w:p>
      <w:pPr>
        <w:spacing w:line="312" w:lineRule="auto"/>
        <w:jc w:val="center"/>
        <w:rPr>
          <w:rFonts w:ascii="宋体" w:hAnsi="宋体"/>
          <w:b/>
          <w:bCs/>
          <w:szCs w:val="21"/>
        </w:rPr>
      </w:pPr>
    </w:p>
    <w:p>
      <w:pPr>
        <w:adjustRightInd w:val="0"/>
        <w:snapToGrid w:val="0"/>
        <w:spacing w:line="360" w:lineRule="auto"/>
        <w:ind w:right="-200"/>
        <w:rPr>
          <w:rFonts w:ascii="仿宋_GB2312" w:hAnsi="宋体" w:eastAsia="仿宋_GB2312"/>
          <w:b/>
          <w:sz w:val="32"/>
          <w:szCs w:val="32"/>
          <w:u w:val="single"/>
        </w:rPr>
      </w:pPr>
      <w:r>
        <w:rPr>
          <w:rFonts w:hint="eastAsia" w:ascii="仿宋_GB2312" w:hAnsi="宋体" w:eastAsia="仿宋_GB2312"/>
          <w:b/>
          <w:sz w:val="32"/>
          <w:szCs w:val="32"/>
        </w:rPr>
        <w:t xml:space="preserve">招标编号: </w:t>
      </w:r>
      <w:r>
        <w:rPr>
          <w:rFonts w:hint="eastAsia" w:ascii="仿宋_GB2312" w:hAnsi="宋体" w:eastAsia="仿宋_GB2312"/>
          <w:b/>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宋体" w:eastAsia="仿宋_GB2312"/>
          <w:b/>
          <w:sz w:val="32"/>
          <w:szCs w:val="32"/>
          <w:u w:val="single"/>
        </w:rPr>
        <w:t xml:space="preserve">              </w:t>
      </w:r>
    </w:p>
    <w:p>
      <w:pPr>
        <w:adjustRightInd w:val="0"/>
        <w:snapToGrid w:val="0"/>
        <w:spacing w:line="360" w:lineRule="auto"/>
        <w:ind w:right="-200"/>
        <w:rPr>
          <w:rFonts w:hint="eastAsia" w:ascii="仿宋_GB2312" w:hAnsi="宋体" w:eastAsia="仿宋_GB2312"/>
          <w:b/>
          <w:sz w:val="32"/>
          <w:szCs w:val="32"/>
          <w:u w:val="single"/>
          <w:lang w:eastAsia="zh-CN"/>
        </w:rPr>
      </w:pPr>
      <w:r>
        <w:rPr>
          <w:rFonts w:hint="eastAsia" w:ascii="仿宋_GB2312" w:hAnsi="宋体" w:eastAsia="仿宋_GB2312"/>
          <w:b/>
          <w:sz w:val="32"/>
          <w:szCs w:val="32"/>
        </w:rPr>
        <w:t>项目名称：</w:t>
      </w:r>
      <w:r>
        <w:rPr>
          <w:rFonts w:hint="eastAsia" w:ascii="仿宋_GB2312" w:hAnsi="宋体" w:eastAsia="仿宋_GB2312"/>
          <w:b/>
          <w:sz w:val="30"/>
          <w:szCs w:val="30"/>
          <w:u w:val="single"/>
        </w:rPr>
        <w:t>深圳市广播电视技术中心</w:t>
      </w:r>
      <w:r>
        <w:rPr>
          <w:rFonts w:hint="eastAsia" w:ascii="仿宋_GB2312" w:hAnsi="宋体" w:eastAsia="仿宋_GB2312"/>
          <w:b/>
          <w:sz w:val="30"/>
          <w:szCs w:val="30"/>
          <w:u w:val="single"/>
          <w:lang w:eastAsia="zh-CN"/>
        </w:rPr>
        <w:t>购置EPS电源</w:t>
      </w:r>
    </w:p>
    <w:p>
      <w:pPr>
        <w:adjustRightInd w:val="0"/>
        <w:snapToGrid w:val="0"/>
        <w:spacing w:line="360" w:lineRule="auto"/>
        <w:ind w:right="-200"/>
        <w:rPr>
          <w:rFonts w:ascii="仿宋_GB2312" w:hAnsi="宋体" w:eastAsia="仿宋_GB2312"/>
          <w:b/>
          <w:sz w:val="32"/>
          <w:szCs w:val="32"/>
        </w:rPr>
      </w:pPr>
      <w:r>
        <w:rPr>
          <w:rFonts w:hint="eastAsia" w:ascii="仿宋_GB2312" w:hAnsi="宋体" w:eastAsia="仿宋_GB2312"/>
          <w:b/>
          <w:sz w:val="32"/>
          <w:szCs w:val="32"/>
        </w:rPr>
        <w:t>采购方式：</w:t>
      </w:r>
      <w:r>
        <w:rPr>
          <w:rFonts w:hint="eastAsia" w:ascii="仿宋_GB2312" w:hAnsi="宋体" w:eastAsia="仿宋_GB2312"/>
          <w:b/>
          <w:sz w:val="32"/>
          <w:szCs w:val="32"/>
          <w:u w:val="single"/>
        </w:rPr>
        <w:t xml:space="preserve">                 </w:t>
      </w:r>
      <w:r>
        <w:rPr>
          <w:rFonts w:hint="eastAsia" w:ascii="仿宋_GB2312" w:hAnsi="华文中宋" w:eastAsia="仿宋_GB2312"/>
          <w:b/>
          <w:sz w:val="32"/>
          <w:szCs w:val="32"/>
          <w:u w:val="single"/>
        </w:rPr>
        <w:t>公开招标</w:t>
      </w:r>
      <w:r>
        <w:rPr>
          <w:rFonts w:hint="eastAsia" w:ascii="仿宋_GB2312" w:hAnsi="宋体" w:eastAsia="仿宋_GB2312"/>
          <w:b/>
          <w:sz w:val="32"/>
          <w:szCs w:val="32"/>
          <w:u w:val="single"/>
        </w:rPr>
        <w:t xml:space="preserve">                  </w:t>
      </w:r>
    </w:p>
    <w:p>
      <w:pPr>
        <w:adjustRightInd w:val="0"/>
        <w:snapToGrid w:val="0"/>
        <w:spacing w:line="360" w:lineRule="auto"/>
        <w:ind w:right="-200"/>
        <w:rPr>
          <w:rFonts w:ascii="仿宋_GB2312" w:hAnsi="宋体" w:eastAsia="仿宋_GB2312"/>
          <w:b/>
          <w:sz w:val="32"/>
          <w:szCs w:val="32"/>
        </w:rPr>
      </w:pPr>
      <w:r>
        <w:rPr>
          <w:rFonts w:hint="eastAsia" w:ascii="仿宋_GB2312" w:hAnsi="宋体" w:eastAsia="仿宋_GB2312"/>
          <w:b/>
          <w:sz w:val="32"/>
          <w:szCs w:val="32"/>
        </w:rPr>
        <w:t>采 购 人：</w:t>
      </w:r>
      <w:r>
        <w:rPr>
          <w:rFonts w:hint="eastAsia" w:ascii="仿宋_GB2312" w:hAnsi="宋体" w:eastAsia="仿宋_GB2312"/>
          <w:b/>
          <w:sz w:val="32"/>
          <w:szCs w:val="32"/>
          <w:u w:val="single"/>
        </w:rPr>
        <w:t xml:space="preserve">            </w:t>
      </w:r>
      <w:r>
        <w:rPr>
          <w:rFonts w:hint="eastAsia" w:ascii="仿宋_GB2312" w:hAnsi="宋体" w:eastAsia="仿宋_GB2312"/>
          <w:b/>
          <w:sz w:val="30"/>
          <w:szCs w:val="30"/>
          <w:u w:val="single"/>
        </w:rPr>
        <w:t>深圳市广播电视技术中心</w:t>
      </w:r>
      <w:r>
        <w:rPr>
          <w:rFonts w:hint="eastAsia" w:ascii="仿宋_GB2312" w:hAnsi="宋体" w:eastAsia="仿宋_GB2312"/>
          <w:b/>
          <w:sz w:val="32"/>
          <w:szCs w:val="32"/>
          <w:u w:val="single"/>
        </w:rPr>
        <w:t xml:space="preserve">          </w:t>
      </w:r>
    </w:p>
    <w:p>
      <w:pPr>
        <w:adjustRightInd w:val="0"/>
        <w:snapToGrid w:val="0"/>
        <w:spacing w:line="360" w:lineRule="auto"/>
        <w:ind w:right="-200"/>
        <w:rPr>
          <w:rFonts w:ascii="仿宋_GB2312" w:hAnsi="宋体" w:eastAsia="仿宋_GB2312"/>
          <w:b/>
          <w:sz w:val="32"/>
          <w:szCs w:val="32"/>
          <w:u w:val="single"/>
        </w:rPr>
      </w:pPr>
      <w:r>
        <w:rPr>
          <w:rFonts w:hint="eastAsia" w:ascii="仿宋_GB2312" w:hAnsi="宋体" w:eastAsia="仿宋_GB2312"/>
          <w:b/>
          <w:sz w:val="32"/>
          <w:szCs w:val="32"/>
        </w:rPr>
        <w:t>代理机构：</w:t>
      </w:r>
      <w:r>
        <w:rPr>
          <w:rFonts w:hint="eastAsia" w:ascii="仿宋_GB2312" w:hAnsi="宋体" w:eastAsia="仿宋_GB2312"/>
          <w:b/>
          <w:sz w:val="32"/>
          <w:szCs w:val="32"/>
          <w:u w:val="single"/>
        </w:rPr>
        <w:t xml:space="preserve">                   </w:t>
      </w:r>
    </w:p>
    <w:p>
      <w:pPr>
        <w:jc w:val="left"/>
        <w:rPr>
          <w:rFonts w:ascii="仿宋_GB2312" w:hAnsi="宋体" w:eastAsia="仿宋_GB2312"/>
          <w:b/>
          <w:sz w:val="32"/>
          <w:szCs w:val="32"/>
        </w:rPr>
      </w:pPr>
    </w:p>
    <w:p>
      <w:pPr>
        <w:jc w:val="left"/>
        <w:rPr>
          <w:rFonts w:ascii="仿宋_GB2312" w:hAnsi="宋体" w:eastAsia="仿宋_GB2312"/>
          <w:b/>
          <w:sz w:val="32"/>
          <w:szCs w:val="32"/>
        </w:rPr>
      </w:pPr>
    </w:p>
    <w:p>
      <w:pPr>
        <w:jc w:val="left"/>
        <w:rPr>
          <w:rFonts w:ascii="仿宋_GB2312" w:hAnsi="宋体" w:eastAsia="仿宋_GB2312"/>
          <w:b/>
          <w:sz w:val="32"/>
          <w:szCs w:val="32"/>
        </w:rPr>
      </w:pPr>
    </w:p>
    <w:p>
      <w:pPr>
        <w:jc w:val="left"/>
        <w:rPr>
          <w:rFonts w:ascii="仿宋_GB2312" w:hAnsi="宋体" w:eastAsia="仿宋_GB2312"/>
          <w:b/>
          <w:sz w:val="32"/>
          <w:szCs w:val="32"/>
        </w:rPr>
      </w:pPr>
    </w:p>
    <w:p>
      <w:pPr>
        <w:jc w:val="left"/>
        <w:rPr>
          <w:rFonts w:ascii="仿宋_GB2312" w:hAnsi="宋体" w:eastAsia="仿宋_GB2312"/>
          <w:b/>
          <w:sz w:val="32"/>
          <w:szCs w:val="32"/>
        </w:rPr>
      </w:pPr>
    </w:p>
    <w:p>
      <w:pPr>
        <w:jc w:val="left"/>
        <w:rPr>
          <w:rFonts w:ascii="仿宋_GB2312" w:hAnsi="宋体" w:eastAsia="仿宋_GB2312"/>
          <w:b/>
          <w:sz w:val="32"/>
          <w:szCs w:val="32"/>
        </w:rPr>
      </w:pPr>
    </w:p>
    <w:p>
      <w:pPr>
        <w:jc w:val="left"/>
        <w:rPr>
          <w:rFonts w:ascii="仿宋_GB2312" w:hAnsi="宋体" w:eastAsia="仿宋_GB2312"/>
          <w:b/>
          <w:sz w:val="32"/>
          <w:szCs w:val="32"/>
        </w:rPr>
      </w:pPr>
    </w:p>
    <w:p>
      <w:pPr>
        <w:spacing w:line="312" w:lineRule="auto"/>
        <w:jc w:val="center"/>
        <w:rPr>
          <w:rFonts w:ascii="仿宋_GB2312" w:hAnsi="宋体" w:eastAsia="仿宋_GB2312"/>
          <w:b/>
          <w:sz w:val="36"/>
          <w:szCs w:val="32"/>
        </w:rPr>
      </w:pPr>
    </w:p>
    <w:p>
      <w:pPr>
        <w:spacing w:line="360" w:lineRule="auto"/>
        <w:rPr>
          <w:rFonts w:ascii="宋体" w:hAnsi="宋体"/>
          <w:b/>
          <w:color w:val="000000"/>
          <w:sz w:val="52"/>
        </w:rPr>
      </w:pPr>
    </w:p>
    <w:p>
      <w:pPr>
        <w:spacing w:line="360" w:lineRule="auto"/>
        <w:jc w:val="center"/>
        <w:rPr>
          <w:rFonts w:ascii="华文新魏" w:eastAsia="华文新魏"/>
          <w:b/>
          <w:bCs/>
          <w:sz w:val="84"/>
          <w:szCs w:val="84"/>
        </w:rPr>
      </w:pPr>
      <w:bookmarkStart w:id="1" w:name="Fouryaoqinghan3"/>
      <w:bookmarkEnd w:id="1"/>
      <w:r>
        <w:rPr>
          <w:rFonts w:hint="eastAsia" w:ascii="华文新魏" w:eastAsia="华文新魏"/>
          <w:b/>
          <w:bCs/>
          <w:sz w:val="84"/>
          <w:szCs w:val="84"/>
        </w:rPr>
        <w:t>项目要求</w:t>
      </w:r>
    </w:p>
    <w:p>
      <w:pPr>
        <w:spacing w:line="360" w:lineRule="auto"/>
        <w:jc w:val="left"/>
        <w:rPr>
          <w:b/>
          <w:bCs/>
          <w:sz w:val="28"/>
        </w:rPr>
      </w:pPr>
    </w:p>
    <w:p>
      <w:pPr>
        <w:spacing w:line="360" w:lineRule="auto"/>
        <w:jc w:val="left"/>
        <w:rPr>
          <w:rFonts w:ascii="仿宋_GB2312" w:eastAsia="仿宋_GB2312"/>
          <w:b/>
          <w:bCs/>
          <w:sz w:val="24"/>
        </w:rPr>
      </w:pPr>
      <w:bookmarkStart w:id="2" w:name="医院简介"/>
      <w:bookmarkEnd w:id="2"/>
      <w:r>
        <w:rPr>
          <w:rFonts w:hint="eastAsia"/>
          <w:b/>
          <w:bCs/>
          <w:sz w:val="28"/>
        </w:rPr>
        <w:t>一、项目概述</w:t>
      </w:r>
    </w:p>
    <w:p>
      <w:pPr>
        <w:spacing w:line="400" w:lineRule="exact"/>
        <w:ind w:firstLine="420" w:firstLineChars="200"/>
        <w:rPr>
          <w:rFonts w:ascii="宋体" w:hAnsi="宋体"/>
          <w:bCs/>
          <w:szCs w:val="21"/>
        </w:rPr>
      </w:pPr>
      <w:bookmarkStart w:id="3" w:name="sevenxiangmugaisu"/>
      <w:bookmarkEnd w:id="3"/>
      <w:r>
        <w:rPr>
          <w:rFonts w:hint="eastAsia" w:ascii="宋体" w:hAnsi="宋体"/>
          <w:szCs w:val="21"/>
        </w:rPr>
        <w:t>本项目为</w:t>
      </w:r>
      <w:r>
        <w:rPr>
          <w:rFonts w:hint="eastAsia"/>
        </w:rPr>
        <w:t>深圳市广播电视技术中心</w:t>
      </w:r>
      <w:r>
        <w:rPr>
          <w:rFonts w:hint="eastAsia"/>
          <w:lang w:eastAsia="zh-CN"/>
        </w:rPr>
        <w:t>购置EPS电源</w:t>
      </w:r>
      <w:r>
        <w:rPr>
          <w:rFonts w:hint="eastAsia"/>
        </w:rPr>
        <w:t>项目</w:t>
      </w:r>
      <w:r>
        <w:rPr>
          <w:rFonts w:hint="eastAsia" w:ascii="宋体" w:hAnsi="宋体"/>
          <w:bCs/>
          <w:szCs w:val="21"/>
        </w:rPr>
        <w:t>，具体参数详见“技术要求”。</w:t>
      </w:r>
    </w:p>
    <w:p>
      <w:pPr>
        <w:spacing w:line="400" w:lineRule="exact"/>
        <w:ind w:firstLine="405"/>
        <w:rPr>
          <w:rFonts w:ascii="宋体" w:hAnsi="宋体"/>
          <w:bCs/>
          <w:szCs w:val="21"/>
        </w:rPr>
      </w:pPr>
    </w:p>
    <w:p>
      <w:pPr>
        <w:spacing w:line="400" w:lineRule="exact"/>
        <w:rPr>
          <w:b/>
          <w:bCs/>
          <w:color w:val="00B0F0"/>
          <w:sz w:val="28"/>
        </w:rPr>
      </w:pPr>
      <w:bookmarkStart w:id="4" w:name="商务要求"/>
      <w:bookmarkEnd w:id="4"/>
      <w:r>
        <w:rPr>
          <w:rFonts w:hint="eastAsia"/>
          <w:b/>
          <w:bCs/>
          <w:sz w:val="28"/>
        </w:rPr>
        <w:t>二</w:t>
      </w:r>
      <w:r>
        <w:rPr>
          <w:rFonts w:hint="eastAsia" w:ascii="宋体" w:hAnsi="宋体"/>
          <w:b/>
          <w:bCs/>
          <w:sz w:val="28"/>
        </w:rPr>
        <w:t>、</w:t>
      </w:r>
      <w:r>
        <w:rPr>
          <w:rFonts w:hint="eastAsia"/>
          <w:b/>
          <w:bCs/>
          <w:sz w:val="28"/>
        </w:rPr>
        <w:t>商务要求</w:t>
      </w:r>
      <w:bookmarkStart w:id="42" w:name="_GoBack"/>
      <w:bookmarkEnd w:id="42"/>
    </w:p>
    <w:p>
      <w:pPr>
        <w:spacing w:line="400" w:lineRule="exact"/>
        <w:ind w:firstLine="517" w:firstLineChars="245"/>
        <w:rPr>
          <w:b/>
          <w:bCs/>
        </w:rPr>
      </w:pPr>
      <w:r>
        <w:rPr>
          <w:rFonts w:hint="eastAsia"/>
          <w:b/>
          <w:bCs/>
        </w:rPr>
        <w:t>1、</w:t>
      </w:r>
      <w:r>
        <w:rPr>
          <w:b/>
          <w:bCs/>
        </w:rPr>
        <w:t>资格标准</w:t>
      </w:r>
      <w:r>
        <w:rPr>
          <w:rFonts w:hint="eastAsia"/>
          <w:bCs/>
        </w:rPr>
        <w:t>（</w:t>
      </w:r>
      <w:r>
        <w:rPr>
          <w:rFonts w:hint="eastAsia"/>
        </w:rPr>
        <w:t>投标人编制的投标文件中须包含以下资格证明文件</w:t>
      </w:r>
      <w:r>
        <w:t>复印件，原件备查</w:t>
      </w:r>
      <w:r>
        <w:rPr>
          <w:rFonts w:hint="eastAsia"/>
        </w:rPr>
        <w:t>）</w:t>
      </w:r>
    </w:p>
    <w:p>
      <w:pPr>
        <w:numPr>
          <w:ilvl w:val="0"/>
          <w:numId w:val="1"/>
        </w:numPr>
        <w:spacing w:after="72" w:line="400" w:lineRule="exact"/>
        <w:rPr>
          <w:color w:val="00B0F0"/>
        </w:rPr>
      </w:pPr>
      <w:r>
        <w:rPr>
          <w:rFonts w:hint="eastAsia" w:ascii="宋体" w:hAnsi="宋体" w:cs="宋体"/>
          <w:szCs w:val="21"/>
        </w:rPr>
        <w:t>★</w:t>
      </w:r>
      <w:r>
        <w:t>授权</w:t>
      </w:r>
      <w:r>
        <w:rPr>
          <w:rFonts w:hint="eastAsia"/>
        </w:rPr>
        <w:t xml:space="preserve">： </w:t>
      </w:r>
      <w:r>
        <w:rPr>
          <w:rFonts w:hint="eastAsia" w:ascii="宋体" w:hAnsi="宋体"/>
          <w:szCs w:val="21"/>
        </w:rPr>
        <w:t>投标人若不是制造商，则</w:t>
      </w:r>
      <w:r>
        <w:rPr>
          <w:rFonts w:ascii="宋体" w:hAnsi="宋体"/>
          <w:szCs w:val="21"/>
        </w:rPr>
        <w:t>必须</w:t>
      </w:r>
      <w:r>
        <w:rPr>
          <w:rFonts w:hint="eastAsia" w:ascii="宋体" w:hAnsi="宋体"/>
          <w:szCs w:val="21"/>
        </w:rPr>
        <w:t>是取得合法</w:t>
      </w:r>
      <w:r>
        <w:rPr>
          <w:rFonts w:ascii="宋体" w:hAnsi="宋体"/>
          <w:szCs w:val="21"/>
        </w:rPr>
        <w:t>授权</w:t>
      </w:r>
      <w:r>
        <w:rPr>
          <w:rFonts w:hint="eastAsia" w:ascii="宋体" w:hAnsi="宋体"/>
          <w:szCs w:val="21"/>
        </w:rPr>
        <w:t>资格</w:t>
      </w:r>
      <w:r>
        <w:rPr>
          <w:rFonts w:ascii="宋体" w:hAnsi="宋体"/>
          <w:szCs w:val="21"/>
        </w:rPr>
        <w:t>的代理商</w:t>
      </w:r>
      <w:r>
        <w:rPr>
          <w:rFonts w:hint="eastAsia" w:ascii="宋体" w:hAnsi="宋体"/>
          <w:szCs w:val="21"/>
        </w:rPr>
        <w:t>，</w:t>
      </w:r>
      <w:r>
        <w:rPr>
          <w:rFonts w:ascii="宋体" w:hAnsi="宋体"/>
          <w:szCs w:val="21"/>
        </w:rPr>
        <w:t>代理商</w:t>
      </w:r>
      <w:r>
        <w:rPr>
          <w:rFonts w:hint="eastAsia" w:ascii="宋体" w:hAnsi="宋体"/>
          <w:szCs w:val="21"/>
        </w:rPr>
        <w:t>投标时须提供所投产品制造商出具的针对本项目专项授权书</w:t>
      </w:r>
      <w:r>
        <w:rPr>
          <w:rFonts w:ascii="宋体" w:hAnsi="宋体"/>
          <w:szCs w:val="21"/>
        </w:rPr>
        <w:t>复印件（加盖公章）</w:t>
      </w:r>
      <w:r>
        <w:rPr>
          <w:rFonts w:hint="eastAsia" w:ascii="宋体" w:hAnsi="宋体"/>
          <w:szCs w:val="21"/>
        </w:rPr>
        <w:t>。</w:t>
      </w:r>
    </w:p>
    <w:p>
      <w:pPr>
        <w:numPr>
          <w:ilvl w:val="0"/>
          <w:numId w:val="1"/>
        </w:numPr>
        <w:spacing w:after="72" w:line="400" w:lineRule="exact"/>
        <w:rPr>
          <w:color w:val="000000"/>
          <w:szCs w:val="21"/>
        </w:rPr>
      </w:pPr>
      <w:r>
        <w:rPr>
          <w:rFonts w:hint="eastAsia" w:ascii="宋体" w:hAnsi="宋体" w:cs="宋体"/>
          <w:color w:val="000000"/>
          <w:szCs w:val="21"/>
        </w:rPr>
        <w:t>★投标人</w:t>
      </w:r>
    </w:p>
    <w:p>
      <w:pPr>
        <w:numPr>
          <w:ilvl w:val="1"/>
          <w:numId w:val="1"/>
        </w:numPr>
        <w:spacing w:after="72" w:line="400" w:lineRule="exact"/>
        <w:ind w:left="1633" w:hanging="357"/>
      </w:pPr>
      <w:r>
        <w:t>《营业执照》：</w:t>
      </w:r>
      <w:r>
        <w:rPr>
          <w:rFonts w:hint="eastAsia"/>
        </w:rPr>
        <w:t xml:space="preserve"> </w:t>
      </w:r>
      <w:r>
        <w:t>投标人必须是在中华人民共和国境内注册并合法运作的独立法人机构</w:t>
      </w:r>
      <w:r>
        <w:rPr>
          <w:rFonts w:hint="eastAsia"/>
        </w:rPr>
        <w:t>，</w:t>
      </w:r>
      <w:r>
        <w:rPr>
          <w:rFonts w:hint="eastAsia"/>
          <w:szCs w:val="21"/>
        </w:rPr>
        <w:t>具有相关经营范围。</w:t>
      </w:r>
      <w:r>
        <w:rPr>
          <w:rFonts w:hint="eastAsia"/>
        </w:rPr>
        <w:t>注册资金不少于人民币500万元，以本次投标截止日期为基准。须提供</w:t>
      </w:r>
      <w:r>
        <w:t>工商</w:t>
      </w:r>
      <w:r>
        <w:rPr>
          <w:rFonts w:hint="eastAsia"/>
        </w:rPr>
        <w:t>行政管理部门颁发的《营业执照》副本复印件</w:t>
      </w:r>
      <w:r>
        <w:rPr>
          <w:rFonts w:hint="eastAsia"/>
          <w:szCs w:val="21"/>
        </w:rPr>
        <w:t>（加盖公章）</w:t>
      </w:r>
      <w:r>
        <w:rPr>
          <w:rFonts w:hint="eastAsia"/>
        </w:rPr>
        <w:t>。</w:t>
      </w:r>
    </w:p>
    <w:p>
      <w:pPr>
        <w:numPr>
          <w:ilvl w:val="1"/>
          <w:numId w:val="1"/>
        </w:numPr>
        <w:spacing w:after="72" w:line="400" w:lineRule="exact"/>
        <w:ind w:left="1633" w:hanging="357"/>
      </w:pPr>
      <w:r>
        <w:rPr>
          <w:rFonts w:hint="eastAsia"/>
          <w:kern w:val="0"/>
          <w:szCs w:val="28"/>
        </w:rPr>
        <w:t>本项目不接受进口产品投标（进口产品是指通过中国海关报关验放进入中国境内且产自关境外的产品，含已进入中国境内并在国内市场有销售的进口产品）。国外品牌或合资品牌的投标产品必须提供厂家国内生产产地证明资料</w:t>
      </w:r>
      <w:r>
        <w:rPr>
          <w:rFonts w:hint="eastAsia"/>
        </w:rPr>
        <w:t>复印件</w:t>
      </w:r>
      <w:r>
        <w:rPr>
          <w:rFonts w:hint="eastAsia"/>
          <w:szCs w:val="21"/>
        </w:rPr>
        <w:t>（加盖公章）</w:t>
      </w:r>
      <w:r>
        <w:rPr>
          <w:rFonts w:hint="eastAsia"/>
          <w:kern w:val="0"/>
          <w:szCs w:val="28"/>
        </w:rPr>
        <w:t>，否则将导致废标。</w:t>
      </w:r>
    </w:p>
    <w:p>
      <w:pPr>
        <w:numPr>
          <w:ilvl w:val="1"/>
          <w:numId w:val="1"/>
        </w:numPr>
        <w:spacing w:after="72" w:line="400" w:lineRule="exact"/>
        <w:ind w:left="1633" w:hanging="357"/>
      </w:pPr>
      <w:r>
        <w:rPr>
          <w:rFonts w:hint="eastAsia"/>
        </w:rPr>
        <w:t>投标人在政府采购最近</w:t>
      </w:r>
      <w:r>
        <w:t>三年内（自2021年以来）无因经营中违法违规的记录，无骗取中标、严重违约及重大安全及质量问题之一</w:t>
      </w:r>
      <w:r>
        <w:rPr>
          <w:rFonts w:hint="eastAsia"/>
        </w:rPr>
        <w:t>。</w:t>
      </w:r>
    </w:p>
    <w:p>
      <w:pPr>
        <w:numPr>
          <w:ilvl w:val="1"/>
          <w:numId w:val="1"/>
        </w:numPr>
        <w:spacing w:after="72" w:line="400" w:lineRule="exact"/>
        <w:rPr>
          <w:rFonts w:ascii="Arial" w:cs="Arial"/>
        </w:rPr>
      </w:pPr>
      <w:r>
        <w:rPr>
          <w:rFonts w:hint="eastAsia"/>
          <w:color w:val="000000"/>
          <w:kern w:val="0"/>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color w:val="000000"/>
        </w:rPr>
        <w:t>投标人违反前两款规定的，投标无效。</w:t>
      </w:r>
    </w:p>
    <w:p>
      <w:pPr>
        <w:numPr>
          <w:ilvl w:val="1"/>
          <w:numId w:val="1"/>
        </w:numPr>
        <w:spacing w:after="72" w:line="400" w:lineRule="exact"/>
        <w:rPr>
          <w:rFonts w:ascii="Arial" w:cs="Arial"/>
        </w:rPr>
      </w:pPr>
      <w:r>
        <w:rPr>
          <w:rFonts w:hint="eastAsia" w:ascii="Arial" w:cs="Arial"/>
          <w:color w:val="0000FF"/>
        </w:rPr>
        <w:t>本项目不接受联合体投标。</w:t>
      </w:r>
    </w:p>
    <w:p>
      <w:pPr>
        <w:tabs>
          <w:tab w:val="left" w:pos="900"/>
        </w:tabs>
        <w:spacing w:after="72" w:line="400" w:lineRule="exact"/>
        <w:ind w:firstLine="517" w:firstLineChars="245"/>
        <w:rPr>
          <w:b/>
          <w:bCs/>
        </w:rPr>
      </w:pPr>
      <w:bookmarkStart w:id="5" w:name="Fivetoubiaobaojia6"/>
      <w:bookmarkEnd w:id="5"/>
      <w:r>
        <w:rPr>
          <w:b/>
          <w:color w:val="000000"/>
          <w:szCs w:val="21"/>
        </w:rPr>
        <w:t>2、</w:t>
      </w:r>
      <w:r>
        <w:rPr>
          <w:rFonts w:hint="eastAsia"/>
          <w:b/>
          <w:bCs/>
        </w:rPr>
        <w:t>投标报价</w:t>
      </w:r>
    </w:p>
    <w:p>
      <w:pPr>
        <w:numPr>
          <w:ilvl w:val="0"/>
          <w:numId w:val="2"/>
        </w:numPr>
        <w:spacing w:after="72" w:line="400" w:lineRule="exact"/>
        <w:rPr>
          <w:color w:val="000000"/>
          <w:szCs w:val="21"/>
        </w:rPr>
      </w:pPr>
      <w:r>
        <w:rPr>
          <w:rFonts w:ascii="Segoe UI Symbol" w:hAnsi="Segoe UI Symbol" w:cs="Segoe UI Symbol"/>
          <w:color w:val="000000"/>
          <w:szCs w:val="21"/>
        </w:rPr>
        <w:t>★</w:t>
      </w:r>
      <w:r>
        <w:rPr>
          <w:color w:val="000000"/>
          <w:szCs w:val="21"/>
        </w:rPr>
        <w:t>投标报价应以人民币为结算单位</w:t>
      </w:r>
      <w:r>
        <w:rPr>
          <w:szCs w:val="21"/>
        </w:rPr>
        <w:t>（</w:t>
      </w:r>
      <w:r>
        <w:rPr>
          <w:rFonts w:hint="eastAsia"/>
          <w:szCs w:val="21"/>
        </w:rPr>
        <w:t>含税</w:t>
      </w:r>
      <w:r>
        <w:rPr>
          <w:szCs w:val="21"/>
        </w:rPr>
        <w:t>），投标</w:t>
      </w:r>
      <w:r>
        <w:rPr>
          <w:color w:val="000000"/>
          <w:szCs w:val="21"/>
        </w:rPr>
        <w:t>报价须包括：</w:t>
      </w:r>
      <w:r>
        <w:rPr>
          <w:rFonts w:hint="eastAsia"/>
          <w:color w:val="000000"/>
          <w:szCs w:val="21"/>
        </w:rPr>
        <w:t xml:space="preserve"> 产品</w:t>
      </w:r>
      <w:r>
        <w:rPr>
          <w:color w:val="000000"/>
          <w:szCs w:val="21"/>
        </w:rPr>
        <w:t>及运至合同指定地点的</w:t>
      </w:r>
      <w:r>
        <w:rPr>
          <w:rFonts w:hint="eastAsia"/>
          <w:color w:val="000000"/>
          <w:szCs w:val="21"/>
        </w:rPr>
        <w:t>包装、</w:t>
      </w:r>
      <w:r>
        <w:rPr>
          <w:color w:val="000000"/>
          <w:szCs w:val="21"/>
        </w:rPr>
        <w:t>运输费、保险费、装卸费、</w:t>
      </w:r>
      <w:r>
        <w:rPr>
          <w:rFonts w:hint="eastAsia"/>
          <w:color w:val="000000"/>
          <w:szCs w:val="21"/>
        </w:rPr>
        <w:t>质保期内售后服务、人员</w:t>
      </w:r>
      <w:r>
        <w:rPr>
          <w:color w:val="000000"/>
          <w:szCs w:val="21"/>
        </w:rPr>
        <w:t>培训费、安装</w:t>
      </w:r>
      <w:r>
        <w:rPr>
          <w:rFonts w:hint="eastAsia"/>
          <w:color w:val="000000"/>
          <w:szCs w:val="21"/>
        </w:rPr>
        <w:t>（包括安装辅材等）</w:t>
      </w:r>
      <w:r>
        <w:rPr>
          <w:color w:val="000000"/>
          <w:szCs w:val="21"/>
        </w:rPr>
        <w:t>、调试</w:t>
      </w:r>
      <w:r>
        <w:rPr>
          <w:rFonts w:hint="eastAsia"/>
          <w:color w:val="000000"/>
          <w:szCs w:val="21"/>
        </w:rPr>
        <w:t>、测试、检查检验、税费</w:t>
      </w:r>
      <w:r>
        <w:rPr>
          <w:color w:val="000000"/>
          <w:szCs w:val="21"/>
        </w:rPr>
        <w:t>等</w:t>
      </w:r>
      <w:r>
        <w:rPr>
          <w:rFonts w:hint="eastAsia"/>
          <w:color w:val="000000"/>
          <w:szCs w:val="21"/>
        </w:rPr>
        <w:t>完成该项目的一切费用总和。</w:t>
      </w:r>
    </w:p>
    <w:p>
      <w:pPr>
        <w:numPr>
          <w:ilvl w:val="0"/>
          <w:numId w:val="2"/>
        </w:numPr>
        <w:spacing w:after="72" w:line="400" w:lineRule="exact"/>
        <w:rPr>
          <w:color w:val="000000"/>
          <w:szCs w:val="21"/>
        </w:rPr>
      </w:pPr>
      <w:r>
        <w:rPr>
          <w:rFonts w:hint="eastAsia"/>
        </w:rPr>
        <w:t>投标人应根据招标文件的要求报出合同总</w:t>
      </w:r>
      <w:r>
        <w:rPr>
          <w:rFonts w:hint="eastAsia"/>
          <w:color w:val="000000"/>
        </w:rPr>
        <w:t>价。合同总价一旦核实确认，不能更改。对投标人漏报致使产品未能达到需求的功能和效果，</w:t>
      </w:r>
      <w:r>
        <w:rPr>
          <w:rFonts w:hint="eastAsia"/>
        </w:rPr>
        <w:t>或因缺少相应资质致使安装完成的产品不能通过相关部门的验收等，使产品不能正常使用，</w:t>
      </w:r>
      <w:r>
        <w:rPr>
          <w:rFonts w:hint="eastAsia"/>
          <w:color w:val="000000"/>
        </w:rPr>
        <w:t>其费用和后果由投标人自行负责。</w:t>
      </w:r>
    </w:p>
    <w:p>
      <w:pPr>
        <w:numPr>
          <w:ilvl w:val="0"/>
          <w:numId w:val="2"/>
        </w:numPr>
        <w:spacing w:after="72" w:line="400" w:lineRule="exact"/>
        <w:rPr>
          <w:color w:val="000000"/>
          <w:szCs w:val="21"/>
        </w:rPr>
      </w:pPr>
      <w:r>
        <w:rPr>
          <w:rFonts w:hint="eastAsia"/>
          <w:color w:val="000000"/>
        </w:rPr>
        <w:t>投标人对每项内容的报价必须是唯一的。招标人不接受有任何选择的报价。</w:t>
      </w:r>
    </w:p>
    <w:p>
      <w:pPr>
        <w:numPr>
          <w:ilvl w:val="0"/>
          <w:numId w:val="2"/>
        </w:numPr>
        <w:spacing w:after="72" w:line="400" w:lineRule="exact"/>
        <w:rPr>
          <w:color w:val="000000"/>
          <w:szCs w:val="21"/>
        </w:rPr>
      </w:pPr>
      <w:r>
        <w:rPr>
          <w:rFonts w:hint="eastAsia" w:ascii="宋体" w:hAnsi="宋体"/>
          <w:bCs/>
          <w:szCs w:val="21"/>
        </w:rPr>
        <w:t>投标人应先充分了解本招标文件的所有内容，并</w:t>
      </w:r>
      <w:r>
        <w:rPr>
          <w:rFonts w:ascii="宋体" w:hAnsi="宋体"/>
          <w:bCs/>
          <w:szCs w:val="21"/>
        </w:rPr>
        <w:t>结合投标人对本招标项目的理解，认真阅读分析本项目</w:t>
      </w:r>
      <w:r>
        <w:rPr>
          <w:rFonts w:hint="eastAsia" w:ascii="宋体" w:hAnsi="宋体"/>
          <w:bCs/>
          <w:szCs w:val="21"/>
        </w:rPr>
        <w:t>相关条款及任何其他足以影响报价的情况，在投标报价中考虑，任何因忽视或误解而导致的索赔或服务时间延长等申请将不获批准</w:t>
      </w:r>
      <w:r>
        <w:rPr>
          <w:rFonts w:hint="eastAsia"/>
        </w:rPr>
        <w:t>。</w:t>
      </w:r>
    </w:p>
    <w:p>
      <w:pPr>
        <w:numPr>
          <w:ilvl w:val="0"/>
          <w:numId w:val="2"/>
        </w:numPr>
        <w:spacing w:after="72" w:line="400" w:lineRule="exact"/>
        <w:rPr>
          <w:color w:val="000000"/>
          <w:szCs w:val="21"/>
        </w:rPr>
      </w:pPr>
      <w:r>
        <w:rPr>
          <w:rFonts w:ascii="Segoe UI Symbol" w:hAnsi="Segoe UI Symbol" w:cs="Segoe UI Symbol"/>
          <w:szCs w:val="21"/>
        </w:rPr>
        <w:t>★</w:t>
      </w:r>
      <w:r>
        <w:rPr>
          <w:rFonts w:hint="eastAsia" w:hAnsi="宋体"/>
          <w:b/>
          <w:szCs w:val="21"/>
        </w:rPr>
        <w:t>本项目预算金额为人</w:t>
      </w:r>
      <w:r>
        <w:rPr>
          <w:rFonts w:hAnsi="宋体"/>
          <w:b/>
          <w:szCs w:val="21"/>
        </w:rPr>
        <w:t>民币</w:t>
      </w:r>
      <w:r>
        <w:rPr>
          <w:rFonts w:hint="eastAsia" w:hAnsi="宋体"/>
          <w:b/>
          <w:szCs w:val="21"/>
        </w:rPr>
        <w:t>壹拾万元整（￥</w:t>
      </w:r>
      <w:r>
        <w:rPr>
          <w:rFonts w:hAnsi="宋体"/>
          <w:b/>
          <w:szCs w:val="21"/>
        </w:rPr>
        <w:t>10</w:t>
      </w:r>
      <w:r>
        <w:rPr>
          <w:rFonts w:hint="eastAsia" w:hAnsi="宋体"/>
          <w:b/>
          <w:szCs w:val="21"/>
        </w:rPr>
        <w:t>0,0</w:t>
      </w:r>
      <w:r>
        <w:rPr>
          <w:rFonts w:hAnsi="宋体"/>
          <w:b/>
          <w:szCs w:val="21"/>
        </w:rPr>
        <w:t>00</w:t>
      </w:r>
      <w:r>
        <w:rPr>
          <w:rFonts w:hint="eastAsia" w:hAnsi="宋体"/>
          <w:b/>
          <w:szCs w:val="21"/>
        </w:rPr>
        <w:t>.00</w:t>
      </w:r>
      <w:r>
        <w:rPr>
          <w:rFonts w:hAnsi="宋体"/>
          <w:b/>
          <w:szCs w:val="21"/>
        </w:rPr>
        <w:t>元</w:t>
      </w:r>
      <w:r>
        <w:rPr>
          <w:rFonts w:hint="eastAsia" w:hAnsi="宋体"/>
          <w:b/>
          <w:szCs w:val="21"/>
        </w:rPr>
        <w:t>），</w:t>
      </w:r>
      <w:r>
        <w:rPr>
          <w:rFonts w:hAnsi="宋体"/>
          <w:b/>
          <w:szCs w:val="21"/>
        </w:rPr>
        <w:t>投标报价超出</w:t>
      </w:r>
      <w:r>
        <w:rPr>
          <w:rFonts w:hint="eastAsia" w:hAnsi="宋体"/>
          <w:b/>
          <w:szCs w:val="21"/>
        </w:rPr>
        <w:t>预算金额</w:t>
      </w:r>
      <w:r>
        <w:rPr>
          <w:rFonts w:hAnsi="宋体"/>
          <w:b/>
          <w:szCs w:val="21"/>
        </w:rPr>
        <w:t>的将作废标处理。</w:t>
      </w:r>
    </w:p>
    <w:p>
      <w:pPr>
        <w:spacing w:line="400" w:lineRule="exact"/>
        <w:ind w:firstLine="517" w:firstLineChars="245"/>
        <w:rPr>
          <w:b/>
          <w:bCs/>
          <w:lang w:val="zh-CN"/>
        </w:rPr>
      </w:pPr>
      <w:r>
        <w:rPr>
          <w:rFonts w:hint="eastAsia"/>
          <w:b/>
          <w:bCs/>
        </w:rPr>
        <w:t>3、到货要求</w:t>
      </w:r>
    </w:p>
    <w:p>
      <w:pPr>
        <w:numPr>
          <w:ilvl w:val="0"/>
          <w:numId w:val="3"/>
        </w:numPr>
        <w:spacing w:after="72" w:line="400" w:lineRule="exact"/>
        <w:rPr>
          <w:rFonts w:ascii="宋体" w:hAnsi="宋体"/>
          <w:bCs/>
          <w:szCs w:val="21"/>
        </w:rPr>
      </w:pPr>
      <w:r>
        <w:rPr>
          <w:rFonts w:ascii="宋体" w:hAnsi="宋体"/>
          <w:bCs/>
          <w:szCs w:val="21"/>
        </w:rPr>
        <w:t>交货期：</w:t>
      </w:r>
      <w:r>
        <w:rPr>
          <w:rFonts w:hint="eastAsia" w:hAnsi="宋体"/>
          <w:color w:val="000000"/>
          <w:szCs w:val="21"/>
        </w:rPr>
        <w:t>合同签订生效后，接到招标人书面通知起45个日历日内</w:t>
      </w:r>
      <w:r>
        <w:rPr>
          <w:rFonts w:hint="eastAsia" w:ascii="宋体" w:hAnsi="宋体"/>
          <w:bCs/>
          <w:szCs w:val="21"/>
        </w:rPr>
        <w:t>交货</w:t>
      </w:r>
      <w:r>
        <w:rPr>
          <w:rFonts w:hint="eastAsia" w:hAnsi="宋体"/>
          <w:color w:val="000000"/>
          <w:szCs w:val="21"/>
        </w:rPr>
        <w:t>。</w:t>
      </w:r>
    </w:p>
    <w:p>
      <w:pPr>
        <w:numPr>
          <w:ilvl w:val="0"/>
          <w:numId w:val="3"/>
        </w:numPr>
        <w:spacing w:after="72" w:line="400" w:lineRule="exact"/>
        <w:rPr>
          <w:rFonts w:ascii="宋体" w:hAnsi="宋体"/>
          <w:bCs/>
          <w:szCs w:val="21"/>
        </w:rPr>
      </w:pPr>
      <w:r>
        <w:rPr>
          <w:rFonts w:hint="eastAsia"/>
          <w:szCs w:val="21"/>
        </w:rPr>
        <w:t>★</w:t>
      </w:r>
      <w:r>
        <w:rPr>
          <w:szCs w:val="21"/>
        </w:rPr>
        <w:t>交货地点：</w:t>
      </w:r>
      <w:r>
        <w:rPr>
          <w:rFonts w:hint="eastAsia" w:ascii="宋体" w:hAnsi="宋体"/>
          <w:szCs w:val="21"/>
        </w:rPr>
        <w:t>深圳市广播电视技术中心（招标人指定地点）。</w:t>
      </w:r>
    </w:p>
    <w:p>
      <w:pPr>
        <w:spacing w:after="72" w:line="400" w:lineRule="exact"/>
        <w:ind w:firstLine="420" w:firstLineChars="200"/>
        <w:rPr>
          <w:rFonts w:ascii="宋体" w:hAnsi="宋体"/>
          <w:bCs/>
          <w:szCs w:val="21"/>
        </w:rPr>
      </w:pPr>
      <w:bookmarkStart w:id="6" w:name="付款方法和条件"/>
      <w:bookmarkEnd w:id="6"/>
      <w:r>
        <w:rPr>
          <w:rFonts w:hint="eastAsia" w:ascii="宋体" w:hAnsi="宋体"/>
          <w:bCs/>
          <w:szCs w:val="21"/>
        </w:rPr>
        <w:t>4、★</w:t>
      </w:r>
      <w:r>
        <w:rPr>
          <w:rFonts w:ascii="宋体" w:hAnsi="宋体"/>
          <w:bCs/>
          <w:szCs w:val="21"/>
        </w:rPr>
        <w:t>付款方法和条件</w:t>
      </w:r>
      <w:r>
        <w:rPr>
          <w:rFonts w:hint="eastAsia" w:ascii="宋体" w:hAnsi="宋体"/>
          <w:bCs/>
          <w:szCs w:val="21"/>
        </w:rPr>
        <w:t xml:space="preserve">   </w:t>
      </w:r>
    </w:p>
    <w:p>
      <w:pPr>
        <w:spacing w:after="72" w:line="400" w:lineRule="exact"/>
        <w:ind w:firstLine="735" w:firstLineChars="350"/>
        <w:rPr>
          <w:rFonts w:ascii="宋体" w:hAnsi="宋体"/>
          <w:bCs/>
          <w:szCs w:val="21"/>
        </w:rPr>
      </w:pPr>
      <w:r>
        <w:rPr>
          <w:rFonts w:hint="eastAsia" w:ascii="宋体" w:hAnsi="宋体"/>
          <w:bCs/>
          <w:szCs w:val="21"/>
        </w:rPr>
        <w:t xml:space="preserve">    设备系统安装调试完毕，EPS设备运行正常，出具测试报告并验收合格，支付合同总金额。     </w:t>
      </w:r>
    </w:p>
    <w:p>
      <w:pPr>
        <w:spacing w:line="400" w:lineRule="exact"/>
        <w:ind w:firstLine="517" w:firstLineChars="245"/>
      </w:pPr>
      <w:r>
        <w:rPr>
          <w:rFonts w:hint="eastAsia"/>
          <w:b/>
          <w:bCs/>
        </w:rPr>
        <w:t>5、</w:t>
      </w:r>
      <w:r>
        <w:rPr>
          <w:b/>
          <w:bCs/>
        </w:rPr>
        <w:t>售后服务</w:t>
      </w:r>
      <w:r>
        <w:rPr>
          <w:rFonts w:hint="eastAsia"/>
          <w:b/>
          <w:bCs/>
        </w:rPr>
        <w:t xml:space="preserve">  </w:t>
      </w:r>
    </w:p>
    <w:p>
      <w:pPr>
        <w:numPr>
          <w:ilvl w:val="0"/>
          <w:numId w:val="4"/>
        </w:numPr>
        <w:spacing w:line="400" w:lineRule="exact"/>
        <w:rPr>
          <w:szCs w:val="21"/>
        </w:rPr>
      </w:pPr>
      <w:r>
        <w:rPr>
          <w:rFonts w:hint="eastAsia"/>
          <w:szCs w:val="21"/>
        </w:rPr>
        <w:t xml:space="preserve">质保期： </w:t>
      </w:r>
    </w:p>
    <w:p>
      <w:pPr>
        <w:numPr>
          <w:ilvl w:val="0"/>
          <w:numId w:val="5"/>
        </w:numPr>
        <w:tabs>
          <w:tab w:val="left" w:pos="1440"/>
        </w:tabs>
        <w:spacing w:line="400" w:lineRule="exact"/>
        <w:ind w:left="1604" w:hanging="357"/>
        <w:rPr>
          <w:rFonts w:hAnsi="宋体"/>
          <w:szCs w:val="21"/>
        </w:rPr>
      </w:pPr>
      <w:r>
        <w:rPr>
          <w:rFonts w:hint="eastAsia" w:hAnsi="宋体"/>
          <w:color w:val="000000"/>
          <w:szCs w:val="21"/>
        </w:rPr>
        <w:t>投标人（卖方）应对所提供的EPS电源设备应实行保修，质保期</w:t>
      </w:r>
      <w:r>
        <w:rPr>
          <w:szCs w:val="21"/>
        </w:rPr>
        <w:t>自</w:t>
      </w:r>
      <w:r>
        <w:rPr>
          <w:rFonts w:hint="eastAsia"/>
          <w:szCs w:val="21"/>
        </w:rPr>
        <w:t>产品正式</w:t>
      </w:r>
      <w:r>
        <w:rPr>
          <w:szCs w:val="21"/>
        </w:rPr>
        <w:t>验收合格</w:t>
      </w:r>
      <w:r>
        <w:rPr>
          <w:rFonts w:hint="eastAsia"/>
          <w:szCs w:val="21"/>
        </w:rPr>
        <w:t>投入使用之</w:t>
      </w:r>
      <w:r>
        <w:rPr>
          <w:szCs w:val="21"/>
        </w:rPr>
        <w:t>日起</w:t>
      </w:r>
      <w:r>
        <w:rPr>
          <w:rFonts w:hAnsi="宋体"/>
        </w:rPr>
        <w:t>至</w:t>
      </w:r>
      <w:r>
        <w:rPr>
          <w:rFonts w:hint="eastAsia"/>
        </w:rPr>
        <w:t>36个月</w:t>
      </w:r>
      <w:r>
        <w:rPr>
          <w:rFonts w:hint="eastAsia" w:hAnsi="宋体"/>
          <w:color w:val="000000"/>
          <w:szCs w:val="21"/>
        </w:rPr>
        <w:t>。质保期内，投标人应无偿并迅速更换由于元器件缺陷及制造工艺等问题而发生故障的产品。</w:t>
      </w:r>
    </w:p>
    <w:p>
      <w:pPr>
        <w:numPr>
          <w:ilvl w:val="0"/>
          <w:numId w:val="5"/>
        </w:numPr>
        <w:tabs>
          <w:tab w:val="left" w:pos="1440"/>
        </w:tabs>
        <w:spacing w:line="400" w:lineRule="exact"/>
        <w:ind w:left="1604" w:hanging="357"/>
        <w:rPr>
          <w:szCs w:val="21"/>
        </w:rPr>
      </w:pPr>
      <w:r>
        <w:rPr>
          <w:szCs w:val="21"/>
        </w:rPr>
        <w:t>故障响应时间：</w:t>
      </w:r>
      <w:r>
        <w:rPr>
          <w:rFonts w:hint="eastAsia" w:hAnsi="宋体"/>
          <w:color w:val="000000"/>
          <w:szCs w:val="21"/>
        </w:rPr>
        <w:t>在接到设备故障通知后，投标人应在12小时内到达现场并排除故障</w:t>
      </w:r>
      <w:r>
        <w:rPr>
          <w:rFonts w:hint="eastAsia"/>
          <w:szCs w:val="21"/>
        </w:rPr>
        <w:t>。</w:t>
      </w:r>
    </w:p>
    <w:p>
      <w:pPr>
        <w:numPr>
          <w:ilvl w:val="0"/>
          <w:numId w:val="5"/>
        </w:numPr>
        <w:tabs>
          <w:tab w:val="left" w:pos="1440"/>
        </w:tabs>
        <w:spacing w:line="400" w:lineRule="exact"/>
        <w:ind w:left="1604" w:hanging="357"/>
        <w:rPr>
          <w:szCs w:val="21"/>
        </w:rPr>
      </w:pPr>
      <w:r>
        <w:rPr>
          <w:rFonts w:hint="eastAsia" w:ascii="宋体" w:hAnsi="宋体"/>
          <w:szCs w:val="21"/>
        </w:rPr>
        <w:t>质保期内，如果有因质量问题而引起的损坏，供应商应对产品予以维修或更换，全部服务费和更换产品或配件的费用由供应商承担，供应商如不能修理或不能调换，按产品原价赔偿处理。</w:t>
      </w:r>
    </w:p>
    <w:p>
      <w:pPr>
        <w:numPr>
          <w:ilvl w:val="0"/>
          <w:numId w:val="4"/>
        </w:numPr>
        <w:spacing w:line="400" w:lineRule="exact"/>
        <w:rPr>
          <w:szCs w:val="21"/>
        </w:rPr>
      </w:pPr>
      <w:r>
        <w:rPr>
          <w:szCs w:val="21"/>
        </w:rPr>
        <w:t>质保期后：</w:t>
      </w:r>
      <w:r>
        <w:rPr>
          <w:rFonts w:hint="eastAsia"/>
        </w:rPr>
        <w:t>提供技术支持和详细的售后服务计划，</w:t>
      </w:r>
      <w:r>
        <w:t>投标人应按</w:t>
      </w:r>
      <w:r>
        <w:rPr>
          <w:rFonts w:hint="eastAsia" w:ascii="宋体" w:hAnsi="宋体"/>
          <w:szCs w:val="21"/>
        </w:rPr>
        <w:t>成本价标准收取维修及零件费用</w:t>
      </w:r>
      <w:r>
        <w:rPr>
          <w:rFonts w:hint="eastAsia"/>
        </w:rPr>
        <w:t>。</w:t>
      </w:r>
      <w:r>
        <w:rPr>
          <w:rFonts w:hint="eastAsia" w:hAnsi="宋体"/>
          <w:color w:val="000000"/>
          <w:szCs w:val="21"/>
        </w:rPr>
        <w:t>投标人应提供质保期以后的维修办法及维修报价。</w:t>
      </w:r>
    </w:p>
    <w:p>
      <w:pPr>
        <w:numPr>
          <w:ilvl w:val="0"/>
          <w:numId w:val="4"/>
        </w:numPr>
        <w:spacing w:line="400" w:lineRule="exact"/>
        <w:rPr>
          <w:color w:val="FF0000"/>
        </w:rPr>
      </w:pPr>
      <w:r>
        <w:rPr>
          <w:rFonts w:hint="eastAsia"/>
          <w:color w:val="000000"/>
          <w:szCs w:val="21"/>
        </w:rPr>
        <w:t>售后服务机构：</w:t>
      </w:r>
      <w:r>
        <w:rPr>
          <w:rFonts w:hint="eastAsia" w:hAnsi="宋体"/>
          <w:color w:val="000000"/>
          <w:szCs w:val="21"/>
        </w:rPr>
        <w:t>投标人应在深圳或广东地区设有专业维修机构和</w:t>
      </w:r>
      <w:r>
        <w:rPr>
          <w:rFonts w:hint="eastAsia" w:hAnsi="宋体"/>
          <w:color w:val="0000FF"/>
          <w:szCs w:val="21"/>
        </w:rPr>
        <w:t>储有备品备件</w:t>
      </w:r>
      <w:r>
        <w:rPr>
          <w:rFonts w:hint="eastAsia"/>
          <w:color w:val="0000FF"/>
          <w:szCs w:val="21"/>
        </w:rPr>
        <w:t>，</w:t>
      </w:r>
      <w:r>
        <w:rPr>
          <w:rFonts w:hint="eastAsia"/>
          <w:color w:val="000000"/>
          <w:szCs w:val="21"/>
        </w:rPr>
        <w:t>须提供负责</w:t>
      </w:r>
      <w:r>
        <w:rPr>
          <w:rFonts w:hint="eastAsia"/>
          <w:color w:val="000000"/>
        </w:rPr>
        <w:t>维修、保养的</w:t>
      </w:r>
      <w:r>
        <w:rPr>
          <w:rFonts w:hint="eastAsia"/>
          <w:color w:val="000000"/>
          <w:szCs w:val="21"/>
        </w:rPr>
        <w:t>售后服务</w:t>
      </w:r>
      <w:r>
        <w:rPr>
          <w:rFonts w:hint="eastAsia"/>
          <w:color w:val="000000"/>
        </w:rPr>
        <w:t>机构名称、</w:t>
      </w:r>
      <w:r>
        <w:rPr>
          <w:rFonts w:hint="eastAsia"/>
          <w:color w:val="000000"/>
          <w:szCs w:val="21"/>
        </w:rPr>
        <w:t>人员情况、办公地址、联系电话</w:t>
      </w:r>
      <w:r>
        <w:rPr>
          <w:rFonts w:hint="eastAsia" w:ascii="宋体" w:hAnsi="宋体"/>
          <w:color w:val="000000"/>
          <w:szCs w:val="21"/>
        </w:rPr>
        <w:t>等详细资料</w:t>
      </w:r>
      <w:r>
        <w:rPr>
          <w:rFonts w:hint="eastAsia"/>
          <w:color w:val="000000"/>
        </w:rPr>
        <w:t>。</w:t>
      </w:r>
    </w:p>
    <w:p>
      <w:pPr>
        <w:numPr>
          <w:ilvl w:val="0"/>
          <w:numId w:val="4"/>
        </w:numPr>
        <w:spacing w:line="400" w:lineRule="exact"/>
        <w:rPr>
          <w:color w:val="FF0000"/>
        </w:rPr>
      </w:pPr>
      <w:r>
        <w:rPr>
          <w:rFonts w:hint="eastAsia"/>
        </w:rPr>
        <w:t>培训</w:t>
      </w:r>
      <w:r>
        <w:rPr>
          <w:rFonts w:hint="eastAsia"/>
          <w:szCs w:val="21"/>
        </w:rPr>
        <w:t xml:space="preserve">： </w:t>
      </w:r>
      <w:r>
        <w:rPr>
          <w:rFonts w:hint="eastAsia" w:hAnsi="宋体"/>
          <w:color w:val="000000"/>
          <w:szCs w:val="21"/>
        </w:rPr>
        <w:t>投标人应安排招标人进行技术培训并提供相应资料和设施，培训内容应包括：设备工作原理和性能；设备安装、测试；设备维护、操作等。投标人</w:t>
      </w:r>
      <w:r>
        <w:rPr>
          <w:rFonts w:hint="eastAsia" w:ascii="宋体" w:hAnsi="宋体"/>
          <w:color w:val="000000"/>
          <w:szCs w:val="21"/>
        </w:rPr>
        <w:t>进行技术培训的费用包括在投标总价中。</w:t>
      </w:r>
    </w:p>
    <w:p>
      <w:pPr>
        <w:numPr>
          <w:ilvl w:val="0"/>
          <w:numId w:val="4"/>
        </w:numPr>
        <w:spacing w:line="400" w:lineRule="exact"/>
      </w:pPr>
      <w:r>
        <w:rPr>
          <w:rFonts w:hAnsi="宋体"/>
          <w:szCs w:val="21"/>
        </w:rPr>
        <w:t>安装、调试：</w:t>
      </w:r>
      <w:r>
        <w:rPr>
          <w:szCs w:val="21"/>
        </w:rPr>
        <w:t xml:space="preserve"> </w:t>
      </w:r>
    </w:p>
    <w:p>
      <w:pPr>
        <w:numPr>
          <w:ilvl w:val="0"/>
          <w:numId w:val="6"/>
        </w:numPr>
        <w:spacing w:line="400" w:lineRule="exact"/>
      </w:pPr>
      <w:r>
        <w:rPr>
          <w:rFonts w:hint="eastAsia"/>
          <w:color w:val="000000"/>
          <w:szCs w:val="21"/>
        </w:rPr>
        <w:t>卖方负责产品的安装、调试运行。在产品到达用户单位后，卖方应派技术人员到达现场，在买方技术人员在场的情况下开箱清点货物，组织安装、调试，并承担</w:t>
      </w:r>
      <w:r>
        <w:rPr>
          <w:rFonts w:hint="eastAsia" w:ascii="宋体" w:hAnsi="宋体"/>
          <w:color w:val="000000"/>
          <w:szCs w:val="21"/>
        </w:rPr>
        <w:t>正式验收合格前的一切费用（包括运输、包装、</w:t>
      </w:r>
      <w:r>
        <w:rPr>
          <w:rFonts w:ascii="宋体" w:hAnsi="宋体"/>
          <w:color w:val="000000"/>
          <w:szCs w:val="21"/>
        </w:rPr>
        <w:t>仓储</w:t>
      </w:r>
      <w:r>
        <w:rPr>
          <w:rFonts w:hint="eastAsia" w:ascii="宋体" w:hAnsi="宋体"/>
          <w:color w:val="000000"/>
          <w:szCs w:val="21"/>
        </w:rPr>
        <w:t>、安装、保险等费用）。</w:t>
      </w:r>
      <w:r>
        <w:rPr>
          <w:rFonts w:hint="eastAsia" w:ascii="宋体" w:hAnsi="宋体"/>
          <w:szCs w:val="21"/>
        </w:rPr>
        <w:t>如发现缺少、损坏部件，卖方须及时补交给买方，如因此造成拖延，买方有权按延期交货索赔</w:t>
      </w:r>
      <w:r>
        <w:t>。</w:t>
      </w:r>
    </w:p>
    <w:p>
      <w:pPr>
        <w:numPr>
          <w:ilvl w:val="0"/>
          <w:numId w:val="6"/>
        </w:numPr>
        <w:spacing w:line="400" w:lineRule="exact"/>
      </w:pPr>
      <w:r>
        <w:rPr>
          <w:rFonts w:hint="eastAsia"/>
          <w:color w:val="000000"/>
          <w:szCs w:val="21"/>
        </w:rPr>
        <w:t>卖</w:t>
      </w:r>
      <w:r>
        <w:rPr>
          <w:rFonts w:hint="eastAsia" w:hAnsi="宋体"/>
          <w:color w:val="000000"/>
          <w:szCs w:val="21"/>
        </w:rPr>
        <w:t>方应派熟练的技术专家安装设备并按照设备的主要说明书的规定对设备所要求的各项指标进行测试。</w:t>
      </w:r>
    </w:p>
    <w:p>
      <w:pPr>
        <w:numPr>
          <w:ilvl w:val="0"/>
          <w:numId w:val="6"/>
        </w:numPr>
        <w:spacing w:line="400" w:lineRule="exact"/>
      </w:pPr>
      <w:r>
        <w:rPr>
          <w:rFonts w:hint="eastAsia" w:hAnsi="宋体"/>
          <w:color w:val="000000"/>
          <w:szCs w:val="21"/>
        </w:rPr>
        <w:t>在上述测试中，若发生任一项指标不符合技术规范要求，</w:t>
      </w:r>
      <w:r>
        <w:rPr>
          <w:rFonts w:hint="eastAsia"/>
          <w:color w:val="000000"/>
          <w:szCs w:val="21"/>
        </w:rPr>
        <w:t>卖</w:t>
      </w:r>
      <w:r>
        <w:rPr>
          <w:rFonts w:hint="eastAsia" w:hAnsi="宋体"/>
          <w:color w:val="000000"/>
          <w:szCs w:val="21"/>
        </w:rPr>
        <w:t>方应免费更换其不合格产品，使之达到技术规范书要求。所有费用由</w:t>
      </w:r>
      <w:r>
        <w:rPr>
          <w:rFonts w:hint="eastAsia"/>
          <w:color w:val="000000"/>
          <w:szCs w:val="21"/>
        </w:rPr>
        <w:t>卖</w:t>
      </w:r>
      <w:r>
        <w:rPr>
          <w:rFonts w:hint="eastAsia" w:hAnsi="宋体"/>
          <w:color w:val="000000"/>
          <w:szCs w:val="21"/>
        </w:rPr>
        <w:t>方负担。</w:t>
      </w:r>
    </w:p>
    <w:p>
      <w:pPr>
        <w:numPr>
          <w:ilvl w:val="0"/>
          <w:numId w:val="4"/>
        </w:numPr>
        <w:spacing w:line="400" w:lineRule="exact"/>
        <w:rPr>
          <w:rFonts w:hAnsi="宋体"/>
          <w:szCs w:val="21"/>
        </w:rPr>
      </w:pPr>
      <w:r>
        <w:rPr>
          <w:rFonts w:hint="eastAsia" w:hAnsi="宋体"/>
          <w:szCs w:val="21"/>
        </w:rPr>
        <w:t xml:space="preserve">验收：  </w:t>
      </w:r>
    </w:p>
    <w:p>
      <w:pPr>
        <w:numPr>
          <w:ilvl w:val="0"/>
          <w:numId w:val="7"/>
        </w:numPr>
        <w:spacing w:line="400" w:lineRule="exact"/>
        <w:rPr>
          <w:rFonts w:hAnsi="宋体"/>
          <w:color w:val="000000"/>
          <w:szCs w:val="21"/>
        </w:rPr>
      </w:pPr>
      <w:r>
        <w:rPr>
          <w:rFonts w:hint="eastAsia" w:hAnsi="宋体"/>
          <w:color w:val="000000"/>
          <w:szCs w:val="21"/>
        </w:rPr>
        <w:t>在设备和电源系统安装调测合格后双方共同签署初验证书，经过3个月的试运行，当所有技术指标达到技术规范要求时，双方共同签署最终验收证书。</w:t>
      </w:r>
    </w:p>
    <w:p>
      <w:pPr>
        <w:numPr>
          <w:ilvl w:val="0"/>
          <w:numId w:val="7"/>
        </w:numPr>
        <w:spacing w:line="400" w:lineRule="exact"/>
        <w:rPr>
          <w:rFonts w:hAnsi="宋体"/>
          <w:color w:val="000000"/>
          <w:szCs w:val="21"/>
        </w:rPr>
      </w:pPr>
      <w:r>
        <w:rPr>
          <w:rFonts w:hint="eastAsia" w:ascii="宋体" w:hAnsi="宋体"/>
          <w:color w:val="000000"/>
          <w:szCs w:val="21"/>
        </w:rPr>
        <w:t>验收中如发现有质量不合格或型号规格、数量等与送货清单不符、提交的技术文件和资料不完整等情形，供应商应免费更换或补齐，并承担因此发生的违约责任。</w:t>
      </w:r>
    </w:p>
    <w:p>
      <w:pPr>
        <w:spacing w:line="400" w:lineRule="exact"/>
        <w:ind w:firstLine="517" w:firstLineChars="245"/>
        <w:rPr>
          <w:b/>
          <w:szCs w:val="21"/>
        </w:rPr>
      </w:pPr>
      <w:bookmarkStart w:id="7" w:name="ninetigongdedata9"/>
      <w:bookmarkEnd w:id="7"/>
      <w:r>
        <w:rPr>
          <w:rFonts w:hint="eastAsia"/>
          <w:b/>
          <w:szCs w:val="21"/>
        </w:rPr>
        <w:t>6、产品</w:t>
      </w:r>
      <w:r>
        <w:rPr>
          <w:b/>
          <w:szCs w:val="21"/>
        </w:rPr>
        <w:t>到货时及</w:t>
      </w:r>
      <w:r>
        <w:rPr>
          <w:rFonts w:hint="eastAsia"/>
          <w:b/>
          <w:szCs w:val="21"/>
        </w:rPr>
        <w:t>产品</w:t>
      </w:r>
      <w:r>
        <w:rPr>
          <w:b/>
          <w:szCs w:val="21"/>
        </w:rPr>
        <w:t>验收时需提供</w:t>
      </w:r>
      <w:r>
        <w:rPr>
          <w:rFonts w:hint="eastAsia"/>
          <w:b/>
          <w:szCs w:val="21"/>
        </w:rPr>
        <w:t>但不限于以下</w:t>
      </w:r>
      <w:r>
        <w:rPr>
          <w:b/>
          <w:szCs w:val="21"/>
        </w:rPr>
        <w:t>资料</w:t>
      </w:r>
      <w:r>
        <w:rPr>
          <w:rFonts w:hint="eastAsia"/>
          <w:b/>
          <w:szCs w:val="21"/>
        </w:rPr>
        <w:t>（所有资料应为中文书写）</w:t>
      </w:r>
    </w:p>
    <w:p>
      <w:pPr>
        <w:numPr>
          <w:ilvl w:val="0"/>
          <w:numId w:val="8"/>
        </w:numPr>
        <w:spacing w:line="400" w:lineRule="exact"/>
        <w:rPr>
          <w:rFonts w:hAnsi="宋体"/>
          <w:szCs w:val="21"/>
        </w:rPr>
      </w:pPr>
      <w:r>
        <w:rPr>
          <w:rFonts w:hint="eastAsia" w:hAnsi="宋体"/>
          <w:color w:val="000000"/>
          <w:szCs w:val="21"/>
        </w:rPr>
        <w:t>EPS电源设备的详细介绍；</w:t>
      </w:r>
    </w:p>
    <w:p>
      <w:pPr>
        <w:numPr>
          <w:ilvl w:val="0"/>
          <w:numId w:val="8"/>
        </w:numPr>
        <w:spacing w:line="400" w:lineRule="exact"/>
        <w:rPr>
          <w:rFonts w:hAnsi="宋体"/>
          <w:szCs w:val="21"/>
        </w:rPr>
      </w:pPr>
      <w:r>
        <w:rPr>
          <w:rFonts w:hint="eastAsia" w:hAnsi="宋体"/>
          <w:szCs w:val="21"/>
        </w:rPr>
        <w:t>产品安装、操作和维修保养手册；</w:t>
      </w:r>
    </w:p>
    <w:p>
      <w:pPr>
        <w:numPr>
          <w:ilvl w:val="0"/>
          <w:numId w:val="8"/>
        </w:numPr>
        <w:spacing w:line="400" w:lineRule="exact"/>
        <w:rPr>
          <w:rFonts w:hAnsi="宋体"/>
          <w:szCs w:val="21"/>
        </w:rPr>
      </w:pPr>
      <w:r>
        <w:rPr>
          <w:rFonts w:hint="eastAsia"/>
          <w:szCs w:val="21"/>
        </w:rPr>
        <w:t>产品</w:t>
      </w:r>
      <w:r>
        <w:rPr>
          <w:szCs w:val="21"/>
        </w:rPr>
        <w:t>使用说明书</w:t>
      </w:r>
      <w:r>
        <w:rPr>
          <w:rFonts w:hint="eastAsia"/>
          <w:szCs w:val="21"/>
        </w:rPr>
        <w:t>；</w:t>
      </w:r>
    </w:p>
    <w:p>
      <w:pPr>
        <w:numPr>
          <w:ilvl w:val="0"/>
          <w:numId w:val="8"/>
        </w:numPr>
        <w:spacing w:line="400" w:lineRule="exact"/>
        <w:rPr>
          <w:rFonts w:hAnsi="宋体"/>
          <w:szCs w:val="21"/>
        </w:rPr>
      </w:pPr>
      <w:r>
        <w:rPr>
          <w:rFonts w:hint="eastAsia"/>
          <w:szCs w:val="21"/>
        </w:rPr>
        <w:t>产品</w:t>
      </w:r>
      <w:r>
        <w:rPr>
          <w:szCs w:val="21"/>
        </w:rPr>
        <w:t>出厂检验合格证；</w:t>
      </w:r>
    </w:p>
    <w:p>
      <w:pPr>
        <w:numPr>
          <w:ilvl w:val="0"/>
          <w:numId w:val="8"/>
        </w:numPr>
        <w:spacing w:line="400" w:lineRule="exact"/>
        <w:rPr>
          <w:rFonts w:hAnsi="宋体"/>
          <w:szCs w:val="21"/>
        </w:rPr>
      </w:pPr>
      <w:r>
        <w:rPr>
          <w:rFonts w:hint="eastAsia"/>
          <w:szCs w:val="21"/>
        </w:rPr>
        <w:t>产品</w:t>
      </w:r>
      <w:r>
        <w:rPr>
          <w:szCs w:val="21"/>
        </w:rPr>
        <w:t>到货清单；</w:t>
      </w:r>
    </w:p>
    <w:p>
      <w:pPr>
        <w:numPr>
          <w:ilvl w:val="0"/>
          <w:numId w:val="8"/>
        </w:numPr>
        <w:spacing w:line="400" w:lineRule="exact"/>
        <w:rPr>
          <w:rFonts w:hAnsi="宋体"/>
          <w:szCs w:val="21"/>
        </w:rPr>
      </w:pPr>
      <w:r>
        <w:rPr>
          <w:rFonts w:hint="eastAsia"/>
          <w:szCs w:val="21"/>
        </w:rPr>
        <w:t>产品</w:t>
      </w:r>
      <w:r>
        <w:rPr>
          <w:szCs w:val="21"/>
        </w:rPr>
        <w:t>保修证明</w:t>
      </w:r>
      <w:r>
        <w:rPr>
          <w:rFonts w:hint="eastAsia"/>
          <w:szCs w:val="21"/>
        </w:rPr>
        <w:t>。</w:t>
      </w:r>
    </w:p>
    <w:p>
      <w:pPr>
        <w:spacing w:line="400" w:lineRule="exact"/>
        <w:ind w:firstLine="843" w:firstLineChars="400"/>
        <w:rPr>
          <w:b/>
        </w:rPr>
      </w:pPr>
      <w:r>
        <w:rPr>
          <w:b/>
        </w:rPr>
        <w:t>以上资料在交验前各提供</w:t>
      </w:r>
      <w:r>
        <w:rPr>
          <w:rFonts w:hint="eastAsia"/>
          <w:b/>
        </w:rPr>
        <w:t>一</w:t>
      </w:r>
      <w:r>
        <w:rPr>
          <w:b/>
        </w:rPr>
        <w:t>套原件供存档使用。</w:t>
      </w:r>
    </w:p>
    <w:p>
      <w:pPr>
        <w:spacing w:line="400" w:lineRule="exact"/>
        <w:rPr>
          <w:b/>
        </w:rPr>
      </w:pPr>
    </w:p>
    <w:p>
      <w:pPr>
        <w:spacing w:line="400" w:lineRule="exact"/>
        <w:rPr>
          <w:b/>
        </w:rPr>
      </w:pPr>
    </w:p>
    <w:p>
      <w:pPr>
        <w:spacing w:line="400" w:lineRule="exact"/>
        <w:rPr>
          <w:b/>
          <w:bCs/>
          <w:sz w:val="30"/>
        </w:rPr>
      </w:pPr>
      <w:bookmarkStart w:id="8" w:name="技术要求"/>
      <w:bookmarkEnd w:id="8"/>
      <w:bookmarkStart w:id="9" w:name="Fivejishhuyaoqiu8"/>
      <w:bookmarkEnd w:id="9"/>
      <w:r>
        <w:rPr>
          <w:rFonts w:hint="eastAsia"/>
          <w:b/>
          <w:bCs/>
          <w:sz w:val="30"/>
        </w:rPr>
        <w:t>三</w:t>
      </w:r>
      <w:r>
        <w:rPr>
          <w:rFonts w:hint="eastAsia" w:ascii="宋体" w:hAnsi="宋体"/>
          <w:b/>
          <w:bCs/>
          <w:sz w:val="30"/>
        </w:rPr>
        <w:t>、</w:t>
      </w:r>
      <w:r>
        <w:rPr>
          <w:rFonts w:hint="eastAsia"/>
          <w:b/>
          <w:bCs/>
          <w:sz w:val="30"/>
        </w:rPr>
        <w:t>技术要求</w:t>
      </w:r>
    </w:p>
    <w:p>
      <w:pPr>
        <w:spacing w:line="400" w:lineRule="exact"/>
        <w:rPr>
          <w:b/>
          <w:bCs/>
          <w:sz w:val="30"/>
        </w:rPr>
      </w:pPr>
    </w:p>
    <w:p>
      <w:pPr>
        <w:widowControl/>
        <w:spacing w:line="400" w:lineRule="exact"/>
        <w:ind w:firstLine="236" w:firstLineChars="98"/>
        <w:jc w:val="left"/>
        <w:rPr>
          <w:b/>
          <w:color w:val="000000"/>
          <w:szCs w:val="21"/>
        </w:rPr>
      </w:pPr>
      <w:r>
        <w:rPr>
          <w:b/>
          <w:color w:val="000000"/>
          <w:sz w:val="24"/>
        </w:rPr>
        <w:t>（一）总体要求</w:t>
      </w:r>
    </w:p>
    <w:p>
      <w:pPr>
        <w:numPr>
          <w:ilvl w:val="0"/>
          <w:numId w:val="9"/>
        </w:numPr>
        <w:spacing w:line="400" w:lineRule="exact"/>
        <w:rPr>
          <w:bCs/>
          <w:szCs w:val="21"/>
        </w:rPr>
      </w:pPr>
      <w:r>
        <w:rPr>
          <w:rFonts w:hAnsi="宋体"/>
          <w:szCs w:val="21"/>
        </w:rPr>
        <w:t>所提供的</w:t>
      </w:r>
      <w:r>
        <w:rPr>
          <w:rFonts w:hint="eastAsia" w:hAnsi="宋体"/>
          <w:szCs w:val="21"/>
        </w:rPr>
        <w:t>产品</w:t>
      </w:r>
      <w:r>
        <w:rPr>
          <w:rFonts w:hAnsi="宋体"/>
          <w:szCs w:val="21"/>
        </w:rPr>
        <w:t>必须是制造厂商完整的</w:t>
      </w:r>
      <w:r>
        <w:rPr>
          <w:rFonts w:hint="eastAsia" w:hAnsi="宋体"/>
          <w:szCs w:val="21"/>
        </w:rPr>
        <w:t>、</w:t>
      </w:r>
      <w:r>
        <w:rPr>
          <w:rFonts w:hint="eastAsia" w:ascii="宋体" w:hAnsi="宋体"/>
          <w:bCs/>
          <w:szCs w:val="21"/>
        </w:rPr>
        <w:t>技术先进且</w:t>
      </w:r>
      <w:r>
        <w:rPr>
          <w:rFonts w:hint="eastAsia"/>
          <w:szCs w:val="21"/>
        </w:rPr>
        <w:t>全新的（包括所有零配件、专用工具等）原包装合格</w:t>
      </w:r>
      <w:r>
        <w:rPr>
          <w:rFonts w:hint="eastAsia" w:hAnsi="宋体"/>
          <w:szCs w:val="21"/>
        </w:rPr>
        <w:t>产品</w:t>
      </w:r>
      <w:r>
        <w:rPr>
          <w:rFonts w:hAnsi="宋体"/>
          <w:szCs w:val="21"/>
        </w:rPr>
        <w:t>，</w:t>
      </w:r>
      <w:r>
        <w:rPr>
          <w:rFonts w:hint="eastAsia" w:hAnsi="宋体"/>
          <w:szCs w:val="21"/>
        </w:rPr>
        <w:t>其技术性能</w:t>
      </w:r>
      <w:r>
        <w:rPr>
          <w:rFonts w:hint="eastAsia" w:ascii="宋体" w:hAnsi="宋体"/>
          <w:szCs w:val="21"/>
        </w:rPr>
        <w:t>符合国家质量检测标准</w:t>
      </w:r>
      <w:r>
        <w:rPr>
          <w:rFonts w:hAnsi="宋体"/>
          <w:szCs w:val="21"/>
        </w:rPr>
        <w:t>和安全稳定运行的要求。</w:t>
      </w:r>
      <w:r>
        <w:rPr>
          <w:rFonts w:hint="eastAsia" w:hAnsi="宋体"/>
          <w:szCs w:val="21"/>
        </w:rPr>
        <w:t>产品</w:t>
      </w:r>
      <w:r>
        <w:rPr>
          <w:rFonts w:hint="eastAsia" w:ascii="宋体" w:hAnsi="宋体"/>
          <w:color w:val="000000"/>
          <w:szCs w:val="21"/>
        </w:rPr>
        <w:t>必须具有</w:t>
      </w:r>
      <w:r>
        <w:rPr>
          <w:rFonts w:ascii="宋体" w:hAnsi="宋体"/>
          <w:color w:val="000000"/>
          <w:szCs w:val="21"/>
        </w:rPr>
        <w:t>生产日期、厂名</w:t>
      </w:r>
      <w:r>
        <w:rPr>
          <w:rFonts w:hint="eastAsia" w:ascii="宋体" w:hAnsi="宋体"/>
          <w:color w:val="000000"/>
          <w:szCs w:val="21"/>
        </w:rPr>
        <w:t>、</w:t>
      </w:r>
      <w:r>
        <w:rPr>
          <w:rFonts w:ascii="宋体" w:hAnsi="宋体"/>
          <w:color w:val="000000"/>
          <w:szCs w:val="21"/>
        </w:rPr>
        <w:t>厂址</w:t>
      </w:r>
      <w:r>
        <w:rPr>
          <w:rFonts w:hint="eastAsia" w:ascii="宋体" w:hAnsi="宋体"/>
          <w:color w:val="000000"/>
          <w:szCs w:val="21"/>
        </w:rPr>
        <w:t>、</w:t>
      </w:r>
      <w:r>
        <w:rPr>
          <w:rFonts w:ascii="宋体" w:hAnsi="宋体"/>
          <w:color w:val="000000"/>
          <w:szCs w:val="21"/>
        </w:rPr>
        <w:t>产品合格证</w:t>
      </w:r>
      <w:r>
        <w:rPr>
          <w:rFonts w:hint="eastAsia" w:ascii="宋体" w:hAnsi="宋体"/>
          <w:color w:val="000000"/>
          <w:szCs w:val="21"/>
        </w:rPr>
        <w:t>等。</w:t>
      </w:r>
      <w:r>
        <w:rPr>
          <w:rFonts w:hint="eastAsia" w:ascii="宋体" w:hAnsi="宋体"/>
          <w:bCs/>
          <w:szCs w:val="21"/>
        </w:rPr>
        <w:t>若在调试过程中发现附件不全或不能运行，卖方应无偿补全、完善或更换，并承担买方由此产生的损失。</w:t>
      </w:r>
    </w:p>
    <w:p>
      <w:pPr>
        <w:numPr>
          <w:ilvl w:val="0"/>
          <w:numId w:val="9"/>
        </w:numPr>
        <w:spacing w:line="400" w:lineRule="exact"/>
        <w:rPr>
          <w:bCs/>
          <w:szCs w:val="21"/>
        </w:rPr>
      </w:pPr>
      <w:r>
        <w:rPr>
          <w:szCs w:val="21"/>
        </w:rPr>
        <w:t>提供产品说明原件（包括</w:t>
      </w:r>
      <w:r>
        <w:rPr>
          <w:rFonts w:hint="eastAsia"/>
          <w:szCs w:val="21"/>
        </w:rPr>
        <w:t>产品说明书、产品操作手册、产品数据手册、检测报告、彩页等</w:t>
      </w:r>
      <w:r>
        <w:rPr>
          <w:szCs w:val="21"/>
        </w:rPr>
        <w:t>等）。</w:t>
      </w:r>
      <w:r>
        <w:rPr>
          <w:rFonts w:hint="eastAsia" w:hAnsi="宋体"/>
          <w:color w:val="000000"/>
          <w:szCs w:val="21"/>
        </w:rPr>
        <w:t>所提供的技术文件应为中文，并应使用ITU和IEC所规定的标准符号和术语。</w:t>
      </w:r>
    </w:p>
    <w:p>
      <w:pPr>
        <w:numPr>
          <w:ilvl w:val="0"/>
          <w:numId w:val="9"/>
        </w:numPr>
        <w:spacing w:line="400" w:lineRule="exact"/>
        <w:rPr>
          <w:bCs/>
          <w:szCs w:val="21"/>
        </w:rPr>
      </w:pPr>
      <w:r>
        <w:rPr>
          <w:rFonts w:hint="eastAsia" w:hAnsi="宋体"/>
          <w:color w:val="000000"/>
          <w:szCs w:val="21"/>
        </w:rPr>
        <w:t>投标人（卖方）必须对本招标文件的每一条款做出明确答复，并写出具体技术数据和指标，否则视该条回答无效。</w:t>
      </w:r>
    </w:p>
    <w:p>
      <w:pPr>
        <w:numPr>
          <w:ilvl w:val="0"/>
          <w:numId w:val="9"/>
        </w:numPr>
        <w:spacing w:line="400" w:lineRule="exact"/>
        <w:rPr>
          <w:bCs/>
          <w:szCs w:val="21"/>
        </w:rPr>
      </w:pPr>
      <w:r>
        <w:rPr>
          <w:rFonts w:hint="eastAsia"/>
        </w:rPr>
        <w:t>本章</w:t>
      </w:r>
      <w:r>
        <w:t>技术要求仅为</w:t>
      </w:r>
      <w:r>
        <w:rPr>
          <w:rFonts w:hint="eastAsia"/>
        </w:rPr>
        <w:t>对产品</w:t>
      </w:r>
      <w:r>
        <w:t>的一般要求，投标人应按国际及国内的有关标准、规范及条例提供</w:t>
      </w:r>
      <w:r>
        <w:rPr>
          <w:rFonts w:hint="eastAsia"/>
        </w:rPr>
        <w:t>产品</w:t>
      </w:r>
      <w:r>
        <w:t>技术服务和承诺</w:t>
      </w:r>
      <w:r>
        <w:rPr>
          <w:rFonts w:hint="eastAsia"/>
        </w:rPr>
        <w:t>。</w:t>
      </w:r>
      <w:r>
        <w:t>技术要求中未列的，投标</w:t>
      </w:r>
      <w:r>
        <w:rPr>
          <w:rFonts w:hint="eastAsia"/>
        </w:rPr>
        <w:t>人</w:t>
      </w:r>
      <w:r>
        <w:t>认为须加以补充的内容，技术条款须特别注明，并提供相应资料</w:t>
      </w:r>
      <w:r>
        <w:rPr>
          <w:rFonts w:hint="eastAsia"/>
        </w:rPr>
        <w:t>。</w:t>
      </w:r>
    </w:p>
    <w:p>
      <w:pPr>
        <w:numPr>
          <w:ilvl w:val="0"/>
          <w:numId w:val="9"/>
        </w:numPr>
        <w:spacing w:line="400" w:lineRule="exact"/>
        <w:rPr>
          <w:bCs/>
          <w:szCs w:val="21"/>
        </w:rPr>
      </w:pPr>
      <w:r>
        <w:rPr>
          <w:rFonts w:hint="eastAsia"/>
        </w:rPr>
        <w:t>标注（"★"）号的条款为重要技术要求，投标文件中对标注（"★"）号的条款不响应或任何的不满足（负偏离），将导致废标。</w:t>
      </w:r>
    </w:p>
    <w:p>
      <w:pPr>
        <w:numPr>
          <w:ilvl w:val="0"/>
          <w:numId w:val="9"/>
        </w:numPr>
        <w:spacing w:line="400" w:lineRule="exact"/>
        <w:rPr>
          <w:bCs/>
          <w:szCs w:val="21"/>
        </w:rPr>
      </w:pPr>
      <w:r>
        <w:rPr>
          <w:rFonts w:hint="eastAsia"/>
          <w:szCs w:val="21"/>
        </w:rPr>
        <w:t>以下内容若有标注“</w:t>
      </w:r>
      <w:r>
        <w:rPr>
          <w:rFonts w:ascii="宋体" w:hAnsi="宋体"/>
          <w:color w:val="FF6600"/>
          <w:szCs w:val="21"/>
        </w:rPr>
        <w:t>▲</w:t>
      </w:r>
      <w:r>
        <w:rPr>
          <w:rFonts w:hint="eastAsia"/>
          <w:szCs w:val="21"/>
        </w:rPr>
        <w:t>”的条款均为非不可偏离条款，仅作为综合评分时的重要依据。</w:t>
      </w:r>
    </w:p>
    <w:p>
      <w:pPr>
        <w:numPr>
          <w:ilvl w:val="0"/>
          <w:numId w:val="9"/>
        </w:numPr>
        <w:spacing w:line="400" w:lineRule="exact"/>
        <w:rPr>
          <w:rFonts w:hAnsi="宋体"/>
          <w:szCs w:val="21"/>
        </w:rPr>
      </w:pPr>
      <w:r>
        <w:rPr>
          <w:rFonts w:hint="eastAsia" w:hAnsi="宋体"/>
          <w:szCs w:val="21"/>
        </w:rPr>
        <w:t>投标人（卖方）应在投标文件中提供包括以下内容的技术文件。</w:t>
      </w:r>
    </w:p>
    <w:p>
      <w:pPr>
        <w:spacing w:line="400" w:lineRule="exact"/>
        <w:ind w:left="1142"/>
        <w:rPr>
          <w:bCs/>
          <w:szCs w:val="21"/>
        </w:rPr>
      </w:pPr>
      <w:r>
        <w:rPr>
          <w:rFonts w:hint="eastAsia"/>
          <w:color w:val="000000"/>
          <w:szCs w:val="21"/>
        </w:rPr>
        <w:t>7</w:t>
      </w:r>
      <w:r>
        <w:rPr>
          <w:color w:val="000000"/>
          <w:szCs w:val="21"/>
        </w:rPr>
        <w:t xml:space="preserve">.1 </w:t>
      </w:r>
      <w:r>
        <w:rPr>
          <w:rFonts w:hAnsi="宋体"/>
          <w:color w:val="000000"/>
          <w:szCs w:val="21"/>
        </w:rPr>
        <w:t>设备的详细技术性能、功能和指标、工作原理，方框图、结构（容量、尺寸和重量）等。</w:t>
      </w:r>
    </w:p>
    <w:p>
      <w:pPr>
        <w:spacing w:line="400" w:lineRule="exact"/>
        <w:ind w:left="1142"/>
        <w:rPr>
          <w:bCs/>
          <w:szCs w:val="21"/>
        </w:rPr>
      </w:pPr>
      <w:r>
        <w:rPr>
          <w:rFonts w:hint="eastAsia"/>
          <w:bCs/>
          <w:szCs w:val="21"/>
        </w:rPr>
        <w:t>7</w:t>
      </w:r>
      <w:r>
        <w:rPr>
          <w:bCs/>
          <w:szCs w:val="21"/>
        </w:rPr>
        <w:t xml:space="preserve">.2 </w:t>
      </w:r>
      <w:r>
        <w:rPr>
          <w:rFonts w:hAnsi="宋体"/>
          <w:color w:val="000000"/>
          <w:szCs w:val="21"/>
        </w:rPr>
        <w:t>主要设备的生产厂家及技术指标和本工程设备配置详细清单。</w:t>
      </w:r>
    </w:p>
    <w:p>
      <w:pPr>
        <w:rPr>
          <w:rFonts w:hAnsi="宋体"/>
          <w:b/>
          <w:sz w:val="24"/>
        </w:rPr>
      </w:pPr>
    </w:p>
    <w:p>
      <w:pPr>
        <w:spacing w:line="400" w:lineRule="exact"/>
        <w:ind w:firstLine="241" w:firstLineChars="100"/>
        <w:rPr>
          <w:rFonts w:hAnsi="宋体"/>
          <w:b/>
          <w:sz w:val="24"/>
        </w:rPr>
      </w:pPr>
      <w:bookmarkStart w:id="10" w:name="供货范围"/>
      <w:bookmarkEnd w:id="10"/>
      <w:r>
        <w:rPr>
          <w:rFonts w:hAnsi="宋体"/>
          <w:b/>
          <w:sz w:val="24"/>
        </w:rPr>
        <w:t>（二）供货范围</w:t>
      </w:r>
    </w:p>
    <w:p>
      <w:pPr>
        <w:widowControl/>
        <w:autoSpaceDE w:val="0"/>
        <w:autoSpaceDN w:val="0"/>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1、产品内容</w:t>
      </w:r>
    </w:p>
    <w:tbl>
      <w:tblPr>
        <w:tblStyle w:val="4"/>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850"/>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61" w:type="dxa"/>
            <w:vAlign w:val="center"/>
          </w:tcPr>
          <w:p>
            <w:pPr>
              <w:jc w:val="center"/>
              <w:rPr>
                <w:rFonts w:ascii="宋体" w:hAnsi="宋体"/>
                <w:b/>
                <w:szCs w:val="21"/>
              </w:rPr>
            </w:pPr>
            <w:r>
              <w:rPr>
                <w:rFonts w:hint="eastAsia" w:ascii="宋体" w:hAnsi="宋体"/>
                <w:b/>
                <w:szCs w:val="21"/>
              </w:rPr>
              <w:t>产品</w:t>
            </w:r>
            <w:r>
              <w:rPr>
                <w:rFonts w:ascii="宋体" w:hAnsi="宋体"/>
                <w:b/>
                <w:szCs w:val="21"/>
              </w:rPr>
              <w:t>名称</w:t>
            </w:r>
          </w:p>
        </w:tc>
        <w:tc>
          <w:tcPr>
            <w:tcW w:w="850" w:type="dxa"/>
            <w:vAlign w:val="center"/>
          </w:tcPr>
          <w:p>
            <w:pPr>
              <w:jc w:val="center"/>
              <w:rPr>
                <w:rFonts w:ascii="宋体" w:hAnsi="宋体"/>
                <w:b/>
                <w:szCs w:val="21"/>
              </w:rPr>
            </w:pPr>
            <w:r>
              <w:rPr>
                <w:rFonts w:ascii="宋体" w:hAnsi="宋体"/>
                <w:b/>
                <w:szCs w:val="21"/>
              </w:rPr>
              <w:t>数量</w:t>
            </w:r>
          </w:p>
        </w:tc>
        <w:tc>
          <w:tcPr>
            <w:tcW w:w="1134" w:type="dxa"/>
            <w:vAlign w:val="center"/>
          </w:tcPr>
          <w:p>
            <w:pPr>
              <w:jc w:val="center"/>
              <w:rPr>
                <w:rFonts w:ascii="宋体" w:hAnsi="宋体"/>
                <w:b/>
                <w:szCs w:val="21"/>
              </w:rPr>
            </w:pPr>
            <w:r>
              <w:rPr>
                <w:rFonts w:ascii="宋体" w:hAnsi="宋体"/>
                <w:b/>
                <w:szCs w:val="21"/>
              </w:rPr>
              <w:t>单位</w:t>
            </w:r>
          </w:p>
        </w:tc>
        <w:tc>
          <w:tcPr>
            <w:tcW w:w="2693" w:type="dxa"/>
            <w:vAlign w:val="center"/>
          </w:tcPr>
          <w:p>
            <w:pPr>
              <w:jc w:val="center"/>
              <w:rPr>
                <w:rFonts w:ascii="宋体" w:hAnsi="宋体"/>
                <w:b/>
                <w:szCs w:val="21"/>
              </w:rPr>
            </w:pPr>
            <w:r>
              <w:rPr>
                <w:rFonts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61" w:type="dxa"/>
            <w:vAlign w:val="center"/>
          </w:tcPr>
          <w:p>
            <w:pPr>
              <w:jc w:val="center"/>
              <w:rPr>
                <w:rFonts w:ascii="宋体" w:hAnsi="宋体"/>
                <w:szCs w:val="21"/>
              </w:rPr>
            </w:pPr>
            <w:r>
              <w:rPr>
                <w:rFonts w:hint="eastAsia" w:ascii="宋体" w:hAnsi="宋体"/>
                <w:szCs w:val="21"/>
              </w:rPr>
              <w:t>EPS电源设备</w:t>
            </w:r>
          </w:p>
        </w:tc>
        <w:tc>
          <w:tcPr>
            <w:tcW w:w="850" w:type="dxa"/>
            <w:vAlign w:val="center"/>
          </w:tcPr>
          <w:p>
            <w:pPr>
              <w:rPr>
                <w:rFonts w:ascii="宋体" w:hAnsi="宋体"/>
                <w:szCs w:val="21"/>
              </w:rPr>
            </w:pPr>
            <w:r>
              <w:rPr>
                <w:rFonts w:hint="eastAsia" w:ascii="宋体" w:hAnsi="宋体"/>
                <w:szCs w:val="21"/>
              </w:rPr>
              <w:t xml:space="preserve">1 </w:t>
            </w:r>
          </w:p>
        </w:tc>
        <w:tc>
          <w:tcPr>
            <w:tcW w:w="1134" w:type="dxa"/>
            <w:vAlign w:val="center"/>
          </w:tcPr>
          <w:p>
            <w:pPr>
              <w:jc w:val="center"/>
              <w:rPr>
                <w:rFonts w:ascii="宋体" w:hAnsi="宋体"/>
                <w:szCs w:val="21"/>
              </w:rPr>
            </w:pPr>
            <w:r>
              <w:rPr>
                <w:rFonts w:hint="eastAsia" w:ascii="宋体" w:hAnsi="宋体"/>
                <w:szCs w:val="21"/>
              </w:rPr>
              <w:t>套</w:t>
            </w:r>
          </w:p>
        </w:tc>
        <w:tc>
          <w:tcPr>
            <w:tcW w:w="2693" w:type="dxa"/>
            <w:vAlign w:val="bottom"/>
          </w:tcPr>
          <w:p>
            <w:pPr>
              <w:rPr>
                <w:rFonts w:ascii="宋体" w:hAnsi="宋体"/>
                <w:szCs w:val="21"/>
              </w:rPr>
            </w:pPr>
          </w:p>
        </w:tc>
      </w:tr>
    </w:tbl>
    <w:p>
      <w:pPr>
        <w:widowControl/>
        <w:autoSpaceDE w:val="0"/>
        <w:autoSpaceDN w:val="0"/>
        <w:adjustRightInd w:val="0"/>
        <w:spacing w:line="400" w:lineRule="exact"/>
        <w:ind w:firstLine="420" w:firstLineChars="200"/>
        <w:rPr>
          <w:rFonts w:ascii="宋体" w:hAnsi="宋体"/>
          <w:color w:val="000000"/>
          <w:kern w:val="0"/>
          <w:szCs w:val="21"/>
        </w:rPr>
      </w:pPr>
      <w:r>
        <w:rPr>
          <w:rFonts w:hint="eastAsia" w:ascii="宋体" w:hAnsi="宋体"/>
          <w:color w:val="000000"/>
          <w:kern w:val="0"/>
          <w:szCs w:val="21"/>
        </w:rPr>
        <w:t>2、产品配置清单</w:t>
      </w:r>
    </w:p>
    <w:p>
      <w:pPr>
        <w:widowControl/>
        <w:autoSpaceDE w:val="0"/>
        <w:autoSpaceDN w:val="0"/>
        <w:adjustRightInd w:val="0"/>
        <w:spacing w:line="400" w:lineRule="exact"/>
        <w:ind w:firstLine="630" w:firstLineChars="300"/>
        <w:rPr>
          <w:rFonts w:ascii="宋体" w:hAnsi="宋体"/>
          <w:color w:val="000000"/>
          <w:kern w:val="0"/>
          <w:szCs w:val="21"/>
        </w:rPr>
      </w:pPr>
      <w:r>
        <w:rPr>
          <w:rFonts w:hint="eastAsia" w:ascii="宋体" w:hAnsi="宋体"/>
          <w:color w:val="000000"/>
          <w:kern w:val="0"/>
          <w:szCs w:val="21"/>
        </w:rPr>
        <w:t>2.1 EPS电源设备</w:t>
      </w:r>
    </w:p>
    <w:tbl>
      <w:tblPr>
        <w:tblStyle w:val="4"/>
        <w:tblW w:w="7953" w:type="dxa"/>
        <w:tblInd w:w="59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941"/>
        <w:gridCol w:w="2551"/>
        <w:gridCol w:w="792"/>
        <w:gridCol w:w="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09" w:type="dxa"/>
          </w:tcPr>
          <w:p>
            <w:pPr>
              <w:jc w:val="center"/>
              <w:rPr>
                <w:rFonts w:ascii="宋体" w:hAnsi="宋体"/>
                <w:color w:val="000000"/>
                <w:szCs w:val="21"/>
              </w:rPr>
            </w:pPr>
            <w:r>
              <w:rPr>
                <w:rFonts w:hint="eastAsia" w:ascii="宋体" w:hAnsi="宋体"/>
                <w:color w:val="000000"/>
                <w:szCs w:val="21"/>
              </w:rPr>
              <w:t>序号</w:t>
            </w:r>
          </w:p>
        </w:tc>
        <w:tc>
          <w:tcPr>
            <w:tcW w:w="2941" w:type="dxa"/>
          </w:tcPr>
          <w:p>
            <w:pPr>
              <w:jc w:val="center"/>
              <w:rPr>
                <w:rFonts w:ascii="宋体" w:hAnsi="宋体"/>
                <w:color w:val="000000"/>
                <w:szCs w:val="21"/>
              </w:rPr>
            </w:pPr>
            <w:r>
              <w:rPr>
                <w:rFonts w:hint="eastAsia" w:ascii="宋体" w:hAnsi="宋体"/>
                <w:color w:val="000000"/>
                <w:szCs w:val="21"/>
              </w:rPr>
              <w:t>名称</w:t>
            </w:r>
          </w:p>
        </w:tc>
        <w:tc>
          <w:tcPr>
            <w:tcW w:w="2551" w:type="dxa"/>
          </w:tcPr>
          <w:p>
            <w:pPr>
              <w:jc w:val="center"/>
              <w:rPr>
                <w:rFonts w:ascii="宋体" w:hAnsi="宋体"/>
                <w:color w:val="000000"/>
                <w:szCs w:val="21"/>
              </w:rPr>
            </w:pPr>
            <w:r>
              <w:rPr>
                <w:rFonts w:hint="eastAsia" w:ascii="宋体" w:hAnsi="宋体"/>
                <w:color w:val="000000"/>
                <w:szCs w:val="21"/>
              </w:rPr>
              <w:t>规格型号</w:t>
            </w:r>
          </w:p>
        </w:tc>
        <w:tc>
          <w:tcPr>
            <w:tcW w:w="792" w:type="dxa"/>
          </w:tcPr>
          <w:p>
            <w:pPr>
              <w:jc w:val="center"/>
              <w:rPr>
                <w:rFonts w:ascii="宋体" w:hAnsi="宋体"/>
                <w:color w:val="000000"/>
                <w:szCs w:val="21"/>
              </w:rPr>
            </w:pPr>
            <w:r>
              <w:rPr>
                <w:rFonts w:hint="eastAsia" w:ascii="宋体" w:hAnsi="宋体"/>
                <w:color w:val="000000"/>
                <w:szCs w:val="21"/>
              </w:rPr>
              <w:t>单位</w:t>
            </w:r>
          </w:p>
        </w:tc>
        <w:tc>
          <w:tcPr>
            <w:tcW w:w="960" w:type="dxa"/>
          </w:tcPr>
          <w:p>
            <w:pPr>
              <w:jc w:val="center"/>
              <w:rPr>
                <w:rFonts w:ascii="宋体" w:hAnsi="宋体"/>
                <w:color w:val="000000"/>
                <w:szCs w:val="21"/>
              </w:rPr>
            </w:pPr>
            <w:r>
              <w:rPr>
                <w:rFonts w:hint="eastAsia" w:ascii="宋体" w:hAnsi="宋体"/>
                <w:color w:val="000000"/>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0" w:hRule="atLeast"/>
        </w:trPr>
        <w:tc>
          <w:tcPr>
            <w:tcW w:w="709" w:type="dxa"/>
          </w:tcPr>
          <w:p>
            <w:pPr>
              <w:jc w:val="center"/>
              <w:rPr>
                <w:rFonts w:ascii="宋体" w:hAnsi="宋体"/>
                <w:color w:val="000000"/>
                <w:szCs w:val="21"/>
              </w:rPr>
            </w:pPr>
            <w:r>
              <w:rPr>
                <w:rFonts w:ascii="宋体" w:hAnsi="宋体"/>
                <w:color w:val="000000"/>
                <w:szCs w:val="21"/>
              </w:rPr>
              <w:t>1</w:t>
            </w:r>
          </w:p>
        </w:tc>
        <w:tc>
          <w:tcPr>
            <w:tcW w:w="2941" w:type="dxa"/>
          </w:tcPr>
          <w:p>
            <w:pPr>
              <w:rPr>
                <w:rFonts w:ascii="宋体" w:hAnsi="宋体"/>
                <w:color w:val="000000"/>
                <w:szCs w:val="21"/>
              </w:rPr>
            </w:pPr>
            <w:r>
              <w:rPr>
                <w:rFonts w:hint="eastAsia" w:ascii="宋体" w:hAnsi="宋体"/>
                <w:color w:val="000000"/>
                <w:szCs w:val="21"/>
              </w:rPr>
              <w:t>E</w:t>
            </w:r>
            <w:r>
              <w:rPr>
                <w:rFonts w:ascii="宋体" w:hAnsi="宋体"/>
                <w:color w:val="000000"/>
                <w:szCs w:val="21"/>
              </w:rPr>
              <w:t xml:space="preserve">PS </w:t>
            </w:r>
            <w:r>
              <w:rPr>
                <w:rFonts w:hint="eastAsia" w:ascii="宋体" w:hAnsi="宋体"/>
                <w:color w:val="000000"/>
                <w:szCs w:val="21"/>
              </w:rPr>
              <w:t>主机</w:t>
            </w:r>
          </w:p>
        </w:tc>
        <w:tc>
          <w:tcPr>
            <w:tcW w:w="2551" w:type="dxa"/>
          </w:tcPr>
          <w:p>
            <w:pPr>
              <w:jc w:val="center"/>
              <w:rPr>
                <w:rFonts w:ascii="宋体" w:hAnsi="宋体"/>
                <w:color w:val="000000"/>
                <w:szCs w:val="21"/>
              </w:rPr>
            </w:pPr>
            <w:r>
              <w:rPr>
                <w:rFonts w:hint="eastAsia" w:ascii="宋体" w:hAnsi="宋体"/>
                <w:color w:val="000000"/>
                <w:szCs w:val="21"/>
              </w:rPr>
              <w:t>功率不小于90KVA/380V</w:t>
            </w:r>
          </w:p>
        </w:tc>
        <w:tc>
          <w:tcPr>
            <w:tcW w:w="792" w:type="dxa"/>
          </w:tcPr>
          <w:p>
            <w:pPr>
              <w:jc w:val="center"/>
              <w:rPr>
                <w:rFonts w:ascii="宋体" w:hAnsi="宋体"/>
                <w:color w:val="000000"/>
                <w:szCs w:val="21"/>
              </w:rPr>
            </w:pPr>
            <w:r>
              <w:rPr>
                <w:rFonts w:hint="eastAsia" w:ascii="宋体" w:hAnsi="宋体"/>
                <w:color w:val="000000"/>
                <w:szCs w:val="21"/>
              </w:rPr>
              <w:t>套</w:t>
            </w:r>
          </w:p>
        </w:tc>
        <w:tc>
          <w:tcPr>
            <w:tcW w:w="960"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09" w:type="dxa"/>
          </w:tcPr>
          <w:p>
            <w:pPr>
              <w:jc w:val="center"/>
              <w:rPr>
                <w:rFonts w:ascii="宋体" w:hAnsi="宋体"/>
                <w:color w:val="44546A" w:themeColor="text2"/>
                <w:szCs w:val="21"/>
                <w14:textFill>
                  <w14:solidFill>
                    <w14:schemeClr w14:val="tx2"/>
                  </w14:solidFill>
                </w14:textFill>
              </w:rPr>
            </w:pPr>
            <w:r>
              <w:rPr>
                <w:rFonts w:hint="eastAsia" w:ascii="宋体" w:hAnsi="宋体"/>
                <w:color w:val="44546A" w:themeColor="text2"/>
                <w:szCs w:val="21"/>
                <w14:textFill>
                  <w14:solidFill>
                    <w14:schemeClr w14:val="tx2"/>
                  </w14:solidFill>
                </w14:textFill>
              </w:rPr>
              <w:t>2</w:t>
            </w:r>
          </w:p>
        </w:tc>
        <w:tc>
          <w:tcPr>
            <w:tcW w:w="2941" w:type="dxa"/>
          </w:tcPr>
          <w:p>
            <w:pPr>
              <w:rPr>
                <w:rFonts w:ascii="宋体" w:hAnsi="宋体"/>
                <w:color w:val="44546A" w:themeColor="text2"/>
                <w:szCs w:val="21"/>
                <w14:textFill>
                  <w14:solidFill>
                    <w14:schemeClr w14:val="tx2"/>
                  </w14:solidFill>
                </w14:textFill>
              </w:rPr>
            </w:pPr>
            <w:r>
              <w:rPr>
                <w:rFonts w:hint="eastAsia" w:ascii="宋体" w:hAnsi="宋体"/>
                <w:color w:val="44546A" w:themeColor="text2"/>
                <w:szCs w:val="21"/>
                <w14:textFill>
                  <w14:solidFill>
                    <w14:schemeClr w14:val="tx2"/>
                  </w14:solidFill>
                </w14:textFill>
              </w:rPr>
              <w:t>配置2个1</w:t>
            </w:r>
            <w:r>
              <w:rPr>
                <w:rFonts w:ascii="宋体" w:hAnsi="宋体"/>
                <w:color w:val="44546A" w:themeColor="text2"/>
                <w:szCs w:val="21"/>
                <w14:textFill>
                  <w14:solidFill>
                    <w14:schemeClr w14:val="tx2"/>
                  </w14:solidFill>
                </w14:textFill>
              </w:rPr>
              <w:t>60</w:t>
            </w:r>
            <w:r>
              <w:rPr>
                <w:rFonts w:hint="eastAsia" w:ascii="宋体" w:hAnsi="宋体"/>
                <w:color w:val="44546A" w:themeColor="text2"/>
                <w:szCs w:val="21"/>
                <w14:textFill>
                  <w14:solidFill>
                    <w14:schemeClr w14:val="tx2"/>
                  </w14:solidFill>
                </w14:textFill>
              </w:rPr>
              <w:t>A EPS电池组输入开关</w:t>
            </w:r>
          </w:p>
        </w:tc>
        <w:tc>
          <w:tcPr>
            <w:tcW w:w="2551" w:type="dxa"/>
          </w:tcPr>
          <w:p>
            <w:pPr>
              <w:jc w:val="center"/>
              <w:rPr>
                <w:rFonts w:ascii="宋体" w:hAnsi="宋体"/>
                <w:color w:val="000000"/>
                <w:szCs w:val="21"/>
              </w:rPr>
            </w:pPr>
          </w:p>
        </w:tc>
        <w:tc>
          <w:tcPr>
            <w:tcW w:w="792" w:type="dxa"/>
          </w:tcPr>
          <w:p>
            <w:pPr>
              <w:ind w:firstLine="315" w:firstLineChars="150"/>
              <w:rPr>
                <w:rFonts w:ascii="宋体" w:hAnsi="宋体"/>
                <w:color w:val="000000"/>
                <w:szCs w:val="21"/>
              </w:rPr>
            </w:pPr>
            <w:r>
              <w:rPr>
                <w:rFonts w:hint="eastAsia" w:ascii="宋体" w:hAnsi="宋体"/>
                <w:color w:val="000000"/>
                <w:szCs w:val="21"/>
              </w:rPr>
              <w:t>个</w:t>
            </w:r>
          </w:p>
        </w:tc>
        <w:tc>
          <w:tcPr>
            <w:tcW w:w="960" w:type="dxa"/>
          </w:tcPr>
          <w:p>
            <w:pPr>
              <w:jc w:val="center"/>
              <w:rPr>
                <w:rFonts w:ascii="宋体" w:hAnsi="宋体"/>
                <w:color w:val="000000"/>
                <w:szCs w:val="21"/>
              </w:rPr>
            </w:pPr>
            <w:r>
              <w:rPr>
                <w:rFonts w:hint="eastAsia" w:ascii="宋体" w:hAnsi="宋体"/>
                <w:color w:val="000000"/>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09" w:type="dxa"/>
          </w:tcPr>
          <w:p>
            <w:pPr>
              <w:jc w:val="center"/>
              <w:rPr>
                <w:rFonts w:ascii="宋体" w:hAnsi="宋体"/>
                <w:color w:val="44546A" w:themeColor="text2"/>
                <w:szCs w:val="21"/>
                <w14:textFill>
                  <w14:solidFill>
                    <w14:schemeClr w14:val="tx2"/>
                  </w14:solidFill>
                </w14:textFill>
              </w:rPr>
            </w:pPr>
            <w:r>
              <w:rPr>
                <w:rFonts w:hint="eastAsia" w:ascii="宋体" w:hAnsi="宋体"/>
                <w:color w:val="44546A" w:themeColor="text2"/>
                <w:szCs w:val="21"/>
                <w14:textFill>
                  <w14:solidFill>
                    <w14:schemeClr w14:val="tx2"/>
                  </w14:solidFill>
                </w14:textFill>
              </w:rPr>
              <w:t>3</w:t>
            </w:r>
          </w:p>
        </w:tc>
        <w:tc>
          <w:tcPr>
            <w:tcW w:w="2941" w:type="dxa"/>
          </w:tcPr>
          <w:p>
            <w:pPr>
              <w:rPr>
                <w:rFonts w:ascii="宋体" w:hAnsi="宋体"/>
                <w:color w:val="44546A" w:themeColor="text2"/>
                <w:szCs w:val="21"/>
                <w14:textFill>
                  <w14:solidFill>
                    <w14:schemeClr w14:val="tx2"/>
                  </w14:solidFill>
                </w14:textFill>
              </w:rPr>
            </w:pPr>
            <w:r>
              <w:rPr>
                <w:rFonts w:hint="eastAsia" w:ascii="宋体" w:hAnsi="宋体"/>
                <w:color w:val="44546A" w:themeColor="text2"/>
                <w:szCs w:val="21"/>
                <w14:textFill>
                  <w14:solidFill>
                    <w14:schemeClr w14:val="tx2"/>
                  </w14:solidFill>
                </w14:textFill>
              </w:rPr>
              <w:t>利旧EPS电池柜</w:t>
            </w:r>
          </w:p>
        </w:tc>
        <w:tc>
          <w:tcPr>
            <w:tcW w:w="2551" w:type="dxa"/>
          </w:tcPr>
          <w:p>
            <w:pPr>
              <w:jc w:val="center"/>
              <w:rPr>
                <w:rFonts w:ascii="宋体" w:hAnsi="宋体"/>
                <w:color w:val="000000"/>
                <w:szCs w:val="21"/>
              </w:rPr>
            </w:pPr>
          </w:p>
        </w:tc>
        <w:tc>
          <w:tcPr>
            <w:tcW w:w="792" w:type="dxa"/>
          </w:tcPr>
          <w:p>
            <w:pPr>
              <w:jc w:val="center"/>
              <w:rPr>
                <w:rFonts w:ascii="宋体" w:hAnsi="宋体"/>
                <w:color w:val="000000"/>
                <w:szCs w:val="21"/>
              </w:rPr>
            </w:pPr>
            <w:r>
              <w:rPr>
                <w:rFonts w:hint="eastAsia" w:ascii="宋体" w:hAnsi="宋体"/>
                <w:color w:val="000000"/>
                <w:szCs w:val="21"/>
              </w:rPr>
              <w:t>套</w:t>
            </w:r>
          </w:p>
        </w:tc>
        <w:tc>
          <w:tcPr>
            <w:tcW w:w="960" w:type="dxa"/>
          </w:tcPr>
          <w:p>
            <w:pPr>
              <w:jc w:val="center"/>
              <w:rPr>
                <w:rFonts w:ascii="宋体" w:hAnsi="宋体"/>
                <w:color w:val="000000"/>
                <w:szCs w:val="21"/>
              </w:rPr>
            </w:pPr>
            <w:r>
              <w:rPr>
                <w:rFonts w:hint="eastAsia" w:ascii="宋体" w:hAnsi="宋体"/>
                <w:color w:val="000000"/>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09" w:type="dxa"/>
          </w:tcPr>
          <w:p>
            <w:pPr>
              <w:jc w:val="center"/>
              <w:rPr>
                <w:rFonts w:ascii="宋体" w:hAnsi="宋体"/>
                <w:color w:val="44546A" w:themeColor="text2"/>
                <w:szCs w:val="21"/>
                <w14:textFill>
                  <w14:solidFill>
                    <w14:schemeClr w14:val="tx2"/>
                  </w14:solidFill>
                </w14:textFill>
              </w:rPr>
            </w:pPr>
            <w:r>
              <w:rPr>
                <w:rFonts w:hint="eastAsia" w:ascii="宋体" w:hAnsi="宋体"/>
                <w:color w:val="44546A" w:themeColor="text2"/>
                <w:szCs w:val="21"/>
                <w14:textFill>
                  <w14:solidFill>
                    <w14:schemeClr w14:val="tx2"/>
                  </w14:solidFill>
                </w14:textFill>
              </w:rPr>
              <w:t>4</w:t>
            </w:r>
          </w:p>
        </w:tc>
        <w:tc>
          <w:tcPr>
            <w:tcW w:w="2941" w:type="dxa"/>
          </w:tcPr>
          <w:p>
            <w:pPr>
              <w:rPr>
                <w:rFonts w:ascii="宋体" w:hAnsi="宋体"/>
                <w:color w:val="44546A" w:themeColor="text2"/>
                <w:szCs w:val="21"/>
                <w14:textFill>
                  <w14:solidFill>
                    <w14:schemeClr w14:val="tx2"/>
                  </w14:solidFill>
                </w14:textFill>
              </w:rPr>
            </w:pPr>
            <w:r>
              <w:rPr>
                <w:rFonts w:hint="eastAsia" w:ascii="宋体" w:hAnsi="宋体"/>
                <w:color w:val="44546A" w:themeColor="text2"/>
                <w:szCs w:val="21"/>
                <w14:textFill>
                  <w14:solidFill>
                    <w14:schemeClr w14:val="tx2"/>
                  </w14:solidFill>
                </w14:textFill>
              </w:rPr>
              <w:t>旧EPS主机搬移指定位置</w:t>
            </w:r>
          </w:p>
        </w:tc>
        <w:tc>
          <w:tcPr>
            <w:tcW w:w="2551" w:type="dxa"/>
          </w:tcPr>
          <w:p>
            <w:pPr>
              <w:jc w:val="center"/>
              <w:rPr>
                <w:rFonts w:ascii="宋体" w:hAnsi="宋体"/>
                <w:color w:val="000000"/>
                <w:szCs w:val="21"/>
              </w:rPr>
            </w:pPr>
          </w:p>
        </w:tc>
        <w:tc>
          <w:tcPr>
            <w:tcW w:w="792" w:type="dxa"/>
          </w:tcPr>
          <w:p>
            <w:pPr>
              <w:jc w:val="center"/>
              <w:rPr>
                <w:rFonts w:ascii="宋体" w:hAnsi="宋体"/>
                <w:color w:val="000000"/>
                <w:szCs w:val="21"/>
              </w:rPr>
            </w:pPr>
            <w:r>
              <w:rPr>
                <w:rFonts w:hint="eastAsia" w:ascii="宋体" w:hAnsi="宋体"/>
                <w:color w:val="000000"/>
                <w:szCs w:val="21"/>
              </w:rPr>
              <w:t>套</w:t>
            </w:r>
          </w:p>
        </w:tc>
        <w:tc>
          <w:tcPr>
            <w:tcW w:w="960" w:type="dxa"/>
          </w:tcPr>
          <w:p>
            <w:pPr>
              <w:jc w:val="center"/>
              <w:rPr>
                <w:rFonts w:ascii="宋体" w:hAnsi="宋体"/>
                <w:color w:val="000000"/>
                <w:szCs w:val="21"/>
              </w:rPr>
            </w:pPr>
            <w:r>
              <w:rPr>
                <w:rFonts w:hint="eastAsia" w:ascii="宋体" w:hAnsi="宋体"/>
                <w:color w:val="000000"/>
                <w:szCs w:val="21"/>
              </w:rPr>
              <w:t>1</w:t>
            </w:r>
          </w:p>
        </w:tc>
      </w:tr>
    </w:tbl>
    <w:p>
      <w:pPr>
        <w:widowControl/>
        <w:autoSpaceDE w:val="0"/>
        <w:autoSpaceDN w:val="0"/>
        <w:adjustRightInd w:val="0"/>
        <w:spacing w:line="400" w:lineRule="exact"/>
        <w:ind w:firstLine="602" w:firstLineChars="250"/>
        <w:rPr>
          <w:rFonts w:ascii="宋体"/>
          <w:b/>
          <w:kern w:val="0"/>
          <w:sz w:val="24"/>
          <w:szCs w:val="20"/>
        </w:rPr>
      </w:pPr>
    </w:p>
    <w:p>
      <w:pPr>
        <w:spacing w:line="400" w:lineRule="exact"/>
        <w:ind w:firstLine="241" w:firstLineChars="100"/>
        <w:rPr>
          <w:b/>
          <w:szCs w:val="21"/>
        </w:rPr>
      </w:pPr>
      <w:bookmarkStart w:id="11" w:name="主要技术要求"/>
      <w:bookmarkEnd w:id="11"/>
      <w:r>
        <w:rPr>
          <w:rFonts w:hint="eastAsia"/>
          <w:b/>
          <w:sz w:val="24"/>
        </w:rPr>
        <w:t>（三）主要技术参数</w:t>
      </w:r>
      <w:r>
        <w:rPr>
          <w:rFonts w:hint="eastAsia"/>
          <w:sz w:val="24"/>
        </w:rPr>
        <w:t>（</w:t>
      </w:r>
      <w:r>
        <w:rPr>
          <w:rFonts w:hint="eastAsia"/>
          <w:szCs w:val="21"/>
        </w:rPr>
        <w:t>说明：投标人须注意采购人在技术规格中指出的工艺、材料和产品的标准以及参照的牌号或分类号仅起说明作用，并没有任何限制性。投标人在投标中可以选用替代标准、牌号或分类号，但这些替代要实质上相当于或高于技术规格的要求，并且使招标机构和采购人满意。）</w:t>
      </w:r>
    </w:p>
    <w:p>
      <w:pPr>
        <w:spacing w:line="400" w:lineRule="exact"/>
        <w:ind w:firstLine="241" w:firstLineChars="100"/>
        <w:rPr>
          <w:b/>
          <w:sz w:val="24"/>
        </w:rPr>
      </w:pPr>
    </w:p>
    <w:p>
      <w:pPr>
        <w:widowControl/>
        <w:autoSpaceDE w:val="0"/>
        <w:autoSpaceDN w:val="0"/>
        <w:adjustRightInd w:val="0"/>
        <w:spacing w:line="400" w:lineRule="exact"/>
        <w:ind w:left="1129"/>
        <w:rPr>
          <w:rFonts w:ascii="宋体" w:hAnsi="宋体"/>
          <w:color w:val="000000"/>
          <w:kern w:val="0"/>
          <w:szCs w:val="21"/>
        </w:rPr>
      </w:pPr>
    </w:p>
    <w:p>
      <w:pPr>
        <w:widowControl/>
        <w:autoSpaceDE w:val="0"/>
        <w:autoSpaceDN w:val="0"/>
        <w:adjustRightInd w:val="0"/>
        <w:spacing w:line="400" w:lineRule="exact"/>
        <w:ind w:firstLine="521" w:firstLineChars="247"/>
        <w:rPr>
          <w:rFonts w:ascii="宋体" w:hAnsi="宋体"/>
          <w:b/>
          <w:color w:val="000000"/>
          <w:kern w:val="0"/>
          <w:szCs w:val="21"/>
        </w:rPr>
      </w:pPr>
      <w:r>
        <w:rPr>
          <w:rFonts w:hint="eastAsia" w:ascii="宋体" w:hAnsi="宋体"/>
          <w:b/>
          <w:color w:val="000000"/>
          <w:kern w:val="0"/>
          <w:szCs w:val="21"/>
        </w:rPr>
        <w:t>2、EPS电源技术要求</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EPS电源由主机组成。</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正常工作条件（设备应在下述条件下连续工作满足其所有性能指标）：</w:t>
      </w:r>
    </w:p>
    <w:p>
      <w:pPr>
        <w:widowControl/>
        <w:numPr>
          <w:ilvl w:val="0"/>
          <w:numId w:val="11"/>
        </w:numPr>
        <w:autoSpaceDE w:val="0"/>
        <w:autoSpaceDN w:val="0"/>
        <w:adjustRightInd w:val="0"/>
        <w:spacing w:line="400" w:lineRule="exact"/>
        <w:rPr>
          <w:rFonts w:ascii="宋体" w:hAnsi="宋体"/>
          <w:color w:val="000000"/>
          <w:kern w:val="0"/>
          <w:szCs w:val="21"/>
        </w:rPr>
      </w:pPr>
      <w:r>
        <w:rPr>
          <w:rFonts w:ascii="宋体" w:hAnsi="宋体"/>
          <w:color w:val="000000"/>
          <w:kern w:val="0"/>
          <w:szCs w:val="21"/>
        </w:rPr>
        <w:t>0</w:t>
      </w:r>
      <w:r>
        <w:rPr>
          <w:rFonts w:hint="eastAsia" w:ascii="宋体" w:hAnsi="宋体"/>
          <w:color w:val="000000"/>
          <w:kern w:val="0"/>
          <w:szCs w:val="21"/>
        </w:rPr>
        <w:t>℃-</w:t>
      </w:r>
      <w:r>
        <w:rPr>
          <w:rFonts w:ascii="宋体" w:hAnsi="宋体"/>
          <w:color w:val="000000"/>
          <w:kern w:val="0"/>
          <w:szCs w:val="21"/>
        </w:rPr>
        <w:t>40</w:t>
      </w:r>
      <w:r>
        <w:rPr>
          <w:rFonts w:hint="eastAsia" w:ascii="宋体" w:hAnsi="宋体"/>
          <w:color w:val="000000"/>
          <w:kern w:val="0"/>
          <w:szCs w:val="21"/>
        </w:rPr>
        <w:t>℃工作温度： 长期工作；</w:t>
      </w:r>
    </w:p>
    <w:p>
      <w:pPr>
        <w:widowControl/>
        <w:numPr>
          <w:ilvl w:val="0"/>
          <w:numId w:val="11"/>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相对湿度：0～</w:t>
      </w:r>
      <w:r>
        <w:rPr>
          <w:rFonts w:ascii="宋体" w:hAnsi="宋体"/>
          <w:color w:val="000000"/>
          <w:kern w:val="0"/>
          <w:szCs w:val="21"/>
        </w:rPr>
        <w:t>9</w:t>
      </w:r>
      <w:r>
        <w:rPr>
          <w:rFonts w:hint="eastAsia" w:ascii="宋体" w:hAnsi="宋体"/>
          <w:color w:val="000000"/>
          <w:kern w:val="0"/>
          <w:szCs w:val="21"/>
        </w:rPr>
        <w:t>0％（无冷凝）；</w:t>
      </w:r>
    </w:p>
    <w:p>
      <w:pPr>
        <w:widowControl/>
        <w:numPr>
          <w:ilvl w:val="0"/>
          <w:numId w:val="11"/>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1500</w:t>
      </w:r>
      <w:r>
        <w:rPr>
          <w:rFonts w:ascii="宋体" w:hAnsi="宋体"/>
          <w:color w:val="000000"/>
          <w:kern w:val="0"/>
          <w:szCs w:val="21"/>
        </w:rPr>
        <w:t>m</w:t>
      </w:r>
      <w:r>
        <w:rPr>
          <w:rFonts w:hint="eastAsia" w:ascii="宋体" w:hAnsi="宋体"/>
          <w:color w:val="000000"/>
          <w:kern w:val="0"/>
          <w:szCs w:val="21"/>
        </w:rPr>
        <w:t>海拔高度：在、40度环境温度下无须降功率使用。</w:t>
      </w:r>
    </w:p>
    <w:p>
      <w:pPr>
        <w:widowControl/>
        <w:numPr>
          <w:ilvl w:val="0"/>
          <w:numId w:val="11"/>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输入电压范围：380， ±</w:t>
      </w:r>
      <w:r>
        <w:rPr>
          <w:rFonts w:ascii="宋体" w:hAnsi="宋体"/>
          <w:color w:val="000000"/>
          <w:kern w:val="0"/>
          <w:szCs w:val="21"/>
        </w:rPr>
        <w:t>15</w:t>
      </w:r>
      <w:r>
        <w:rPr>
          <w:rFonts w:hint="eastAsia" w:ascii="宋体" w:hAnsi="宋体"/>
          <w:color w:val="000000"/>
          <w:kern w:val="0"/>
          <w:szCs w:val="21"/>
        </w:rPr>
        <w:t>%（无须电池放电）；三相四线+PE；</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安装方式：室内固定式安装，具有防震加固功能。</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输入指标</w:t>
      </w:r>
    </w:p>
    <w:p>
      <w:pPr>
        <w:widowControl/>
        <w:numPr>
          <w:ilvl w:val="0"/>
          <w:numId w:val="12"/>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主电源输入：通过交流电源自动切换装置保证低压进线电源的可靠性；</w:t>
      </w:r>
    </w:p>
    <w:p>
      <w:pPr>
        <w:widowControl/>
        <w:numPr>
          <w:ilvl w:val="0"/>
          <w:numId w:val="12"/>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蓄电池组接入：系统应装有熔断器。</w:t>
      </w:r>
    </w:p>
    <w:p>
      <w:pPr>
        <w:widowControl/>
        <w:numPr>
          <w:ilvl w:val="0"/>
          <w:numId w:val="12"/>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输入电源频率：50</w:t>
      </w:r>
      <w:r>
        <w:rPr>
          <w:rFonts w:ascii="宋体" w:hAnsi="宋体"/>
          <w:color w:val="000000"/>
          <w:kern w:val="0"/>
          <w:szCs w:val="21"/>
        </w:rPr>
        <w:t>Hz</w:t>
      </w:r>
      <w:r>
        <w:rPr>
          <w:rFonts w:hint="eastAsia" w:ascii="宋体" w:hAnsi="宋体"/>
          <w:color w:val="000000"/>
          <w:kern w:val="0"/>
          <w:szCs w:val="21"/>
        </w:rPr>
        <w:t xml:space="preserve"> </w:t>
      </w:r>
      <w:r>
        <w:rPr>
          <w:rFonts w:hint="eastAsia" w:ascii="宋体" w:hAnsi="宋体"/>
          <w:color w:val="000000"/>
          <w:kern w:val="0"/>
          <w:szCs w:val="21"/>
        </w:rPr>
        <w:sym w:font="Symbol" w:char="F0B1"/>
      </w:r>
      <w:r>
        <w:rPr>
          <w:rFonts w:hint="eastAsia" w:ascii="宋体" w:hAnsi="宋体"/>
          <w:color w:val="000000"/>
          <w:kern w:val="0"/>
          <w:szCs w:val="21"/>
        </w:rPr>
        <w:t>5%；</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输出指标</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稳压精度：±</w:t>
      </w:r>
      <w:r>
        <w:rPr>
          <w:rFonts w:ascii="宋体" w:hAnsi="宋体"/>
          <w:color w:val="000000"/>
          <w:kern w:val="0"/>
          <w:szCs w:val="21"/>
        </w:rPr>
        <w:t>3</w:t>
      </w:r>
      <w:r>
        <w:rPr>
          <w:rFonts w:hint="eastAsia" w:ascii="宋体" w:hAnsi="宋体"/>
          <w:color w:val="000000"/>
          <w:kern w:val="0"/>
          <w:szCs w:val="21"/>
        </w:rPr>
        <w:t>％（应急供电）；</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额定（满配）容量：</w:t>
      </w:r>
      <w:r>
        <w:tab/>
      </w:r>
      <w:r>
        <w:rPr>
          <w:rFonts w:hint="eastAsia" w:ascii="宋体" w:hAnsi="宋体"/>
          <w:color w:val="000000"/>
          <w:kern w:val="0"/>
          <w:szCs w:val="21"/>
        </w:rPr>
        <w:t>≥</w:t>
      </w:r>
      <w:r>
        <w:rPr>
          <w:rFonts w:ascii="宋体" w:hAnsi="宋体"/>
          <w:color w:val="000000"/>
          <w:kern w:val="0"/>
          <w:szCs w:val="21"/>
        </w:rPr>
        <w:t>90</w:t>
      </w:r>
      <w:r>
        <w:rPr>
          <w:rFonts w:hint="eastAsia" w:ascii="宋体" w:hAnsi="宋体"/>
          <w:color w:val="000000"/>
          <w:kern w:val="0"/>
          <w:szCs w:val="21"/>
        </w:rPr>
        <w:t>KVA；</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输出电压谐波失真：≤3％；</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输出频率稳定度：50</w:t>
      </w:r>
      <w:r>
        <w:rPr>
          <w:rFonts w:ascii="宋体" w:hAnsi="宋体"/>
          <w:color w:val="000000"/>
          <w:kern w:val="0"/>
          <w:szCs w:val="21"/>
        </w:rPr>
        <w:t>Hz</w:t>
      </w:r>
      <w:r>
        <w:rPr>
          <w:rFonts w:hint="eastAsia" w:ascii="宋体" w:hAnsi="宋体"/>
          <w:color w:val="000000"/>
          <w:kern w:val="0"/>
          <w:szCs w:val="21"/>
        </w:rPr>
        <w:t xml:space="preserve"> </w:t>
      </w:r>
      <w:r>
        <w:rPr>
          <w:rFonts w:hint="eastAsia" w:ascii="宋体" w:hAnsi="宋体"/>
          <w:color w:val="000000"/>
          <w:kern w:val="0"/>
          <w:szCs w:val="21"/>
        </w:rPr>
        <w:sym w:font="Symbol" w:char="F0B1"/>
      </w:r>
      <w:r>
        <w:rPr>
          <w:rFonts w:hint="eastAsia" w:ascii="宋体" w:hAnsi="宋体"/>
          <w:color w:val="000000"/>
          <w:kern w:val="0"/>
          <w:szCs w:val="21"/>
        </w:rPr>
        <w:t>0.5%（无市电时）；</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满载系统效率：＞9</w:t>
      </w:r>
      <w:r>
        <w:rPr>
          <w:rFonts w:ascii="宋体" w:hAnsi="宋体"/>
          <w:color w:val="000000"/>
          <w:kern w:val="0"/>
          <w:szCs w:val="21"/>
        </w:rPr>
        <w:t>5</w:t>
      </w:r>
      <w:r>
        <w:rPr>
          <w:rFonts w:hint="eastAsia" w:ascii="宋体" w:hAnsi="宋体"/>
          <w:color w:val="000000"/>
          <w:kern w:val="0"/>
          <w:szCs w:val="21"/>
        </w:rPr>
        <w:t>％（应急供电时）；</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负载下平衡能力（最大相电流为额定电流Imax/Imin）：120%；</w:t>
      </w:r>
    </w:p>
    <w:p>
      <w:pPr>
        <w:widowControl/>
        <w:numPr>
          <w:ilvl w:val="0"/>
          <w:numId w:val="13"/>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过载能力（120％）：≥1小时；</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市电供电转应急供电切换时间：≤0.1秒</w:t>
      </w:r>
    </w:p>
    <w:p>
      <w:pPr>
        <w:widowControl/>
        <w:numPr>
          <w:ilvl w:val="0"/>
          <w:numId w:val="10"/>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系统具有过流、短路保护功能，可缺相运行。</w:t>
      </w:r>
    </w:p>
    <w:p>
      <w:pPr>
        <w:widowControl/>
        <w:numPr>
          <w:ilvl w:val="0"/>
          <w:numId w:val="10"/>
        </w:numPr>
        <w:autoSpaceDE w:val="0"/>
        <w:autoSpaceDN w:val="0"/>
        <w:adjustRightInd w:val="0"/>
        <w:spacing w:line="400" w:lineRule="exact"/>
        <w:rPr>
          <w:rFonts w:ascii="宋体" w:hAnsi="宋体"/>
          <w:color w:val="000000"/>
          <w:kern w:val="0"/>
          <w:szCs w:val="21"/>
        </w:rPr>
      </w:pPr>
      <w:bookmarkStart w:id="12" w:name="_Toc122432633"/>
      <w:bookmarkEnd w:id="12"/>
      <w:bookmarkStart w:id="13" w:name="_Toc163880031"/>
      <w:bookmarkEnd w:id="13"/>
      <w:bookmarkStart w:id="14" w:name="_Toc122432549"/>
      <w:bookmarkEnd w:id="14"/>
      <w:bookmarkStart w:id="15" w:name="_Toc162856066"/>
      <w:bookmarkEnd w:id="15"/>
      <w:bookmarkStart w:id="16" w:name="_Toc162855904"/>
      <w:bookmarkEnd w:id="16"/>
      <w:bookmarkStart w:id="17" w:name="_Toc163617516"/>
      <w:bookmarkEnd w:id="17"/>
      <w:bookmarkStart w:id="18" w:name="_Toc122487973"/>
      <w:bookmarkEnd w:id="18"/>
      <w:bookmarkStart w:id="19" w:name="_Toc122493698"/>
      <w:bookmarkEnd w:id="19"/>
      <w:bookmarkStart w:id="20" w:name="_Toc122432756"/>
      <w:bookmarkEnd w:id="20"/>
      <w:bookmarkStart w:id="21" w:name="_Toc124330865"/>
      <w:bookmarkEnd w:id="21"/>
      <w:bookmarkStart w:id="22" w:name="_Toc122488032"/>
      <w:bookmarkEnd w:id="22"/>
      <w:r>
        <w:rPr>
          <w:rFonts w:hint="eastAsia" w:ascii="宋体" w:hAnsi="宋体"/>
          <w:color w:val="000000"/>
          <w:kern w:val="0"/>
          <w:szCs w:val="21"/>
        </w:rPr>
        <w:t>监控装置</w:t>
      </w:r>
    </w:p>
    <w:p>
      <w:pPr>
        <w:widowControl/>
        <w:numPr>
          <w:ilvl w:val="0"/>
          <w:numId w:val="14"/>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监控装置能自动和手动管理应急照明电源装置的运行，并提示运营维护人员定期维护工作。</w:t>
      </w:r>
    </w:p>
    <w:p>
      <w:pPr>
        <w:widowControl/>
        <w:numPr>
          <w:ilvl w:val="0"/>
          <w:numId w:val="14"/>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EPS装置柜面板设LCD显示屏，显示面为汉化界面，可显示应急照明电源装置各部分（交流电源自动切换装置、整流/充电机、蓄电池组、逆变器、馈线单元）运行参数、运行状态、故障信息。</w:t>
      </w:r>
    </w:p>
    <w:p>
      <w:pPr>
        <w:widowControl/>
        <w:numPr>
          <w:ilvl w:val="0"/>
          <w:numId w:val="14"/>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监控装置能在线检测各馈出分回路的故障状态，如：开路、断路、过流等。</w:t>
      </w:r>
    </w:p>
    <w:p>
      <w:pPr>
        <w:widowControl/>
        <w:numPr>
          <w:ilvl w:val="0"/>
          <w:numId w:val="14"/>
        </w:numPr>
        <w:autoSpaceDE w:val="0"/>
        <w:autoSpaceDN w:val="0"/>
        <w:adjustRightInd w:val="0"/>
        <w:spacing w:line="400" w:lineRule="exact"/>
        <w:rPr>
          <w:rFonts w:ascii="宋体" w:hAnsi="宋体"/>
          <w:color w:val="000000"/>
          <w:kern w:val="0"/>
          <w:szCs w:val="21"/>
        </w:rPr>
      </w:pPr>
      <w:bookmarkStart w:id="23" w:name="_Toc122487974"/>
      <w:bookmarkEnd w:id="23"/>
      <w:bookmarkStart w:id="24" w:name="_Toc122488033"/>
      <w:bookmarkEnd w:id="24"/>
      <w:bookmarkStart w:id="25" w:name="_Toc122493699"/>
      <w:bookmarkEnd w:id="25"/>
      <w:bookmarkStart w:id="26" w:name="_Toc162856067"/>
      <w:bookmarkEnd w:id="26"/>
      <w:bookmarkStart w:id="27" w:name="_Toc124330866"/>
      <w:bookmarkEnd w:id="27"/>
      <w:bookmarkStart w:id="28" w:name="_Toc163617517"/>
      <w:bookmarkEnd w:id="28"/>
      <w:bookmarkStart w:id="29" w:name="_Toc163880032"/>
      <w:bookmarkEnd w:id="29"/>
      <w:bookmarkStart w:id="30" w:name="_Toc162855905"/>
      <w:bookmarkEnd w:id="30"/>
      <w:bookmarkStart w:id="31" w:name="_Toc122432634"/>
      <w:bookmarkEnd w:id="31"/>
      <w:bookmarkStart w:id="32" w:name="_Toc122432757"/>
      <w:bookmarkEnd w:id="32"/>
      <w:bookmarkStart w:id="33" w:name="_Toc122432550"/>
      <w:bookmarkEnd w:id="33"/>
      <w:r>
        <w:rPr>
          <w:rFonts w:hint="eastAsia" w:ascii="宋体" w:hAnsi="宋体"/>
          <w:color w:val="000000"/>
          <w:kern w:val="0"/>
          <w:szCs w:val="21"/>
        </w:rPr>
        <w:t>信号显示与报警：EPS通过监控系统或指示灯显示下表重要的信息并对所有故障报警。</w:t>
      </w:r>
    </w:p>
    <w:p>
      <w:pPr>
        <w:widowControl/>
        <w:numPr>
          <w:ilvl w:val="0"/>
          <w:numId w:val="14"/>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信号显示与报警表（供参考）</w:t>
      </w:r>
    </w:p>
    <w:tbl>
      <w:tblPr>
        <w:tblStyle w:val="4"/>
        <w:tblW w:w="7654" w:type="dxa"/>
        <w:tblInd w:w="8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2258"/>
        <w:gridCol w:w="1984"/>
        <w:gridCol w:w="28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序号</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部件名称</w:t>
            </w:r>
          </w:p>
        </w:tc>
        <w:tc>
          <w:tcPr>
            <w:tcW w:w="1984"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状态</w:t>
            </w: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报警内容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1</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主用电源/备用电源</w:t>
            </w:r>
          </w:p>
        </w:tc>
        <w:tc>
          <w:tcPr>
            <w:tcW w:w="1984"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正常</w:t>
            </w: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失压或过压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2</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整流器</w:t>
            </w:r>
          </w:p>
        </w:tc>
        <w:tc>
          <w:tcPr>
            <w:tcW w:w="1984"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整流器运行</w:t>
            </w: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整流器故障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3</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充电器</w:t>
            </w:r>
          </w:p>
        </w:tc>
        <w:tc>
          <w:tcPr>
            <w:tcW w:w="1984"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浮充/均充</w:t>
            </w: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 xml:space="preserve"> 输入电压过高、过低、缺相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5</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逆变器</w:t>
            </w:r>
          </w:p>
        </w:tc>
        <w:tc>
          <w:tcPr>
            <w:tcW w:w="1984"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正常运行</w:t>
            </w: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发生故障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6</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静态开关</w:t>
            </w:r>
          </w:p>
        </w:tc>
        <w:tc>
          <w:tcPr>
            <w:tcW w:w="1984"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市电供电</w:t>
            </w:r>
          </w:p>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电池放电</w:t>
            </w:r>
          </w:p>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无输出</w:t>
            </w: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市电正常</w:t>
            </w:r>
          </w:p>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市电故障</w:t>
            </w:r>
          </w:p>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静态开关故障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blHeader/>
        </w:trPr>
        <w:tc>
          <w:tcPr>
            <w:tcW w:w="567"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7</w:t>
            </w:r>
          </w:p>
        </w:tc>
        <w:tc>
          <w:tcPr>
            <w:tcW w:w="2258" w:type="dxa"/>
            <w:vAlign w:val="center"/>
          </w:tcPr>
          <w:p>
            <w:pPr>
              <w:widowControl/>
              <w:autoSpaceDE w:val="0"/>
              <w:autoSpaceDN w:val="0"/>
              <w:adjustRightInd w:val="0"/>
              <w:rPr>
                <w:rFonts w:ascii="宋体" w:hAnsi="宋体"/>
                <w:color w:val="000000"/>
                <w:kern w:val="0"/>
                <w:szCs w:val="21"/>
              </w:rPr>
            </w:pPr>
            <w:r>
              <w:rPr>
                <w:rFonts w:hint="eastAsia" w:ascii="宋体" w:hAnsi="宋体"/>
                <w:color w:val="000000"/>
                <w:kern w:val="0"/>
                <w:szCs w:val="21"/>
              </w:rPr>
              <w:t>风扇</w:t>
            </w:r>
          </w:p>
        </w:tc>
        <w:tc>
          <w:tcPr>
            <w:tcW w:w="1984" w:type="dxa"/>
            <w:vAlign w:val="center"/>
          </w:tcPr>
          <w:p>
            <w:pPr>
              <w:widowControl/>
              <w:autoSpaceDE w:val="0"/>
              <w:autoSpaceDN w:val="0"/>
              <w:adjustRightInd w:val="0"/>
              <w:ind w:firstLine="420" w:firstLineChars="200"/>
              <w:jc w:val="center"/>
              <w:rPr>
                <w:rFonts w:ascii="宋体" w:hAnsi="宋体"/>
                <w:color w:val="000000"/>
                <w:kern w:val="0"/>
                <w:szCs w:val="21"/>
              </w:rPr>
            </w:pPr>
          </w:p>
        </w:tc>
        <w:tc>
          <w:tcPr>
            <w:tcW w:w="2845" w:type="dxa"/>
            <w:vAlign w:val="center"/>
          </w:tcPr>
          <w:p>
            <w:pPr>
              <w:widowControl/>
              <w:autoSpaceDE w:val="0"/>
              <w:autoSpaceDN w:val="0"/>
              <w:adjustRightInd w:val="0"/>
              <w:jc w:val="center"/>
              <w:rPr>
                <w:rFonts w:ascii="宋体" w:hAnsi="宋体"/>
                <w:color w:val="000000"/>
                <w:kern w:val="0"/>
                <w:szCs w:val="21"/>
              </w:rPr>
            </w:pPr>
            <w:r>
              <w:rPr>
                <w:rFonts w:hint="eastAsia" w:ascii="宋体" w:hAnsi="宋体"/>
                <w:color w:val="000000"/>
                <w:kern w:val="0"/>
                <w:szCs w:val="21"/>
              </w:rPr>
              <w:t>风扇故障</w:t>
            </w:r>
          </w:p>
        </w:tc>
      </w:tr>
    </w:tbl>
    <w:p>
      <w:pPr>
        <w:widowControl/>
        <w:numPr>
          <w:ilvl w:val="0"/>
          <w:numId w:val="14"/>
        </w:numPr>
        <w:autoSpaceDE w:val="0"/>
        <w:autoSpaceDN w:val="0"/>
        <w:adjustRightInd w:val="0"/>
        <w:spacing w:line="400" w:lineRule="exact"/>
        <w:rPr>
          <w:rFonts w:ascii="宋体" w:hAnsi="宋体"/>
          <w:color w:val="000000"/>
          <w:kern w:val="0"/>
          <w:szCs w:val="21"/>
        </w:rPr>
      </w:pPr>
      <w:r>
        <w:rPr>
          <w:rFonts w:hint="eastAsia" w:ascii="宋体" w:hAnsi="宋体"/>
          <w:color w:val="000000"/>
          <w:kern w:val="0"/>
          <w:szCs w:val="21"/>
        </w:rPr>
        <w:t>在有报警发生时，显示板上应有声光报警信号，并能经复位后消除，复位方式可采取本地复位方式。</w:t>
      </w:r>
    </w:p>
    <w:p>
      <w:pPr>
        <w:spacing w:line="400" w:lineRule="exact"/>
        <w:ind w:firstLine="211" w:firstLineChars="100"/>
        <w:rPr>
          <w:rFonts w:ascii="宋体" w:hAnsi="宋体"/>
          <w:b/>
          <w:szCs w:val="21"/>
        </w:rPr>
      </w:pPr>
    </w:p>
    <w:p>
      <w:pPr>
        <w:spacing w:line="360" w:lineRule="auto"/>
        <w:jc w:val="center"/>
        <w:rPr>
          <w:rFonts w:ascii="华文新魏" w:eastAsia="华文新魏"/>
          <w:b/>
          <w:bCs/>
          <w:sz w:val="84"/>
          <w:szCs w:val="84"/>
        </w:rPr>
      </w:pPr>
      <w:bookmarkStart w:id="34" w:name="评标办法"/>
      <w:bookmarkEnd w:id="34"/>
      <w:r>
        <w:rPr>
          <w:rFonts w:hint="eastAsia" w:ascii="华文新魏" w:eastAsia="华文新魏"/>
          <w:b/>
          <w:bCs/>
          <w:sz w:val="84"/>
          <w:szCs w:val="84"/>
        </w:rPr>
        <w:t>评标办法</w:t>
      </w:r>
    </w:p>
    <w:p>
      <w:pPr>
        <w:numPr>
          <w:ilvl w:val="0"/>
          <w:numId w:val="15"/>
        </w:numPr>
        <w:spacing w:line="360" w:lineRule="auto"/>
        <w:rPr>
          <w:rFonts w:ascii="幼圆" w:hAnsi="宋体"/>
          <w:b/>
          <w:bCs/>
        </w:rPr>
      </w:pPr>
      <w:bookmarkStart w:id="35" w:name="Sixpingbiaobanfa9"/>
      <w:bookmarkEnd w:id="35"/>
      <w:r>
        <w:rPr>
          <w:rFonts w:hint="eastAsia" w:ascii="幼圆" w:hAnsi="宋体"/>
          <w:b/>
          <w:bCs/>
          <w:sz w:val="28"/>
        </w:rPr>
        <w:t>总则</w:t>
      </w:r>
    </w:p>
    <w:p>
      <w:pPr>
        <w:spacing w:line="400" w:lineRule="exact"/>
        <w:ind w:firstLine="420" w:firstLineChars="200"/>
        <w:rPr>
          <w:rFonts w:hAnsi="宋体"/>
          <w:b/>
        </w:rPr>
      </w:pPr>
      <w:r>
        <w:rPr>
          <w:rFonts w:hint="eastAsia"/>
          <w:color w:val="000000"/>
          <w:szCs w:val="21"/>
        </w:rPr>
        <w:t>本</w:t>
      </w:r>
      <w:r>
        <w:rPr>
          <w:rFonts w:hint="eastAsia"/>
          <w:szCs w:val="21"/>
        </w:rPr>
        <w:t>项目采用</w:t>
      </w:r>
      <w:r>
        <w:rPr>
          <w:rFonts w:hint="eastAsia"/>
          <w:b/>
          <w:bCs/>
          <w:szCs w:val="21"/>
          <w:u w:val="single"/>
        </w:rPr>
        <w:t>综合评标法</w:t>
      </w:r>
      <w:r>
        <w:rPr>
          <w:rFonts w:hint="eastAsia"/>
          <w:szCs w:val="21"/>
        </w:rPr>
        <w:t>。</w:t>
      </w:r>
      <w:r>
        <w:rPr>
          <w:rFonts w:hint="eastAsia"/>
          <w:color w:val="000000"/>
          <w:szCs w:val="21"/>
        </w:rPr>
        <w:t>依据最大限度满足招标文件规定的各项综合评价标准的原则，评标委员会根据招标文件的要求，对通过投标文件初审的投标人的综合实力、信誉和业绩、投标价格、服务承诺等进行综合评审。</w:t>
      </w:r>
      <w:r>
        <w:rPr>
          <w:rFonts w:hint="eastAsia"/>
          <w:b/>
          <w:bCs/>
          <w:color w:val="000000"/>
        </w:rPr>
        <w:t>只有通过符合性检查及对招标文件</w:t>
      </w:r>
      <w:r>
        <w:rPr>
          <w:rFonts w:hint="eastAsia" w:ascii="宋体" w:hAnsi="宋体"/>
          <w:b/>
          <w:bCs/>
          <w:color w:val="000000"/>
        </w:rPr>
        <w:t>标注</w:t>
      </w:r>
      <w:r>
        <w:rPr>
          <w:rFonts w:hint="eastAsia"/>
          <w:b/>
          <w:bCs/>
          <w:color w:val="000000"/>
        </w:rPr>
        <w:t>（"★"）</w:t>
      </w:r>
      <w:r>
        <w:rPr>
          <w:rFonts w:hint="eastAsia" w:ascii="宋体" w:hAnsi="宋体"/>
          <w:b/>
          <w:bCs/>
          <w:color w:val="000000"/>
        </w:rPr>
        <w:t>号的重要</w:t>
      </w:r>
      <w:r>
        <w:rPr>
          <w:rFonts w:hint="eastAsia"/>
          <w:b/>
          <w:bCs/>
          <w:color w:val="000000"/>
        </w:rPr>
        <w:t>商务及技术</w:t>
      </w:r>
      <w:r>
        <w:rPr>
          <w:rFonts w:hint="eastAsia" w:ascii="宋体" w:hAnsi="宋体"/>
          <w:b/>
          <w:bCs/>
          <w:color w:val="000000"/>
        </w:rPr>
        <w:t>条款</w:t>
      </w:r>
      <w:r>
        <w:rPr>
          <w:rFonts w:hint="eastAsia"/>
          <w:b/>
          <w:bCs/>
          <w:color w:val="000000"/>
        </w:rPr>
        <w:t>完全满足的投标人才能进入商务、技术和价格评分。各评标委员独立评分，汇总得分即为各投标人的综合得分，得分最高者为第一中标候选人，评标委员会根据综合得分由高到低的排名顺序确定三人为中标候选人，并标明排列顺序。</w:t>
      </w:r>
      <w:r>
        <w:rPr>
          <w:rFonts w:hint="eastAsia" w:hAnsi="宋体"/>
          <w:b/>
          <w:color w:val="000000"/>
        </w:rPr>
        <w:t>若综合得分</w:t>
      </w:r>
      <w:r>
        <w:rPr>
          <w:rFonts w:hint="eastAsia"/>
          <w:b/>
          <w:color w:val="000000"/>
        </w:rPr>
        <w:t>相同时，</w:t>
      </w:r>
      <w:r>
        <w:rPr>
          <w:rFonts w:hint="eastAsia"/>
          <w:b/>
          <w:bCs/>
          <w:color w:val="000000"/>
        </w:rPr>
        <w:t>以投标报价低者优先。</w:t>
      </w:r>
      <w:r>
        <w:rPr>
          <w:rFonts w:hint="eastAsia" w:hAnsi="宋体"/>
          <w:b/>
          <w:color w:val="000000"/>
        </w:rPr>
        <w:t>若综合得分且投标报价相同的，以技术分高者优先。</w:t>
      </w:r>
    </w:p>
    <w:p>
      <w:pPr>
        <w:spacing w:line="360" w:lineRule="auto"/>
        <w:ind w:firstLine="420" w:firstLineChars="200"/>
      </w:pPr>
    </w:p>
    <w:p>
      <w:pPr>
        <w:numPr>
          <w:ilvl w:val="0"/>
          <w:numId w:val="15"/>
        </w:numPr>
        <w:spacing w:after="72" w:line="360" w:lineRule="auto"/>
        <w:rPr>
          <w:rFonts w:ascii="幼圆" w:hAnsi="宋体"/>
          <w:b/>
          <w:bCs/>
          <w:sz w:val="28"/>
        </w:rPr>
      </w:pPr>
      <w:r>
        <w:rPr>
          <w:rFonts w:hint="eastAsia"/>
          <w:b/>
          <w:bCs/>
          <w:sz w:val="28"/>
        </w:rPr>
        <w:t>评标方法</w:t>
      </w:r>
    </w:p>
    <w:p>
      <w:pPr>
        <w:spacing w:line="400" w:lineRule="exact"/>
        <w:ind w:firstLine="525" w:firstLineChars="250"/>
        <w:rPr>
          <w:color w:val="000000"/>
          <w:szCs w:val="21"/>
        </w:rPr>
      </w:pPr>
      <w:r>
        <w:rPr>
          <w:rFonts w:hint="eastAsia"/>
          <w:color w:val="000000"/>
          <w:szCs w:val="21"/>
        </w:rPr>
        <w:t>综合得分总分值为</w:t>
      </w:r>
      <w:r>
        <w:rPr>
          <w:color w:val="000000"/>
          <w:szCs w:val="21"/>
        </w:rPr>
        <w:t>100</w:t>
      </w:r>
      <w:r>
        <w:rPr>
          <w:rFonts w:hint="eastAsia"/>
          <w:color w:val="000000"/>
          <w:szCs w:val="21"/>
        </w:rPr>
        <w:t>分，分值：商务</w:t>
      </w:r>
      <w:r>
        <w:rPr>
          <w:color w:val="000000"/>
          <w:szCs w:val="21"/>
        </w:rPr>
        <w:t>1</w:t>
      </w:r>
      <w:r>
        <w:rPr>
          <w:rFonts w:hint="eastAsia"/>
          <w:color w:val="000000"/>
          <w:szCs w:val="21"/>
        </w:rPr>
        <w:t>0分、技术</w:t>
      </w:r>
      <w:r>
        <w:rPr>
          <w:color w:val="000000"/>
          <w:szCs w:val="21"/>
        </w:rPr>
        <w:t>5</w:t>
      </w:r>
      <w:r>
        <w:rPr>
          <w:rFonts w:hint="eastAsia"/>
          <w:color w:val="000000"/>
          <w:szCs w:val="21"/>
        </w:rPr>
        <w:t>0分、价格</w:t>
      </w:r>
      <w:r>
        <w:rPr>
          <w:color w:val="000000"/>
          <w:szCs w:val="21"/>
        </w:rPr>
        <w:t>4</w:t>
      </w:r>
      <w:r>
        <w:rPr>
          <w:rFonts w:hint="eastAsia"/>
          <w:color w:val="000000"/>
          <w:szCs w:val="21"/>
        </w:rPr>
        <w:t>0分。</w:t>
      </w:r>
    </w:p>
    <w:p>
      <w:pPr>
        <w:spacing w:line="400" w:lineRule="exact"/>
        <w:rPr>
          <w:rFonts w:ascii="宋体"/>
          <w:szCs w:val="21"/>
        </w:rPr>
      </w:pPr>
    </w:p>
    <w:p>
      <w:pPr>
        <w:spacing w:after="72" w:line="360" w:lineRule="auto"/>
        <w:rPr>
          <w:rFonts w:ascii="幼圆"/>
          <w:b/>
          <w:bCs/>
          <w:sz w:val="28"/>
        </w:rPr>
      </w:pPr>
      <w:bookmarkStart w:id="36" w:name="_Toc75690847"/>
      <w:bookmarkEnd w:id="36"/>
      <w:bookmarkStart w:id="37" w:name="_Toc69569232"/>
      <w:bookmarkEnd w:id="37"/>
      <w:r>
        <w:rPr>
          <w:rFonts w:hint="eastAsia" w:ascii="幼圆"/>
          <w:b/>
          <w:bCs/>
          <w:sz w:val="28"/>
        </w:rPr>
        <w:t>三、</w:t>
      </w:r>
      <w:r>
        <w:rPr>
          <w:rFonts w:ascii="幼圆"/>
          <w:b/>
          <w:bCs/>
          <w:sz w:val="28"/>
        </w:rPr>
        <w:t>评</w:t>
      </w:r>
      <w:r>
        <w:rPr>
          <w:rFonts w:hint="eastAsia" w:ascii="幼圆"/>
          <w:b/>
          <w:bCs/>
          <w:sz w:val="28"/>
        </w:rPr>
        <w:t>标表格</w:t>
      </w:r>
    </w:p>
    <w:p>
      <w:pPr>
        <w:rPr>
          <w:rFonts w:ascii="宋体" w:hAnsi="宋体"/>
          <w:b/>
          <w:bCs/>
        </w:rPr>
      </w:pPr>
      <w:bookmarkStart w:id="38" w:name="Sixsheet1and2in11"/>
      <w:bookmarkEnd w:id="38"/>
      <w:r>
        <w:rPr>
          <w:rFonts w:hint="eastAsia" w:ascii="宋体" w:hAnsi="宋体"/>
          <w:b/>
          <w:bCs/>
        </w:rPr>
        <w:t xml:space="preserve">表1：《价格评议》                                            </w:t>
      </w:r>
      <w:r>
        <w:rPr>
          <w:b/>
          <w:bCs/>
        </w:rPr>
        <w:t xml:space="preserve">[ </w:t>
      </w:r>
      <w:r>
        <w:rPr>
          <w:rFonts w:hint="eastAsia"/>
          <w:b/>
          <w:bCs/>
        </w:rPr>
        <w:t>分值：</w:t>
      </w:r>
      <w:r>
        <w:rPr>
          <w:b/>
          <w:bCs/>
          <w:u w:val="single"/>
        </w:rPr>
        <w:t xml:space="preserve"> 4</w:t>
      </w:r>
      <w:r>
        <w:rPr>
          <w:rFonts w:hint="eastAsia"/>
          <w:b/>
          <w:bCs/>
          <w:u w:val="single"/>
        </w:rPr>
        <w:t>0分</w:t>
      </w:r>
      <w:r>
        <w:rPr>
          <w:b/>
          <w:bCs/>
          <w:u w:val="single"/>
        </w:rPr>
        <w:t xml:space="preserve"> </w:t>
      </w:r>
      <w:r>
        <w:rPr>
          <w:b/>
          <w:bCs/>
        </w:rPr>
        <w:t>]</w:t>
      </w:r>
    </w:p>
    <w:p>
      <w:pPr>
        <w:rPr>
          <w:b/>
          <w:bCs/>
        </w:rPr>
      </w:pPr>
    </w:p>
    <w:tbl>
      <w:tblPr>
        <w:tblStyle w:val="4"/>
        <w:tblW w:w="8820"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60"/>
        <w:gridCol w:w="1215"/>
        <w:gridCol w:w="1215"/>
        <w:gridCol w:w="1215"/>
        <w:gridCol w:w="12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396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价格得分</w:t>
            </w:r>
          </w:p>
          <w:p>
            <w:pPr>
              <w:jc w:val="center"/>
              <w:rPr>
                <w:szCs w:val="21"/>
              </w:rPr>
            </w:pPr>
            <w:r>
              <w:rPr>
                <w:szCs w:val="21"/>
              </w:rPr>
              <w:t>[</w:t>
            </w:r>
            <w:r>
              <w:rPr>
                <w:rFonts w:ascii="宋体" w:hAnsi="宋体"/>
                <w:szCs w:val="21"/>
              </w:rPr>
              <w:t>1</w:t>
            </w:r>
            <w:r>
              <w:rPr>
                <w:rFonts w:hint="eastAsia" w:ascii="宋体" w:hAnsi="宋体"/>
                <w:szCs w:val="21"/>
              </w:rPr>
              <w:t>－</w:t>
            </w:r>
            <w:r>
              <w:rPr>
                <w:rFonts w:hAnsi="宋体"/>
                <w:szCs w:val="21"/>
              </w:rPr>
              <w:t>（</w:t>
            </w:r>
            <w:r>
              <w:rPr>
                <w:rFonts w:hAnsi="宋体"/>
                <w:color w:val="000000"/>
                <w:szCs w:val="21"/>
              </w:rPr>
              <w:t>投标</w:t>
            </w:r>
            <w:r>
              <w:rPr>
                <w:rFonts w:hint="eastAsia" w:hAnsi="宋体"/>
                <w:color w:val="000000"/>
                <w:szCs w:val="21"/>
              </w:rPr>
              <w:t>人评审</w:t>
            </w:r>
            <w:r>
              <w:rPr>
                <w:rFonts w:hAnsi="宋体"/>
                <w:color w:val="000000"/>
                <w:szCs w:val="21"/>
              </w:rPr>
              <w:t>报</w:t>
            </w:r>
            <w:r>
              <w:rPr>
                <w:rFonts w:ascii="宋体" w:hAnsi="宋体"/>
                <w:color w:val="000000"/>
                <w:szCs w:val="21"/>
              </w:rPr>
              <w:t>价</w:t>
            </w:r>
            <w:r>
              <w:rPr>
                <w:rFonts w:hint="eastAsia" w:ascii="宋体" w:hAnsi="宋体"/>
                <w:szCs w:val="21"/>
              </w:rPr>
              <w:t>－</w:t>
            </w:r>
            <w:r>
              <w:rPr>
                <w:rFonts w:hAnsi="宋体"/>
                <w:szCs w:val="21"/>
              </w:rPr>
              <w:t>最低价）</w:t>
            </w:r>
            <w:r>
              <w:rPr>
                <w:szCs w:val="21"/>
              </w:rPr>
              <w:t>/</w:t>
            </w:r>
            <w:r>
              <w:rPr>
                <w:rFonts w:hAnsi="宋体"/>
                <w:szCs w:val="21"/>
              </w:rPr>
              <w:t>最低价</w:t>
            </w:r>
            <w:r>
              <w:rPr>
                <w:szCs w:val="21"/>
              </w:rPr>
              <w:t>]×4</w:t>
            </w:r>
            <w:r>
              <w:rPr>
                <w:rFonts w:hint="eastAsia"/>
                <w:szCs w:val="21"/>
              </w:rPr>
              <w:t>0</w:t>
            </w:r>
          </w:p>
        </w:tc>
        <w:tc>
          <w:tcPr>
            <w:tcW w:w="121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p>
        </w:tc>
        <w:tc>
          <w:tcPr>
            <w:tcW w:w="121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p>
        </w:tc>
        <w:tc>
          <w:tcPr>
            <w:tcW w:w="121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p>
        </w:tc>
        <w:tc>
          <w:tcPr>
            <w:tcW w:w="121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p>
        </w:tc>
      </w:tr>
    </w:tbl>
    <w:p>
      <w:pPr>
        <w:rPr>
          <w:b/>
          <w:bCs/>
        </w:rPr>
      </w:pPr>
    </w:p>
    <w:p>
      <w:bookmarkStart w:id="39" w:name="商务评议指标表"/>
      <w:bookmarkEnd w:id="39"/>
      <w:r>
        <w:rPr>
          <w:rFonts w:hint="eastAsia"/>
          <w:b/>
          <w:bCs/>
        </w:rPr>
        <w:t xml:space="preserve">表2：《商务评议指标表》　                                     </w:t>
      </w:r>
      <w:r>
        <w:rPr>
          <w:b/>
          <w:bCs/>
        </w:rPr>
        <w:t>[</w:t>
      </w:r>
      <w:r>
        <w:rPr>
          <w:rFonts w:hint="eastAsia"/>
          <w:b/>
          <w:bCs/>
        </w:rPr>
        <w:t>分值：</w:t>
      </w:r>
      <w:r>
        <w:rPr>
          <w:b/>
          <w:bCs/>
          <w:u w:val="single"/>
        </w:rPr>
        <w:t>1</w:t>
      </w:r>
      <w:r>
        <w:rPr>
          <w:rFonts w:hint="eastAsia"/>
          <w:b/>
          <w:bCs/>
          <w:u w:val="single"/>
        </w:rPr>
        <w:t>0分</w:t>
      </w:r>
      <w:r>
        <w:rPr>
          <w:b/>
          <w:bCs/>
          <w:u w:val="single"/>
        </w:rPr>
        <w:t xml:space="preserve"> </w:t>
      </w:r>
      <w:r>
        <w:rPr>
          <w:b/>
          <w:bCs/>
        </w:rPr>
        <w:t>]</w:t>
      </w:r>
      <w:r>
        <w:t xml:space="preserve"> </w:t>
      </w:r>
    </w:p>
    <w:tbl>
      <w:tblPr>
        <w:tblStyle w:val="4"/>
        <w:tblW w:w="5167" w:type="pct"/>
        <w:tblCellSpacing w:w="0" w:type="dxa"/>
        <w:tblInd w:w="15"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410"/>
        <w:gridCol w:w="1124"/>
        <w:gridCol w:w="568"/>
        <w:gridCol w:w="5995"/>
        <w:gridCol w:w="548"/>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99" w:hRule="atLeast"/>
          <w:tblCellSpacing w:w="0" w:type="dxa"/>
        </w:trPr>
        <w:tc>
          <w:tcPr>
            <w:tcW w:w="406" w:type="dxa"/>
            <w:tcBorders>
              <w:top w:val="outset" w:color="DDDDDD" w:sz="6" w:space="0"/>
              <w:left w:val="outset" w:color="DDDDDD" w:sz="6" w:space="0"/>
              <w:bottom w:val="outset" w:color="DDDDDD" w:sz="6" w:space="0"/>
              <w:right w:val="outset" w:color="auto" w:sz="6" w:space="0"/>
            </w:tcBorders>
            <w:shd w:val="clear" w:color="auto" w:fill="EEEEEE"/>
            <w:vAlign w:val="center"/>
          </w:tcPr>
          <w:p>
            <w:pPr>
              <w:spacing w:line="240" w:lineRule="exact"/>
              <w:jc w:val="center"/>
              <w:rPr>
                <w:szCs w:val="21"/>
              </w:rPr>
            </w:pPr>
            <w:r>
              <w:rPr>
                <w:rFonts w:hAnsi="宋体"/>
                <w:szCs w:val="21"/>
              </w:rPr>
              <w:t>序号</w:t>
            </w:r>
          </w:p>
        </w:tc>
        <w:tc>
          <w:tcPr>
            <w:tcW w:w="1114" w:type="dxa"/>
            <w:tcBorders>
              <w:top w:val="outset" w:color="DDDDDD" w:sz="6" w:space="0"/>
              <w:left w:val="outset" w:color="auto" w:sz="6" w:space="0"/>
              <w:bottom w:val="outset" w:color="DDDDDD" w:sz="6" w:space="0"/>
              <w:right w:val="outset" w:color="auto" w:sz="6" w:space="0"/>
            </w:tcBorders>
            <w:shd w:val="clear" w:color="auto" w:fill="EEEEEE"/>
            <w:vAlign w:val="center"/>
          </w:tcPr>
          <w:p>
            <w:pPr>
              <w:spacing w:line="240" w:lineRule="exact"/>
              <w:ind w:left="90"/>
              <w:rPr>
                <w:szCs w:val="21"/>
              </w:rPr>
            </w:pPr>
            <w:r>
              <w:rPr>
                <w:rFonts w:hAnsi="宋体"/>
                <w:szCs w:val="21"/>
              </w:rPr>
              <w:t>内</w:t>
            </w:r>
            <w:r>
              <w:rPr>
                <w:szCs w:val="21"/>
              </w:rPr>
              <w:t xml:space="preserve">    </w:t>
            </w:r>
            <w:r>
              <w:rPr>
                <w:rFonts w:hAnsi="宋体"/>
                <w:szCs w:val="21"/>
              </w:rPr>
              <w:t>容</w:t>
            </w:r>
          </w:p>
        </w:tc>
        <w:tc>
          <w:tcPr>
            <w:tcW w:w="563" w:type="dxa"/>
            <w:tcBorders>
              <w:top w:val="outset" w:color="DDDDDD" w:sz="6" w:space="0"/>
              <w:left w:val="outset" w:color="auto" w:sz="6" w:space="0"/>
              <w:bottom w:val="outset" w:color="DDDDDD" w:sz="6" w:space="0"/>
              <w:right w:val="outset" w:color="auto" w:sz="6" w:space="0"/>
            </w:tcBorders>
            <w:shd w:val="clear" w:color="auto" w:fill="EEEEEE"/>
            <w:vAlign w:val="center"/>
          </w:tcPr>
          <w:p>
            <w:pPr>
              <w:spacing w:line="240" w:lineRule="exact"/>
              <w:jc w:val="center"/>
              <w:rPr>
                <w:szCs w:val="21"/>
              </w:rPr>
            </w:pPr>
            <w:r>
              <w:rPr>
                <w:rFonts w:hAnsi="宋体"/>
                <w:szCs w:val="21"/>
              </w:rPr>
              <w:t>分值</w:t>
            </w:r>
          </w:p>
        </w:tc>
        <w:tc>
          <w:tcPr>
            <w:tcW w:w="5941" w:type="dxa"/>
            <w:tcBorders>
              <w:top w:val="outset" w:color="DDDDDD" w:sz="6" w:space="0"/>
              <w:left w:val="outset" w:color="auto" w:sz="6" w:space="0"/>
              <w:bottom w:val="outset" w:color="DDDDDD" w:sz="6" w:space="0"/>
              <w:right w:val="outset" w:color="DDDDDD" w:sz="6" w:space="0"/>
            </w:tcBorders>
            <w:shd w:val="clear" w:color="auto" w:fill="EEEEEE"/>
            <w:vAlign w:val="center"/>
          </w:tcPr>
          <w:p>
            <w:pPr>
              <w:spacing w:line="240" w:lineRule="exact"/>
              <w:jc w:val="center"/>
              <w:rPr>
                <w:szCs w:val="21"/>
              </w:rPr>
            </w:pPr>
            <w:r>
              <w:rPr>
                <w:rFonts w:hAnsi="宋体"/>
                <w:szCs w:val="21"/>
              </w:rPr>
              <w:t>评分标准</w:t>
            </w:r>
          </w:p>
        </w:tc>
        <w:tc>
          <w:tcPr>
            <w:tcW w:w="543"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240" w:lineRule="exact"/>
              <w:jc w:val="center"/>
              <w:rPr>
                <w:szCs w:val="21"/>
              </w:rPr>
            </w:pPr>
            <w:r>
              <w:rPr>
                <w:rFonts w:hAnsi="宋体"/>
                <w:szCs w:val="21"/>
              </w:rPr>
              <w:t>评标</w:t>
            </w:r>
          </w:p>
          <w:p>
            <w:pPr>
              <w:spacing w:line="240" w:lineRule="exact"/>
              <w:jc w:val="center"/>
              <w:rPr>
                <w:szCs w:val="21"/>
              </w:rPr>
            </w:pPr>
            <w:r>
              <w:rPr>
                <w:rFonts w:hAnsi="宋体"/>
                <w:szCs w:val="21"/>
              </w:rPr>
              <w:t>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254" w:hRule="atLeast"/>
          <w:tblCellSpacing w:w="0" w:type="dxa"/>
        </w:trPr>
        <w:tc>
          <w:tcPr>
            <w:tcW w:w="406" w:type="dxa"/>
            <w:tcBorders>
              <w:top w:val="outset" w:color="DDDDDD" w:sz="6" w:space="0"/>
              <w:left w:val="outset" w:color="DDDDDD" w:sz="6" w:space="0"/>
              <w:right w:val="outset" w:color="auto" w:sz="6" w:space="0"/>
            </w:tcBorders>
            <w:vAlign w:val="center"/>
          </w:tcPr>
          <w:p>
            <w:pPr>
              <w:spacing w:after="72" w:line="240" w:lineRule="exact"/>
              <w:jc w:val="center"/>
              <w:rPr>
                <w:szCs w:val="21"/>
              </w:rPr>
            </w:pPr>
            <w:r>
              <w:rPr>
                <w:szCs w:val="21"/>
              </w:rPr>
              <w:t>1</w:t>
            </w:r>
          </w:p>
        </w:tc>
        <w:tc>
          <w:tcPr>
            <w:tcW w:w="1114" w:type="dxa"/>
            <w:tcBorders>
              <w:top w:val="outset" w:color="DDDDDD" w:sz="6" w:space="0"/>
              <w:left w:val="outset" w:color="auto" w:sz="6" w:space="0"/>
              <w:right w:val="outset" w:color="auto" w:sz="6" w:space="0"/>
            </w:tcBorders>
            <w:vAlign w:val="center"/>
          </w:tcPr>
          <w:p>
            <w:pPr>
              <w:spacing w:line="240" w:lineRule="exact"/>
              <w:ind w:left="90"/>
              <w:rPr>
                <w:szCs w:val="21"/>
              </w:rPr>
            </w:pPr>
            <w:r>
              <w:rPr>
                <w:rFonts w:hAnsi="宋体"/>
                <w:szCs w:val="21"/>
              </w:rPr>
              <w:t>企业实力</w:t>
            </w:r>
          </w:p>
        </w:tc>
        <w:tc>
          <w:tcPr>
            <w:tcW w:w="563" w:type="dxa"/>
            <w:tcBorders>
              <w:top w:val="outset" w:color="DDDDDD" w:sz="6" w:space="0"/>
              <w:left w:val="outset" w:color="auto" w:sz="6" w:space="0"/>
              <w:right w:val="outset" w:color="auto" w:sz="6" w:space="0"/>
            </w:tcBorders>
            <w:vAlign w:val="center"/>
          </w:tcPr>
          <w:p>
            <w:pPr>
              <w:spacing w:line="240" w:lineRule="exact"/>
              <w:jc w:val="center"/>
              <w:rPr>
                <w:szCs w:val="21"/>
              </w:rPr>
            </w:pPr>
            <w:r>
              <w:rPr>
                <w:szCs w:val="21"/>
              </w:rPr>
              <w:t>2</w:t>
            </w:r>
          </w:p>
        </w:tc>
        <w:tc>
          <w:tcPr>
            <w:tcW w:w="5941" w:type="dxa"/>
            <w:tcBorders>
              <w:top w:val="outset" w:color="DDDDDD" w:sz="6" w:space="0"/>
              <w:left w:val="outset" w:color="auto" w:sz="6" w:space="0"/>
              <w:bottom w:val="outset" w:color="DDDDDD" w:sz="6" w:space="0"/>
              <w:right w:val="outset" w:color="DDDDDD" w:sz="6" w:space="0"/>
            </w:tcBorders>
            <w:vAlign w:val="center"/>
          </w:tcPr>
          <w:p>
            <w:pPr>
              <w:snapToGrid w:val="0"/>
              <w:spacing w:line="240" w:lineRule="exact"/>
              <w:rPr>
                <w:szCs w:val="21"/>
              </w:rPr>
            </w:pPr>
            <w:r>
              <w:rPr>
                <w:rFonts w:hAnsi="宋体"/>
                <w:szCs w:val="21"/>
              </w:rPr>
              <w:t>投标人</w:t>
            </w:r>
            <w:r>
              <w:rPr>
                <w:rFonts w:hint="eastAsia" w:hAnsi="宋体"/>
                <w:szCs w:val="21"/>
              </w:rPr>
              <w:t>（注册年限、所获荣誉、标准认证等）以提供的营业执照、相关荣誉证书、体系认证证书为准。</w:t>
            </w:r>
          </w:p>
          <w:p>
            <w:pPr>
              <w:snapToGrid w:val="0"/>
              <w:spacing w:line="240" w:lineRule="exact"/>
              <w:rPr>
                <w:szCs w:val="21"/>
              </w:rPr>
            </w:pPr>
            <w:r>
              <w:rPr>
                <w:rFonts w:hint="eastAsia" w:hAnsi="宋体"/>
                <w:szCs w:val="21"/>
              </w:rPr>
              <w:t>优（</w:t>
            </w:r>
            <w:r>
              <w:rPr>
                <w:rFonts w:hAnsi="宋体"/>
                <w:szCs w:val="21"/>
              </w:rPr>
              <w:t>2</w:t>
            </w:r>
            <w:r>
              <w:rPr>
                <w:rFonts w:hint="eastAsia" w:hAnsi="宋体"/>
                <w:szCs w:val="21"/>
              </w:rPr>
              <w:t>）</w:t>
            </w:r>
            <w:r>
              <w:rPr>
                <w:rFonts w:hAnsi="宋体"/>
                <w:szCs w:val="21"/>
              </w:rPr>
              <w:t>分，</w:t>
            </w:r>
            <w:r>
              <w:rPr>
                <w:rFonts w:hint="eastAsia" w:hAnsi="宋体"/>
                <w:szCs w:val="21"/>
              </w:rPr>
              <w:t>良（</w:t>
            </w:r>
            <w:r>
              <w:rPr>
                <w:rFonts w:hAnsi="宋体"/>
                <w:szCs w:val="21"/>
              </w:rPr>
              <w:t>0.5</w:t>
            </w:r>
            <w:r>
              <w:rPr>
                <w:rFonts w:hint="eastAsia" w:hAnsi="宋体"/>
                <w:szCs w:val="21"/>
              </w:rPr>
              <w:t>-</w:t>
            </w:r>
            <w:r>
              <w:rPr>
                <w:rFonts w:hAnsi="宋体"/>
                <w:szCs w:val="21"/>
              </w:rPr>
              <w:t>1</w:t>
            </w:r>
            <w:r>
              <w:rPr>
                <w:rFonts w:hint="eastAsia" w:hAnsi="宋体"/>
                <w:szCs w:val="21"/>
              </w:rPr>
              <w:t>）</w:t>
            </w:r>
            <w:r>
              <w:rPr>
                <w:rFonts w:hAnsi="宋体"/>
                <w:szCs w:val="21"/>
              </w:rPr>
              <w:t>分，</w:t>
            </w:r>
            <w:r>
              <w:rPr>
                <w:rFonts w:hint="eastAsia" w:hAnsi="宋体"/>
                <w:szCs w:val="21"/>
              </w:rPr>
              <w:t>较差（</w:t>
            </w:r>
            <w:r>
              <w:rPr>
                <w:szCs w:val="21"/>
              </w:rPr>
              <w:t>0</w:t>
            </w:r>
            <w:r>
              <w:rPr>
                <w:rFonts w:hint="eastAsia"/>
                <w:szCs w:val="21"/>
              </w:rPr>
              <w:t>）</w:t>
            </w:r>
            <w:r>
              <w:rPr>
                <w:rFonts w:hAnsi="宋体"/>
                <w:szCs w:val="21"/>
              </w:rPr>
              <w:t>分。</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710" w:hRule="atLeast"/>
          <w:tblCellSpacing w:w="0" w:type="dxa"/>
        </w:trPr>
        <w:tc>
          <w:tcPr>
            <w:tcW w:w="406" w:type="dxa"/>
            <w:tcBorders>
              <w:top w:val="outset" w:color="808080" w:sz="6" w:space="0"/>
              <w:left w:val="outset" w:color="DDDDDD" w:sz="6" w:space="0"/>
              <w:right w:val="outset" w:color="auto" w:sz="6" w:space="0"/>
            </w:tcBorders>
            <w:vAlign w:val="center"/>
          </w:tcPr>
          <w:p>
            <w:pPr>
              <w:spacing w:line="240" w:lineRule="exact"/>
              <w:jc w:val="center"/>
              <w:rPr>
                <w:szCs w:val="21"/>
              </w:rPr>
            </w:pPr>
            <w:r>
              <w:rPr>
                <w:rFonts w:hint="eastAsia"/>
                <w:szCs w:val="21"/>
              </w:rPr>
              <w:t>2</w:t>
            </w:r>
          </w:p>
        </w:tc>
        <w:tc>
          <w:tcPr>
            <w:tcW w:w="1114" w:type="dxa"/>
            <w:tcBorders>
              <w:top w:val="outset" w:color="808080" w:sz="6" w:space="0"/>
              <w:left w:val="outset" w:color="auto" w:sz="6" w:space="0"/>
              <w:right w:val="outset" w:color="999999" w:sz="6" w:space="0"/>
            </w:tcBorders>
            <w:vAlign w:val="center"/>
          </w:tcPr>
          <w:p>
            <w:pPr>
              <w:spacing w:line="240" w:lineRule="exact"/>
              <w:ind w:left="90"/>
              <w:rPr>
                <w:szCs w:val="21"/>
              </w:rPr>
            </w:pPr>
            <w:r>
              <w:rPr>
                <w:rFonts w:hint="eastAsia"/>
                <w:szCs w:val="21"/>
              </w:rPr>
              <w:t>销售业绩</w:t>
            </w:r>
          </w:p>
        </w:tc>
        <w:tc>
          <w:tcPr>
            <w:tcW w:w="563" w:type="dxa"/>
            <w:tcBorders>
              <w:top w:val="outset" w:color="808080" w:sz="6" w:space="0"/>
              <w:left w:val="outset" w:color="auto" w:sz="6" w:space="0"/>
              <w:right w:val="outset" w:color="auto" w:sz="6" w:space="0"/>
            </w:tcBorders>
            <w:vAlign w:val="center"/>
          </w:tcPr>
          <w:p>
            <w:pPr>
              <w:spacing w:line="240" w:lineRule="exact"/>
              <w:jc w:val="center"/>
              <w:rPr>
                <w:szCs w:val="21"/>
              </w:rPr>
            </w:pPr>
            <w:r>
              <w:rPr>
                <w:szCs w:val="21"/>
              </w:rPr>
              <w:t>2</w:t>
            </w:r>
          </w:p>
        </w:tc>
        <w:tc>
          <w:tcPr>
            <w:tcW w:w="5941" w:type="dxa"/>
            <w:tcBorders>
              <w:top w:val="outset" w:color="DDDDDD" w:sz="6" w:space="0"/>
              <w:left w:val="outset" w:color="auto" w:sz="6" w:space="0"/>
              <w:bottom w:val="outset" w:color="DDDDDD" w:sz="6" w:space="0"/>
              <w:right w:val="outset" w:color="DDDDDD" w:sz="6" w:space="0"/>
            </w:tcBorders>
            <w:vAlign w:val="center"/>
          </w:tcPr>
          <w:p>
            <w:pPr>
              <w:snapToGrid w:val="0"/>
              <w:spacing w:line="240" w:lineRule="exact"/>
              <w:rPr>
                <w:rFonts w:hAnsi="宋体"/>
                <w:szCs w:val="21"/>
              </w:rPr>
            </w:pPr>
            <w:r>
              <w:rPr>
                <w:rFonts w:hint="eastAsia" w:hAnsi="宋体"/>
                <w:szCs w:val="21"/>
              </w:rPr>
              <w:t>投标人承担过所投产品的项目业绩，以提供合同（含内容页、盖章页等关键页）为准。</w:t>
            </w:r>
          </w:p>
          <w:p>
            <w:pPr>
              <w:snapToGrid w:val="0"/>
              <w:spacing w:line="240" w:lineRule="exact"/>
              <w:rPr>
                <w:rFonts w:hAnsi="宋体"/>
                <w:color w:val="FF0000"/>
                <w:szCs w:val="21"/>
              </w:rPr>
            </w:pPr>
            <w:r>
              <w:rPr>
                <w:rFonts w:hAnsi="宋体"/>
                <w:szCs w:val="21"/>
              </w:rPr>
              <w:t>优</w:t>
            </w:r>
            <w:r>
              <w:rPr>
                <w:rFonts w:hint="eastAsia" w:hAnsi="宋体"/>
                <w:szCs w:val="21"/>
              </w:rPr>
              <w:t>（</w:t>
            </w:r>
            <w:r>
              <w:rPr>
                <w:rFonts w:hAnsi="宋体"/>
                <w:szCs w:val="21"/>
              </w:rPr>
              <w:t>2</w:t>
            </w:r>
            <w:r>
              <w:rPr>
                <w:rFonts w:hint="eastAsia" w:hAnsi="宋体"/>
                <w:szCs w:val="21"/>
              </w:rPr>
              <w:t>）</w:t>
            </w:r>
            <w:r>
              <w:rPr>
                <w:rFonts w:hAnsi="宋体"/>
                <w:szCs w:val="21"/>
              </w:rPr>
              <w:t>分，</w:t>
            </w:r>
            <w:r>
              <w:rPr>
                <w:rFonts w:hint="eastAsia" w:hAnsi="宋体"/>
                <w:szCs w:val="21"/>
              </w:rPr>
              <w:t>一般（</w:t>
            </w:r>
            <w:r>
              <w:rPr>
                <w:rFonts w:hAnsi="宋体"/>
                <w:szCs w:val="21"/>
              </w:rPr>
              <w:t>0.5</w:t>
            </w:r>
            <w:r>
              <w:rPr>
                <w:rFonts w:hint="eastAsia" w:hAnsi="宋体"/>
                <w:szCs w:val="21"/>
              </w:rPr>
              <w:t>-</w:t>
            </w:r>
            <w:r>
              <w:rPr>
                <w:rFonts w:hAnsi="宋体"/>
                <w:szCs w:val="21"/>
              </w:rPr>
              <w:t>1</w:t>
            </w:r>
            <w:r>
              <w:rPr>
                <w:rFonts w:hint="eastAsia" w:hAnsi="宋体"/>
                <w:szCs w:val="21"/>
              </w:rPr>
              <w:t>）分，无业绩或未提供证明0分</w:t>
            </w:r>
            <w:r>
              <w:rPr>
                <w:rFonts w:hAnsi="宋体"/>
                <w:szCs w:val="21"/>
              </w:rPr>
              <w:t>。</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636" w:hRule="atLeast"/>
          <w:tblCellSpacing w:w="0" w:type="dxa"/>
        </w:trPr>
        <w:tc>
          <w:tcPr>
            <w:tcW w:w="406" w:type="dxa"/>
            <w:vMerge w:val="restart"/>
            <w:tcBorders>
              <w:top w:val="outset" w:color="DDDDDD" w:sz="6" w:space="0"/>
              <w:left w:val="outset" w:color="DDDDDD" w:sz="6" w:space="0"/>
              <w:right w:val="outset" w:color="auto" w:sz="6" w:space="0"/>
            </w:tcBorders>
            <w:vAlign w:val="center"/>
          </w:tcPr>
          <w:p>
            <w:pPr>
              <w:spacing w:after="72" w:line="240" w:lineRule="exact"/>
              <w:jc w:val="center"/>
              <w:rPr>
                <w:szCs w:val="21"/>
              </w:rPr>
            </w:pPr>
            <w:r>
              <w:rPr>
                <w:rFonts w:hint="eastAsia"/>
                <w:szCs w:val="21"/>
              </w:rPr>
              <w:t>3</w:t>
            </w:r>
          </w:p>
        </w:tc>
        <w:tc>
          <w:tcPr>
            <w:tcW w:w="1114" w:type="dxa"/>
            <w:vMerge w:val="restart"/>
            <w:tcBorders>
              <w:top w:val="outset" w:color="DDDDDD" w:sz="6" w:space="0"/>
              <w:left w:val="outset" w:color="auto" w:sz="6" w:space="0"/>
              <w:right w:val="outset" w:color="auto" w:sz="6" w:space="0"/>
            </w:tcBorders>
            <w:vAlign w:val="center"/>
          </w:tcPr>
          <w:p>
            <w:pPr>
              <w:spacing w:after="72" w:line="240" w:lineRule="exact"/>
              <w:ind w:left="90"/>
              <w:rPr>
                <w:szCs w:val="21"/>
              </w:rPr>
            </w:pPr>
            <w:r>
              <w:rPr>
                <w:rFonts w:hAnsi="宋体"/>
                <w:szCs w:val="21"/>
              </w:rPr>
              <w:t>售后服务</w:t>
            </w:r>
          </w:p>
        </w:tc>
        <w:tc>
          <w:tcPr>
            <w:tcW w:w="563" w:type="dxa"/>
            <w:vMerge w:val="restart"/>
            <w:tcBorders>
              <w:top w:val="outset" w:color="DDDDDD" w:sz="6" w:space="0"/>
              <w:left w:val="outset" w:color="auto" w:sz="6" w:space="0"/>
              <w:right w:val="outset" w:color="auto" w:sz="6" w:space="0"/>
            </w:tcBorders>
            <w:vAlign w:val="center"/>
          </w:tcPr>
          <w:p>
            <w:pPr>
              <w:spacing w:after="72" w:line="240" w:lineRule="exact"/>
              <w:jc w:val="center"/>
              <w:rPr>
                <w:szCs w:val="21"/>
              </w:rPr>
            </w:pPr>
            <w:r>
              <w:rPr>
                <w:szCs w:val="21"/>
              </w:rPr>
              <w:t>5</w:t>
            </w:r>
          </w:p>
        </w:tc>
        <w:tc>
          <w:tcPr>
            <w:tcW w:w="5941" w:type="dxa"/>
            <w:tcBorders>
              <w:top w:val="outset" w:color="DDDDDD" w:sz="6" w:space="0"/>
              <w:left w:val="outset" w:color="auto" w:sz="6" w:space="0"/>
              <w:bottom w:val="outset" w:color="DDDDDD" w:sz="6" w:space="0"/>
              <w:right w:val="outset" w:color="DDDDDD" w:sz="6" w:space="0"/>
            </w:tcBorders>
            <w:vAlign w:val="center"/>
          </w:tcPr>
          <w:p>
            <w:pPr>
              <w:spacing w:line="240" w:lineRule="exact"/>
              <w:rPr>
                <w:rFonts w:ascii="宋体" w:hAnsi="宋体"/>
                <w:szCs w:val="21"/>
              </w:rPr>
            </w:pPr>
            <w:r>
              <w:rPr>
                <w:rFonts w:hAnsi="宋体"/>
                <w:szCs w:val="21"/>
              </w:rPr>
              <w:t>①</w:t>
            </w:r>
            <w:r>
              <w:rPr>
                <w:rFonts w:hint="eastAsia" w:hAnsi="宋体"/>
                <w:szCs w:val="21"/>
              </w:rPr>
              <w:t xml:space="preserve"> </w:t>
            </w:r>
            <w:r>
              <w:rPr>
                <w:rFonts w:hint="eastAsia" w:ascii="宋体" w:hAnsi="宋体"/>
                <w:szCs w:val="21"/>
              </w:rPr>
              <w:t>质保期</w:t>
            </w:r>
            <w:r>
              <w:rPr>
                <w:rFonts w:hAnsi="宋体"/>
                <w:szCs w:val="21"/>
              </w:rPr>
              <w:t>（</w:t>
            </w:r>
            <w:r>
              <w:rPr>
                <w:rFonts w:hint="eastAsia"/>
                <w:szCs w:val="21"/>
              </w:rPr>
              <w:t>1</w:t>
            </w:r>
            <w:r>
              <w:rPr>
                <w:rFonts w:hAnsi="宋体"/>
                <w:szCs w:val="21"/>
              </w:rPr>
              <w:t>分）</w:t>
            </w:r>
          </w:p>
          <w:p>
            <w:pPr>
              <w:spacing w:line="240" w:lineRule="exact"/>
              <w:rPr>
                <w:szCs w:val="21"/>
              </w:rPr>
            </w:pPr>
            <w:r>
              <w:rPr>
                <w:rFonts w:hint="eastAsia" w:hAnsi="宋体"/>
                <w:szCs w:val="21"/>
              </w:rPr>
              <w:t>最</w:t>
            </w:r>
            <w:r>
              <w:rPr>
                <w:rFonts w:hAnsi="宋体"/>
                <w:szCs w:val="21"/>
              </w:rPr>
              <w:t>优</w:t>
            </w:r>
            <w:r>
              <w:rPr>
                <w:rFonts w:hint="eastAsia"/>
                <w:szCs w:val="21"/>
              </w:rPr>
              <w:t>1</w:t>
            </w:r>
            <w:r>
              <w:rPr>
                <w:rFonts w:hAnsi="宋体"/>
                <w:szCs w:val="21"/>
              </w:rPr>
              <w:t>分，</w:t>
            </w:r>
            <w:r>
              <w:rPr>
                <w:rFonts w:hint="eastAsia" w:hAnsi="宋体"/>
                <w:szCs w:val="21"/>
              </w:rPr>
              <w:t>其次0.5分，再次0分，其他或不满足招标文件要求0分。</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656" w:hRule="atLeast"/>
          <w:tblCellSpacing w:w="0" w:type="dxa"/>
        </w:trPr>
        <w:tc>
          <w:tcPr>
            <w:tcW w:w="406" w:type="dxa"/>
            <w:vMerge w:val="continue"/>
            <w:tcBorders>
              <w:top w:val="outset" w:color="DDDDDD" w:sz="6" w:space="0"/>
              <w:left w:val="outset" w:color="DDDDDD" w:sz="6" w:space="0"/>
              <w:right w:val="outset" w:color="auto" w:sz="6" w:space="0"/>
            </w:tcBorders>
            <w:vAlign w:val="center"/>
          </w:tcPr>
          <w:p>
            <w:pPr>
              <w:spacing w:after="72" w:line="240" w:lineRule="exact"/>
              <w:jc w:val="center"/>
              <w:rPr>
                <w:szCs w:val="21"/>
              </w:rPr>
            </w:pPr>
          </w:p>
        </w:tc>
        <w:tc>
          <w:tcPr>
            <w:tcW w:w="1114" w:type="dxa"/>
            <w:vMerge w:val="continue"/>
            <w:tcBorders>
              <w:top w:val="outset" w:color="DDDDDD" w:sz="6" w:space="0"/>
              <w:left w:val="outset" w:color="auto" w:sz="6" w:space="0"/>
              <w:right w:val="outset" w:color="auto" w:sz="6" w:space="0"/>
            </w:tcBorders>
            <w:vAlign w:val="center"/>
          </w:tcPr>
          <w:p>
            <w:pPr>
              <w:spacing w:after="72" w:line="240" w:lineRule="exact"/>
              <w:ind w:left="90"/>
              <w:rPr>
                <w:rFonts w:hAnsi="宋体"/>
                <w:szCs w:val="21"/>
              </w:rPr>
            </w:pPr>
          </w:p>
        </w:tc>
        <w:tc>
          <w:tcPr>
            <w:tcW w:w="563" w:type="dxa"/>
            <w:vMerge w:val="continue"/>
            <w:tcBorders>
              <w:top w:val="outset" w:color="DDDDDD" w:sz="6" w:space="0"/>
              <w:left w:val="outset" w:color="auto" w:sz="6" w:space="0"/>
              <w:right w:val="outset" w:color="auto" w:sz="6" w:space="0"/>
            </w:tcBorders>
            <w:vAlign w:val="center"/>
          </w:tcPr>
          <w:p>
            <w:pPr>
              <w:spacing w:after="72" w:line="240" w:lineRule="exact"/>
              <w:jc w:val="center"/>
              <w:rPr>
                <w:szCs w:val="21"/>
              </w:rPr>
            </w:pPr>
          </w:p>
        </w:tc>
        <w:tc>
          <w:tcPr>
            <w:tcW w:w="5941" w:type="dxa"/>
            <w:tcBorders>
              <w:top w:val="outset" w:color="DDDDDD" w:sz="6" w:space="0"/>
              <w:left w:val="outset" w:color="auto" w:sz="6" w:space="0"/>
              <w:bottom w:val="outset" w:color="DDDDDD" w:sz="6" w:space="0"/>
              <w:right w:val="outset" w:color="DDDDDD" w:sz="6" w:space="0"/>
            </w:tcBorders>
            <w:vAlign w:val="center"/>
          </w:tcPr>
          <w:p>
            <w:pPr>
              <w:spacing w:line="240" w:lineRule="exact"/>
              <w:rPr>
                <w:szCs w:val="21"/>
              </w:rPr>
            </w:pPr>
            <w:r>
              <w:rPr>
                <w:rFonts w:hAnsi="宋体"/>
                <w:szCs w:val="21"/>
              </w:rPr>
              <w:t>②</w:t>
            </w:r>
            <w:r>
              <w:rPr>
                <w:rFonts w:hint="eastAsia" w:hAnsi="宋体"/>
                <w:szCs w:val="21"/>
              </w:rPr>
              <w:t xml:space="preserve"> </w:t>
            </w:r>
            <w:r>
              <w:rPr>
                <w:rFonts w:hAnsi="宋体"/>
                <w:szCs w:val="21"/>
              </w:rPr>
              <w:t>故障响应（</w:t>
            </w:r>
            <w:r>
              <w:rPr>
                <w:rFonts w:hint="eastAsia"/>
                <w:szCs w:val="21"/>
              </w:rPr>
              <w:t>1</w:t>
            </w:r>
            <w:r>
              <w:rPr>
                <w:rFonts w:hAnsi="宋体"/>
                <w:szCs w:val="21"/>
              </w:rPr>
              <w:t>分）</w:t>
            </w:r>
          </w:p>
          <w:p>
            <w:pPr>
              <w:spacing w:line="240" w:lineRule="exact"/>
              <w:rPr>
                <w:rFonts w:hAnsi="宋体"/>
                <w:szCs w:val="21"/>
              </w:rPr>
            </w:pPr>
            <w:r>
              <w:rPr>
                <w:rFonts w:hAnsi="宋体"/>
                <w:szCs w:val="21"/>
              </w:rPr>
              <w:t>满足招标文件要求</w:t>
            </w:r>
            <w:r>
              <w:rPr>
                <w:rFonts w:hint="eastAsia"/>
                <w:szCs w:val="21"/>
              </w:rPr>
              <w:t>1</w:t>
            </w:r>
            <w:r>
              <w:rPr>
                <w:rFonts w:hAnsi="宋体"/>
                <w:szCs w:val="21"/>
              </w:rPr>
              <w:t>分，不满足</w:t>
            </w:r>
            <w:r>
              <w:rPr>
                <w:rFonts w:hint="eastAsia" w:hAnsi="宋体"/>
                <w:szCs w:val="21"/>
              </w:rPr>
              <w:t>不得</w:t>
            </w:r>
            <w:r>
              <w:rPr>
                <w:rFonts w:hAnsi="宋体"/>
                <w:szCs w:val="21"/>
              </w:rPr>
              <w:t>分。</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678" w:hRule="atLeast"/>
          <w:tblCellSpacing w:w="0" w:type="dxa"/>
        </w:trPr>
        <w:tc>
          <w:tcPr>
            <w:tcW w:w="406" w:type="dxa"/>
            <w:vMerge w:val="continue"/>
            <w:tcBorders>
              <w:left w:val="outset" w:color="DDDDDD" w:sz="6" w:space="0"/>
              <w:right w:val="outset" w:color="auto" w:sz="6" w:space="0"/>
            </w:tcBorders>
            <w:vAlign w:val="center"/>
          </w:tcPr>
          <w:p>
            <w:pPr>
              <w:spacing w:after="72" w:line="240" w:lineRule="exact"/>
              <w:jc w:val="center"/>
              <w:rPr>
                <w:szCs w:val="21"/>
              </w:rPr>
            </w:pPr>
          </w:p>
        </w:tc>
        <w:tc>
          <w:tcPr>
            <w:tcW w:w="1114" w:type="dxa"/>
            <w:vMerge w:val="continue"/>
            <w:tcBorders>
              <w:left w:val="outset" w:color="auto" w:sz="6" w:space="0"/>
              <w:right w:val="outset" w:color="auto" w:sz="6" w:space="0"/>
            </w:tcBorders>
            <w:vAlign w:val="center"/>
          </w:tcPr>
          <w:p>
            <w:pPr>
              <w:spacing w:after="72" w:line="240" w:lineRule="exact"/>
              <w:ind w:left="90"/>
              <w:rPr>
                <w:szCs w:val="21"/>
              </w:rPr>
            </w:pPr>
          </w:p>
        </w:tc>
        <w:tc>
          <w:tcPr>
            <w:tcW w:w="563" w:type="dxa"/>
            <w:vMerge w:val="continue"/>
            <w:tcBorders>
              <w:left w:val="outset" w:color="auto" w:sz="6" w:space="0"/>
              <w:right w:val="outset" w:color="auto" w:sz="6" w:space="0"/>
            </w:tcBorders>
            <w:vAlign w:val="center"/>
          </w:tcPr>
          <w:p>
            <w:pPr>
              <w:spacing w:after="72" w:line="240" w:lineRule="exact"/>
              <w:jc w:val="center"/>
              <w:rPr>
                <w:szCs w:val="21"/>
              </w:rPr>
            </w:pPr>
          </w:p>
        </w:tc>
        <w:tc>
          <w:tcPr>
            <w:tcW w:w="5941" w:type="dxa"/>
            <w:tcBorders>
              <w:top w:val="outset" w:color="DDDDDD" w:sz="6" w:space="0"/>
              <w:left w:val="outset" w:color="auto" w:sz="6" w:space="0"/>
              <w:bottom w:val="outset" w:color="DDDDDD" w:sz="6" w:space="0"/>
              <w:right w:val="outset" w:color="DDDDDD" w:sz="6" w:space="0"/>
            </w:tcBorders>
            <w:vAlign w:val="center"/>
          </w:tcPr>
          <w:p>
            <w:pPr>
              <w:tabs>
                <w:tab w:val="left" w:pos="1008"/>
              </w:tabs>
              <w:snapToGrid w:val="0"/>
              <w:spacing w:line="240" w:lineRule="exact"/>
              <w:rPr>
                <w:szCs w:val="21"/>
              </w:rPr>
            </w:pPr>
            <w:r>
              <w:rPr>
                <w:rFonts w:hAnsi="宋体"/>
                <w:szCs w:val="21"/>
              </w:rPr>
              <w:t>③</w:t>
            </w:r>
            <w:r>
              <w:rPr>
                <w:rFonts w:hint="eastAsia" w:hAnsi="宋体"/>
                <w:szCs w:val="21"/>
              </w:rPr>
              <w:t xml:space="preserve"> </w:t>
            </w:r>
            <w:r>
              <w:rPr>
                <w:rFonts w:hAnsi="宋体"/>
                <w:szCs w:val="21"/>
              </w:rPr>
              <w:t>售后服务计划（</w:t>
            </w:r>
            <w:r>
              <w:rPr>
                <w:szCs w:val="21"/>
              </w:rPr>
              <w:t>1</w:t>
            </w:r>
            <w:r>
              <w:rPr>
                <w:rFonts w:hAnsi="宋体"/>
                <w:szCs w:val="21"/>
              </w:rPr>
              <w:t>）</w:t>
            </w:r>
          </w:p>
          <w:p>
            <w:pPr>
              <w:spacing w:line="240" w:lineRule="exact"/>
              <w:rPr>
                <w:szCs w:val="21"/>
              </w:rPr>
            </w:pPr>
            <w:r>
              <w:rPr>
                <w:rFonts w:hAnsi="宋体"/>
                <w:szCs w:val="21"/>
              </w:rPr>
              <w:t>售后服务计划详细完善（</w:t>
            </w:r>
            <w:r>
              <w:rPr>
                <w:szCs w:val="21"/>
              </w:rPr>
              <w:t>1</w:t>
            </w:r>
            <w:r>
              <w:rPr>
                <w:rFonts w:hint="eastAsia"/>
                <w:szCs w:val="21"/>
              </w:rPr>
              <w:t>）</w:t>
            </w:r>
            <w:r>
              <w:rPr>
                <w:rFonts w:hAnsi="宋体"/>
                <w:szCs w:val="21"/>
              </w:rPr>
              <w:t>分，一般（</w:t>
            </w:r>
            <w:r>
              <w:rPr>
                <w:szCs w:val="21"/>
              </w:rPr>
              <w:t>0.5</w:t>
            </w:r>
            <w:r>
              <w:rPr>
                <w:rFonts w:hAnsi="宋体"/>
                <w:szCs w:val="21"/>
              </w:rPr>
              <w:t>）分</w:t>
            </w:r>
            <w:r>
              <w:rPr>
                <w:rFonts w:hint="eastAsia" w:hAnsi="宋体"/>
                <w:szCs w:val="21"/>
              </w:rPr>
              <w:t>，</w:t>
            </w:r>
            <w:r>
              <w:rPr>
                <w:rFonts w:hAnsi="宋体"/>
                <w:szCs w:val="21"/>
              </w:rPr>
              <w:t>未提供</w:t>
            </w:r>
            <w:r>
              <w:rPr>
                <w:szCs w:val="21"/>
              </w:rPr>
              <w:t>0</w:t>
            </w:r>
            <w:r>
              <w:rPr>
                <w:rFonts w:hAnsi="宋体"/>
                <w:szCs w:val="21"/>
              </w:rPr>
              <w:t>分。</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406" w:type="dxa"/>
            <w:vMerge w:val="continue"/>
            <w:tcBorders>
              <w:left w:val="outset" w:color="DDDDDD" w:sz="6" w:space="0"/>
              <w:right w:val="outset" w:color="auto" w:sz="6" w:space="0"/>
            </w:tcBorders>
            <w:vAlign w:val="center"/>
          </w:tcPr>
          <w:p>
            <w:pPr>
              <w:spacing w:after="72" w:line="240" w:lineRule="exact"/>
              <w:jc w:val="center"/>
              <w:rPr>
                <w:szCs w:val="21"/>
              </w:rPr>
            </w:pPr>
          </w:p>
        </w:tc>
        <w:tc>
          <w:tcPr>
            <w:tcW w:w="1114" w:type="dxa"/>
            <w:vMerge w:val="continue"/>
            <w:tcBorders>
              <w:left w:val="outset" w:color="auto" w:sz="6" w:space="0"/>
              <w:right w:val="outset" w:color="auto" w:sz="6" w:space="0"/>
            </w:tcBorders>
            <w:vAlign w:val="center"/>
          </w:tcPr>
          <w:p>
            <w:pPr>
              <w:spacing w:after="72" w:line="240" w:lineRule="exact"/>
              <w:ind w:left="90"/>
              <w:rPr>
                <w:szCs w:val="21"/>
              </w:rPr>
            </w:pPr>
          </w:p>
        </w:tc>
        <w:tc>
          <w:tcPr>
            <w:tcW w:w="563" w:type="dxa"/>
            <w:vMerge w:val="continue"/>
            <w:tcBorders>
              <w:left w:val="outset" w:color="auto" w:sz="6" w:space="0"/>
              <w:right w:val="outset" w:color="auto" w:sz="6" w:space="0"/>
            </w:tcBorders>
            <w:vAlign w:val="center"/>
          </w:tcPr>
          <w:p>
            <w:pPr>
              <w:spacing w:after="72" w:line="240" w:lineRule="exact"/>
              <w:jc w:val="center"/>
              <w:rPr>
                <w:szCs w:val="21"/>
              </w:rPr>
            </w:pPr>
          </w:p>
        </w:tc>
        <w:tc>
          <w:tcPr>
            <w:tcW w:w="5941" w:type="dxa"/>
            <w:tcBorders>
              <w:top w:val="outset" w:color="DDDDDD" w:sz="6" w:space="0"/>
              <w:left w:val="outset" w:color="auto" w:sz="6" w:space="0"/>
              <w:bottom w:val="outset" w:color="DDDDDD" w:sz="6" w:space="0"/>
              <w:right w:val="outset" w:color="DDDDDD" w:sz="6" w:space="0"/>
            </w:tcBorders>
            <w:vAlign w:val="center"/>
          </w:tcPr>
          <w:p>
            <w:pPr>
              <w:spacing w:line="240" w:lineRule="exact"/>
              <w:rPr>
                <w:szCs w:val="21"/>
              </w:rPr>
            </w:pPr>
            <w:r>
              <w:rPr>
                <w:rFonts w:hAnsi="宋体"/>
                <w:szCs w:val="21"/>
              </w:rPr>
              <w:t>④</w:t>
            </w:r>
            <w:r>
              <w:rPr>
                <w:rFonts w:hint="eastAsia" w:hAnsi="宋体"/>
                <w:szCs w:val="21"/>
              </w:rPr>
              <w:t xml:space="preserve"> </w:t>
            </w:r>
            <w:r>
              <w:rPr>
                <w:rFonts w:hAnsi="宋体"/>
                <w:szCs w:val="21"/>
              </w:rPr>
              <w:t>售后服务机构（</w:t>
            </w:r>
            <w:r>
              <w:rPr>
                <w:szCs w:val="21"/>
              </w:rPr>
              <w:t>1</w:t>
            </w:r>
            <w:r>
              <w:rPr>
                <w:rFonts w:hAnsi="宋体"/>
                <w:szCs w:val="21"/>
              </w:rPr>
              <w:t>分）：</w:t>
            </w:r>
          </w:p>
          <w:p>
            <w:pPr>
              <w:spacing w:line="240" w:lineRule="exact"/>
              <w:rPr>
                <w:szCs w:val="21"/>
              </w:rPr>
            </w:pPr>
            <w:r>
              <w:rPr>
                <w:rFonts w:hAnsi="宋体"/>
                <w:szCs w:val="21"/>
              </w:rPr>
              <w:t>按招标文件要求提供相关资料且人员配置优良（</w:t>
            </w:r>
            <w:r>
              <w:rPr>
                <w:szCs w:val="21"/>
              </w:rPr>
              <w:t>1</w:t>
            </w:r>
            <w:r>
              <w:rPr>
                <w:rFonts w:hAnsi="宋体"/>
                <w:szCs w:val="21"/>
              </w:rPr>
              <w:t>）分，一般（</w:t>
            </w:r>
            <w:r>
              <w:rPr>
                <w:szCs w:val="21"/>
              </w:rPr>
              <w:t>0.5</w:t>
            </w:r>
            <w:r>
              <w:rPr>
                <w:rFonts w:hAnsi="宋体"/>
                <w:szCs w:val="21"/>
              </w:rPr>
              <w:t>）分，未按招标文件要求提供资料或未提供售后服务机构情况</w:t>
            </w:r>
            <w:r>
              <w:rPr>
                <w:szCs w:val="21"/>
              </w:rPr>
              <w:t>0</w:t>
            </w:r>
            <w:r>
              <w:rPr>
                <w:rFonts w:hAnsi="宋体"/>
                <w:szCs w:val="21"/>
              </w:rPr>
              <w:t>分。</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96" w:hRule="atLeast"/>
          <w:tblCellSpacing w:w="0" w:type="dxa"/>
        </w:trPr>
        <w:tc>
          <w:tcPr>
            <w:tcW w:w="406" w:type="dxa"/>
            <w:vMerge w:val="continue"/>
            <w:tcBorders>
              <w:left w:val="outset" w:color="DDDDDD" w:sz="6" w:space="0"/>
              <w:right w:val="outset" w:color="auto" w:sz="6" w:space="0"/>
            </w:tcBorders>
            <w:vAlign w:val="center"/>
          </w:tcPr>
          <w:p>
            <w:pPr>
              <w:spacing w:after="72" w:line="240" w:lineRule="exact"/>
              <w:jc w:val="center"/>
              <w:rPr>
                <w:szCs w:val="21"/>
              </w:rPr>
            </w:pPr>
          </w:p>
        </w:tc>
        <w:tc>
          <w:tcPr>
            <w:tcW w:w="1114" w:type="dxa"/>
            <w:vMerge w:val="continue"/>
            <w:tcBorders>
              <w:left w:val="outset" w:color="auto" w:sz="6" w:space="0"/>
              <w:right w:val="outset" w:color="auto" w:sz="6" w:space="0"/>
            </w:tcBorders>
            <w:vAlign w:val="center"/>
          </w:tcPr>
          <w:p>
            <w:pPr>
              <w:spacing w:after="72" w:line="240" w:lineRule="exact"/>
              <w:ind w:left="90"/>
              <w:rPr>
                <w:szCs w:val="21"/>
              </w:rPr>
            </w:pPr>
          </w:p>
        </w:tc>
        <w:tc>
          <w:tcPr>
            <w:tcW w:w="563" w:type="dxa"/>
            <w:vMerge w:val="continue"/>
            <w:tcBorders>
              <w:left w:val="outset" w:color="auto" w:sz="6" w:space="0"/>
              <w:right w:val="outset" w:color="auto" w:sz="6" w:space="0"/>
            </w:tcBorders>
            <w:vAlign w:val="center"/>
          </w:tcPr>
          <w:p>
            <w:pPr>
              <w:spacing w:after="72" w:line="240" w:lineRule="exact"/>
              <w:jc w:val="center"/>
              <w:rPr>
                <w:szCs w:val="21"/>
              </w:rPr>
            </w:pPr>
          </w:p>
        </w:tc>
        <w:tc>
          <w:tcPr>
            <w:tcW w:w="5941" w:type="dxa"/>
            <w:tcBorders>
              <w:top w:val="outset" w:color="DDDDDD" w:sz="6" w:space="0"/>
              <w:left w:val="outset" w:color="auto" w:sz="6" w:space="0"/>
              <w:bottom w:val="outset" w:color="DDDDDD" w:sz="6" w:space="0"/>
              <w:right w:val="outset" w:color="DDDDDD" w:sz="6" w:space="0"/>
            </w:tcBorders>
            <w:vAlign w:val="center"/>
          </w:tcPr>
          <w:p>
            <w:pPr>
              <w:snapToGrid w:val="0"/>
              <w:spacing w:line="240" w:lineRule="exact"/>
              <w:rPr>
                <w:szCs w:val="21"/>
              </w:rPr>
            </w:pPr>
            <w:r>
              <w:rPr>
                <w:rFonts w:hAnsi="宋体"/>
                <w:szCs w:val="21"/>
              </w:rPr>
              <w:t>⑤</w:t>
            </w:r>
            <w:r>
              <w:rPr>
                <w:rFonts w:hint="eastAsia" w:hAnsi="宋体"/>
                <w:szCs w:val="21"/>
              </w:rPr>
              <w:t xml:space="preserve"> </w:t>
            </w:r>
            <w:r>
              <w:rPr>
                <w:rFonts w:hAnsi="宋体"/>
                <w:szCs w:val="21"/>
              </w:rPr>
              <w:t>培训</w:t>
            </w:r>
            <w:r>
              <w:rPr>
                <w:rFonts w:hint="eastAsia" w:hAnsi="宋体"/>
                <w:szCs w:val="21"/>
              </w:rPr>
              <w:t>、</w:t>
            </w:r>
            <w:r>
              <w:rPr>
                <w:rFonts w:hAnsi="宋体"/>
                <w:szCs w:val="21"/>
              </w:rPr>
              <w:t>安装、调试</w:t>
            </w:r>
            <w:r>
              <w:rPr>
                <w:rFonts w:hint="eastAsia" w:hAnsi="宋体"/>
                <w:szCs w:val="21"/>
              </w:rPr>
              <w:t>、</w:t>
            </w:r>
            <w:r>
              <w:rPr>
                <w:rFonts w:hAnsi="宋体"/>
                <w:szCs w:val="21"/>
              </w:rPr>
              <w:t>验收（</w:t>
            </w:r>
            <w:r>
              <w:rPr>
                <w:rFonts w:hint="eastAsia"/>
                <w:szCs w:val="21"/>
              </w:rPr>
              <w:t>1</w:t>
            </w:r>
            <w:r>
              <w:rPr>
                <w:rFonts w:hAnsi="宋体"/>
                <w:szCs w:val="21"/>
              </w:rPr>
              <w:t>分）</w:t>
            </w:r>
          </w:p>
          <w:p>
            <w:pPr>
              <w:spacing w:line="240" w:lineRule="exact"/>
              <w:rPr>
                <w:szCs w:val="21"/>
              </w:rPr>
            </w:pPr>
            <w:r>
              <w:rPr>
                <w:rFonts w:hAnsi="宋体"/>
                <w:szCs w:val="21"/>
              </w:rPr>
              <w:t>满足招标文件要求</w:t>
            </w:r>
            <w:r>
              <w:rPr>
                <w:rFonts w:hint="eastAsia"/>
                <w:szCs w:val="21"/>
              </w:rPr>
              <w:t>1</w:t>
            </w:r>
            <w:r>
              <w:rPr>
                <w:rFonts w:hAnsi="宋体"/>
                <w:szCs w:val="21"/>
              </w:rPr>
              <w:t>分，无承诺或不满足</w:t>
            </w:r>
            <w:r>
              <w:rPr>
                <w:szCs w:val="21"/>
              </w:rPr>
              <w:t>0</w:t>
            </w:r>
            <w:r>
              <w:rPr>
                <w:rFonts w:hAnsi="宋体"/>
                <w:szCs w:val="21"/>
              </w:rPr>
              <w:t>分。</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37" w:hRule="atLeast"/>
          <w:tblCellSpacing w:w="0" w:type="dxa"/>
        </w:trPr>
        <w:tc>
          <w:tcPr>
            <w:tcW w:w="406" w:type="dxa"/>
            <w:tcBorders>
              <w:top w:val="outset" w:color="DDDDDD" w:sz="6" w:space="0"/>
              <w:left w:val="outset" w:color="DDDDDD" w:sz="6" w:space="0"/>
              <w:bottom w:val="outset" w:color="DDDDDD" w:sz="6" w:space="0"/>
              <w:right w:val="outset" w:color="auto" w:sz="6" w:space="0"/>
            </w:tcBorders>
            <w:vAlign w:val="center"/>
          </w:tcPr>
          <w:p>
            <w:pPr>
              <w:spacing w:after="72" w:line="240" w:lineRule="exact"/>
              <w:jc w:val="center"/>
              <w:rPr>
                <w:szCs w:val="21"/>
              </w:rPr>
            </w:pPr>
            <w:r>
              <w:rPr>
                <w:rFonts w:hint="eastAsia"/>
                <w:szCs w:val="21"/>
              </w:rPr>
              <w:t>4</w:t>
            </w:r>
          </w:p>
        </w:tc>
        <w:tc>
          <w:tcPr>
            <w:tcW w:w="1114" w:type="dxa"/>
            <w:tcBorders>
              <w:top w:val="outset" w:color="DDDDDD" w:sz="6" w:space="0"/>
              <w:left w:val="outset" w:color="auto" w:sz="6" w:space="0"/>
              <w:bottom w:val="outset" w:color="DDDDDD" w:sz="6" w:space="0"/>
              <w:right w:val="outset" w:color="auto" w:sz="6" w:space="0"/>
            </w:tcBorders>
            <w:vAlign w:val="center"/>
          </w:tcPr>
          <w:p>
            <w:pPr>
              <w:spacing w:line="240" w:lineRule="exact"/>
              <w:ind w:left="91"/>
              <w:jc w:val="center"/>
              <w:rPr>
                <w:szCs w:val="21"/>
              </w:rPr>
            </w:pPr>
            <w:r>
              <w:rPr>
                <w:rFonts w:hAnsi="宋体"/>
                <w:szCs w:val="21"/>
              </w:rPr>
              <w:t>交货期</w:t>
            </w:r>
          </w:p>
        </w:tc>
        <w:tc>
          <w:tcPr>
            <w:tcW w:w="563" w:type="dxa"/>
            <w:tcBorders>
              <w:top w:val="outset" w:color="DDDDDD" w:sz="6" w:space="0"/>
              <w:left w:val="outset" w:color="auto" w:sz="6" w:space="0"/>
              <w:bottom w:val="outset" w:color="DDDDDD" w:sz="6" w:space="0"/>
              <w:right w:val="outset" w:color="auto" w:sz="6" w:space="0"/>
            </w:tcBorders>
            <w:vAlign w:val="center"/>
          </w:tcPr>
          <w:p>
            <w:pPr>
              <w:spacing w:line="240" w:lineRule="exact"/>
              <w:jc w:val="center"/>
              <w:rPr>
                <w:szCs w:val="21"/>
              </w:rPr>
            </w:pPr>
            <w:r>
              <w:rPr>
                <w:rFonts w:hint="eastAsia"/>
                <w:szCs w:val="21"/>
              </w:rPr>
              <w:t>1</w:t>
            </w:r>
          </w:p>
        </w:tc>
        <w:tc>
          <w:tcPr>
            <w:tcW w:w="5941" w:type="dxa"/>
            <w:tcBorders>
              <w:top w:val="outset" w:color="DDDDDD" w:sz="6" w:space="0"/>
              <w:left w:val="outset" w:color="auto" w:sz="6" w:space="0"/>
              <w:bottom w:val="outset" w:color="DDDDDD" w:sz="6" w:space="0"/>
              <w:right w:val="outset" w:color="DDDDDD" w:sz="6" w:space="0"/>
            </w:tcBorders>
            <w:vAlign w:val="center"/>
          </w:tcPr>
          <w:p>
            <w:pPr>
              <w:tabs>
                <w:tab w:val="left" w:pos="1230"/>
              </w:tabs>
              <w:snapToGrid w:val="0"/>
              <w:spacing w:line="240" w:lineRule="exact"/>
              <w:rPr>
                <w:rFonts w:hAnsi="宋体"/>
                <w:szCs w:val="21"/>
              </w:rPr>
            </w:pPr>
            <w:r>
              <w:rPr>
                <w:rFonts w:hint="eastAsia" w:hAnsi="宋体"/>
                <w:szCs w:val="21"/>
              </w:rPr>
              <w:t>以投标人承诺的交货期比较</w:t>
            </w:r>
          </w:p>
          <w:p>
            <w:pPr>
              <w:tabs>
                <w:tab w:val="left" w:pos="1230"/>
              </w:tabs>
              <w:snapToGrid w:val="0"/>
              <w:spacing w:line="240" w:lineRule="exact"/>
              <w:rPr>
                <w:szCs w:val="21"/>
              </w:rPr>
            </w:pPr>
            <w:r>
              <w:rPr>
                <w:rFonts w:hint="eastAsia" w:hAnsi="宋体"/>
                <w:szCs w:val="21"/>
              </w:rPr>
              <w:t>最</w:t>
            </w:r>
            <w:r>
              <w:rPr>
                <w:rFonts w:hAnsi="宋体"/>
                <w:szCs w:val="21"/>
              </w:rPr>
              <w:t>优</w:t>
            </w:r>
            <w:r>
              <w:rPr>
                <w:rFonts w:hint="eastAsia" w:hAnsi="宋体"/>
                <w:szCs w:val="21"/>
              </w:rPr>
              <w:t>1</w:t>
            </w:r>
            <w:r>
              <w:rPr>
                <w:rFonts w:hAnsi="宋体"/>
                <w:szCs w:val="21"/>
              </w:rPr>
              <w:t>分，</w:t>
            </w:r>
            <w:r>
              <w:rPr>
                <w:rFonts w:hint="eastAsia" w:hAnsi="宋体"/>
                <w:szCs w:val="21"/>
              </w:rPr>
              <w:t>其次0.8分，再次0.6分，以此类推直至0分，不满足0分</w:t>
            </w:r>
            <w:r>
              <w:rPr>
                <w:rFonts w:hAnsi="宋体"/>
                <w:szCs w:val="21"/>
              </w:rPr>
              <w:t>。</w:t>
            </w: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96" w:hRule="atLeast"/>
          <w:tblCellSpacing w:w="0" w:type="dxa"/>
        </w:trPr>
        <w:tc>
          <w:tcPr>
            <w:tcW w:w="406" w:type="dxa"/>
            <w:tcBorders>
              <w:top w:val="outset" w:color="DDDDDD" w:sz="6" w:space="0"/>
              <w:left w:val="outset" w:color="DDDDDD" w:sz="6" w:space="0"/>
              <w:bottom w:val="outset" w:color="DDDDDD" w:sz="6" w:space="0"/>
              <w:right w:val="outset" w:color="auto" w:sz="6" w:space="0"/>
            </w:tcBorders>
            <w:vAlign w:val="center"/>
          </w:tcPr>
          <w:p>
            <w:pPr>
              <w:spacing w:after="72" w:line="240" w:lineRule="exact"/>
              <w:jc w:val="center"/>
              <w:rPr>
                <w:szCs w:val="21"/>
              </w:rPr>
            </w:pPr>
          </w:p>
        </w:tc>
        <w:tc>
          <w:tcPr>
            <w:tcW w:w="1114" w:type="dxa"/>
            <w:tcBorders>
              <w:top w:val="outset" w:color="DDDDDD" w:sz="6" w:space="0"/>
              <w:left w:val="outset" w:color="auto" w:sz="6" w:space="0"/>
              <w:bottom w:val="outset" w:color="DDDDDD" w:sz="6" w:space="0"/>
              <w:right w:val="outset" w:color="auto" w:sz="6" w:space="0"/>
            </w:tcBorders>
            <w:vAlign w:val="center"/>
          </w:tcPr>
          <w:p>
            <w:pPr>
              <w:spacing w:line="240" w:lineRule="exact"/>
              <w:ind w:left="91"/>
              <w:jc w:val="center"/>
              <w:rPr>
                <w:szCs w:val="21"/>
              </w:rPr>
            </w:pPr>
            <w:r>
              <w:rPr>
                <w:rFonts w:hAnsi="宋体"/>
                <w:szCs w:val="21"/>
              </w:rPr>
              <w:t>得</w:t>
            </w:r>
            <w:r>
              <w:rPr>
                <w:rFonts w:hint="eastAsia" w:hAnsi="宋体"/>
                <w:szCs w:val="21"/>
              </w:rPr>
              <w:t xml:space="preserve">  </w:t>
            </w:r>
            <w:r>
              <w:rPr>
                <w:rFonts w:hAnsi="宋体"/>
                <w:szCs w:val="21"/>
              </w:rPr>
              <w:t>分</w:t>
            </w:r>
          </w:p>
        </w:tc>
        <w:tc>
          <w:tcPr>
            <w:tcW w:w="563" w:type="dxa"/>
            <w:tcBorders>
              <w:top w:val="outset" w:color="DDDDDD" w:sz="6" w:space="0"/>
              <w:left w:val="outset" w:color="auto" w:sz="6" w:space="0"/>
              <w:bottom w:val="outset" w:color="DDDDDD" w:sz="6" w:space="0"/>
              <w:right w:val="outset" w:color="auto" w:sz="6" w:space="0"/>
            </w:tcBorders>
            <w:vAlign w:val="center"/>
          </w:tcPr>
          <w:p>
            <w:pPr>
              <w:spacing w:line="240" w:lineRule="exact"/>
              <w:jc w:val="center"/>
              <w:rPr>
                <w:szCs w:val="21"/>
              </w:rPr>
            </w:pPr>
            <w:r>
              <w:rPr>
                <w:szCs w:val="21"/>
              </w:rPr>
              <w:fldChar w:fldCharType="begin"/>
            </w:r>
            <w:r>
              <w:rPr>
                <w:szCs w:val="21"/>
              </w:rPr>
              <w:instrText xml:space="preserve"> </w:instrText>
            </w:r>
            <w:r>
              <w:rPr>
                <w:rFonts w:hint="eastAsia"/>
                <w:szCs w:val="21"/>
              </w:rPr>
              <w:instrText xml:space="preserve">=SUM(ABOVE)</w:instrText>
            </w:r>
            <w:r>
              <w:rPr>
                <w:szCs w:val="21"/>
              </w:rPr>
              <w:instrText xml:space="preserve"> </w:instrText>
            </w:r>
            <w:r>
              <w:rPr>
                <w:szCs w:val="21"/>
              </w:rPr>
              <w:fldChar w:fldCharType="separate"/>
            </w:r>
            <w:r>
              <w:rPr>
                <w:szCs w:val="21"/>
              </w:rPr>
              <w:t>10</w:t>
            </w:r>
            <w:r>
              <w:rPr>
                <w:szCs w:val="21"/>
              </w:rPr>
              <w:fldChar w:fldCharType="end"/>
            </w:r>
          </w:p>
        </w:tc>
        <w:tc>
          <w:tcPr>
            <w:tcW w:w="5941" w:type="dxa"/>
            <w:tcBorders>
              <w:top w:val="outset" w:color="DDDDDD" w:sz="6" w:space="0"/>
              <w:left w:val="outset" w:color="auto" w:sz="6" w:space="0"/>
              <w:bottom w:val="outset" w:color="DDDDDD" w:sz="6" w:space="0"/>
              <w:right w:val="outset" w:color="DDDDDD" w:sz="6" w:space="0"/>
            </w:tcBorders>
            <w:vAlign w:val="center"/>
          </w:tcPr>
          <w:p>
            <w:pPr>
              <w:tabs>
                <w:tab w:val="left" w:pos="1230"/>
              </w:tabs>
              <w:snapToGrid w:val="0"/>
              <w:spacing w:line="240" w:lineRule="exact"/>
              <w:rPr>
                <w:szCs w:val="21"/>
              </w:rPr>
            </w:pPr>
          </w:p>
        </w:tc>
        <w:tc>
          <w:tcPr>
            <w:tcW w:w="543" w:type="dxa"/>
            <w:tcBorders>
              <w:top w:val="outset" w:color="DDDDDD" w:sz="6" w:space="0"/>
              <w:left w:val="outset" w:color="DDDDDD" w:sz="6" w:space="0"/>
              <w:bottom w:val="outset" w:color="DDDDDD" w:sz="6" w:space="0"/>
              <w:right w:val="outset" w:color="DDDDDD" w:sz="6" w:space="0"/>
            </w:tcBorders>
            <w:vAlign w:val="center"/>
          </w:tcPr>
          <w:p>
            <w:pPr>
              <w:spacing w:after="72" w:line="240" w:lineRule="exact"/>
              <w:ind w:firstLine="480"/>
              <w:rPr>
                <w:szCs w:val="21"/>
              </w:rPr>
            </w:pPr>
          </w:p>
        </w:tc>
      </w:tr>
    </w:tbl>
    <w:p>
      <w:pPr>
        <w:rPr>
          <w:b/>
          <w:bCs/>
          <w:szCs w:val="21"/>
        </w:rPr>
      </w:pPr>
    </w:p>
    <w:p>
      <w:pPr>
        <w:snapToGrid w:val="0"/>
        <w:spacing w:line="240" w:lineRule="exact"/>
        <w:rPr>
          <w:rFonts w:ascii="宋体" w:hAnsi="宋体"/>
          <w:szCs w:val="21"/>
        </w:rPr>
      </w:pPr>
    </w:p>
    <w:p>
      <w:pPr>
        <w:spacing w:line="260" w:lineRule="exact"/>
        <w:rPr>
          <w:b/>
          <w:bCs/>
          <w:szCs w:val="21"/>
        </w:rPr>
      </w:pPr>
    </w:p>
    <w:p>
      <w:pPr>
        <w:spacing w:line="260" w:lineRule="exact"/>
        <w:rPr>
          <w:b/>
          <w:bCs/>
          <w:szCs w:val="21"/>
        </w:rPr>
      </w:pPr>
      <w:bookmarkStart w:id="40" w:name="技术评议指标表"/>
      <w:bookmarkEnd w:id="40"/>
      <w:r>
        <w:rPr>
          <w:rFonts w:hint="eastAsia"/>
          <w:b/>
          <w:bCs/>
          <w:szCs w:val="21"/>
        </w:rPr>
        <w:t xml:space="preserve">表3：《技术评议指标表》                                   </w:t>
      </w:r>
      <w:r>
        <w:rPr>
          <w:b/>
          <w:bCs/>
        </w:rPr>
        <w:t xml:space="preserve">[ </w:t>
      </w:r>
      <w:r>
        <w:rPr>
          <w:rFonts w:hint="eastAsia"/>
          <w:b/>
          <w:bCs/>
        </w:rPr>
        <w:t>分值：</w:t>
      </w:r>
      <w:r>
        <w:rPr>
          <w:b/>
          <w:bCs/>
          <w:u w:val="single"/>
        </w:rPr>
        <w:t>5</w:t>
      </w:r>
      <w:r>
        <w:rPr>
          <w:rFonts w:hint="eastAsia"/>
          <w:b/>
          <w:bCs/>
          <w:u w:val="single"/>
        </w:rPr>
        <w:t>0分</w:t>
      </w:r>
      <w:r>
        <w:rPr>
          <w:b/>
          <w:bCs/>
          <w:u w:val="single"/>
        </w:rPr>
        <w:t xml:space="preserve"> </w:t>
      </w:r>
      <w:r>
        <w:rPr>
          <w:b/>
          <w:bCs/>
        </w:rPr>
        <w:t>]</w:t>
      </w:r>
    </w:p>
    <w:tbl>
      <w:tblPr>
        <w:tblStyle w:val="4"/>
        <w:tblW w:w="5196" w:type="pct"/>
        <w:tblCellSpacing w:w="0" w:type="dxa"/>
        <w:tblInd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autofit"/>
        <w:tblCellMar>
          <w:top w:w="15" w:type="dxa"/>
          <w:left w:w="15" w:type="dxa"/>
          <w:bottom w:w="15" w:type="dxa"/>
          <w:right w:w="15" w:type="dxa"/>
        </w:tblCellMar>
      </w:tblPr>
      <w:tblGrid>
        <w:gridCol w:w="395"/>
        <w:gridCol w:w="2402"/>
        <w:gridCol w:w="558"/>
        <w:gridCol w:w="4758"/>
        <w:gridCol w:w="581"/>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72" w:hRule="atLeast"/>
          <w:tblCellSpacing w:w="0" w:type="dxa"/>
        </w:trPr>
        <w:tc>
          <w:tcPr>
            <w:tcW w:w="399" w:type="dxa"/>
            <w:shd w:val="clear" w:color="auto" w:fill="EEEEEE"/>
            <w:vAlign w:val="center"/>
          </w:tcPr>
          <w:p>
            <w:pPr>
              <w:spacing w:line="240" w:lineRule="exact"/>
              <w:jc w:val="center"/>
              <w:rPr>
                <w:szCs w:val="21"/>
              </w:rPr>
            </w:pPr>
            <w:r>
              <w:rPr>
                <w:rFonts w:hAnsi="宋体"/>
                <w:szCs w:val="21"/>
              </w:rPr>
              <w:t>序号</w:t>
            </w:r>
          </w:p>
        </w:tc>
        <w:tc>
          <w:tcPr>
            <w:tcW w:w="2466" w:type="dxa"/>
            <w:shd w:val="clear" w:color="auto" w:fill="EEEEEE"/>
            <w:vAlign w:val="center"/>
          </w:tcPr>
          <w:p>
            <w:pPr>
              <w:spacing w:line="240" w:lineRule="exact"/>
              <w:ind w:left="90"/>
              <w:jc w:val="center"/>
              <w:rPr>
                <w:szCs w:val="21"/>
              </w:rPr>
            </w:pPr>
            <w:r>
              <w:rPr>
                <w:rFonts w:hAnsi="宋体"/>
                <w:szCs w:val="21"/>
              </w:rPr>
              <w:t>内</w:t>
            </w:r>
            <w:r>
              <w:rPr>
                <w:szCs w:val="21"/>
              </w:rPr>
              <w:t xml:space="preserve">    </w:t>
            </w:r>
            <w:r>
              <w:rPr>
                <w:rFonts w:hAnsi="宋体"/>
                <w:szCs w:val="21"/>
              </w:rPr>
              <w:t>容</w:t>
            </w:r>
          </w:p>
        </w:tc>
        <w:tc>
          <w:tcPr>
            <w:tcW w:w="567" w:type="dxa"/>
            <w:shd w:val="clear" w:color="auto" w:fill="EEEEEE"/>
            <w:vAlign w:val="center"/>
          </w:tcPr>
          <w:p>
            <w:pPr>
              <w:spacing w:line="240" w:lineRule="exact"/>
              <w:jc w:val="center"/>
              <w:rPr>
                <w:szCs w:val="21"/>
              </w:rPr>
            </w:pPr>
            <w:r>
              <w:rPr>
                <w:rFonts w:hAnsi="宋体"/>
                <w:szCs w:val="21"/>
              </w:rPr>
              <w:t>分值</w:t>
            </w:r>
          </w:p>
        </w:tc>
        <w:tc>
          <w:tcPr>
            <w:tcW w:w="4878" w:type="dxa"/>
            <w:shd w:val="clear" w:color="auto" w:fill="EEEEEE"/>
            <w:vAlign w:val="center"/>
          </w:tcPr>
          <w:p>
            <w:pPr>
              <w:spacing w:line="240" w:lineRule="exact"/>
              <w:jc w:val="center"/>
              <w:rPr>
                <w:szCs w:val="21"/>
              </w:rPr>
            </w:pPr>
            <w:r>
              <w:rPr>
                <w:rFonts w:hAnsi="宋体"/>
                <w:szCs w:val="21"/>
              </w:rPr>
              <w:t>评分标准</w:t>
            </w:r>
          </w:p>
        </w:tc>
        <w:tc>
          <w:tcPr>
            <w:tcW w:w="590" w:type="dxa"/>
            <w:shd w:val="clear" w:color="auto" w:fill="EEEEEE"/>
            <w:vAlign w:val="center"/>
          </w:tcPr>
          <w:p>
            <w:pPr>
              <w:spacing w:line="240" w:lineRule="exact"/>
              <w:jc w:val="center"/>
              <w:rPr>
                <w:szCs w:val="21"/>
              </w:rPr>
            </w:pPr>
            <w:r>
              <w:rPr>
                <w:rFonts w:hAnsi="宋体"/>
                <w:szCs w:val="21"/>
              </w:rPr>
              <w:t>评标</w:t>
            </w:r>
          </w:p>
          <w:p>
            <w:pPr>
              <w:spacing w:line="240" w:lineRule="exact"/>
              <w:jc w:val="center"/>
              <w:rPr>
                <w:szCs w:val="21"/>
              </w:rPr>
            </w:pPr>
            <w:r>
              <w:rPr>
                <w:rFonts w:hAnsi="宋体"/>
                <w:szCs w:val="21"/>
              </w:rPr>
              <w:t>得分</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20" w:hRule="atLeast"/>
          <w:tblCellSpacing w:w="0" w:type="dxa"/>
        </w:trPr>
        <w:tc>
          <w:tcPr>
            <w:tcW w:w="399" w:type="dxa"/>
            <w:shd w:val="clear" w:color="auto" w:fill="auto"/>
            <w:vAlign w:val="center"/>
          </w:tcPr>
          <w:p>
            <w:pPr>
              <w:spacing w:line="240" w:lineRule="exact"/>
              <w:ind w:left="90"/>
              <w:rPr>
                <w:szCs w:val="21"/>
              </w:rPr>
            </w:pPr>
            <w:r>
              <w:rPr>
                <w:szCs w:val="21"/>
              </w:rPr>
              <w:t>1</w:t>
            </w:r>
          </w:p>
        </w:tc>
        <w:tc>
          <w:tcPr>
            <w:tcW w:w="2466" w:type="dxa"/>
            <w:shd w:val="clear" w:color="auto" w:fill="auto"/>
            <w:vAlign w:val="center"/>
          </w:tcPr>
          <w:p>
            <w:pPr>
              <w:spacing w:line="240" w:lineRule="exact"/>
              <w:ind w:left="90"/>
              <w:rPr>
                <w:rFonts w:hAnsi="宋体"/>
                <w:szCs w:val="21"/>
              </w:rPr>
            </w:pPr>
            <w:r>
              <w:rPr>
                <w:rFonts w:hAnsi="宋体"/>
                <w:szCs w:val="21"/>
              </w:rPr>
              <w:t>产品</w:t>
            </w:r>
            <w:r>
              <w:rPr>
                <w:kern w:val="0"/>
                <w:szCs w:val="21"/>
              </w:rPr>
              <w:t>各项技术性能指标</w:t>
            </w:r>
            <w:r>
              <w:rPr>
                <w:rFonts w:hAnsi="宋体"/>
                <w:szCs w:val="21"/>
              </w:rPr>
              <w:t>与招标文件的偏离情况</w:t>
            </w:r>
          </w:p>
        </w:tc>
        <w:tc>
          <w:tcPr>
            <w:tcW w:w="567" w:type="dxa"/>
            <w:shd w:val="clear" w:color="auto" w:fill="auto"/>
            <w:vAlign w:val="center"/>
          </w:tcPr>
          <w:p>
            <w:pPr>
              <w:spacing w:line="240" w:lineRule="exact"/>
              <w:jc w:val="center"/>
              <w:rPr>
                <w:szCs w:val="21"/>
              </w:rPr>
            </w:pPr>
            <w:r>
              <w:rPr>
                <w:rFonts w:hint="eastAsia"/>
                <w:szCs w:val="21"/>
              </w:rPr>
              <w:t>30</w:t>
            </w:r>
          </w:p>
        </w:tc>
        <w:tc>
          <w:tcPr>
            <w:tcW w:w="4878" w:type="dxa"/>
            <w:shd w:val="clear" w:color="auto" w:fill="auto"/>
            <w:vAlign w:val="center"/>
          </w:tcPr>
          <w:p>
            <w:pPr>
              <w:snapToGrid w:val="0"/>
              <w:spacing w:line="240" w:lineRule="exact"/>
              <w:rPr>
                <w:szCs w:val="21"/>
              </w:rPr>
            </w:pPr>
            <w:r>
              <w:rPr>
                <w:rFonts w:hAnsi="宋体"/>
                <w:szCs w:val="21"/>
              </w:rPr>
              <w:t>对未加</w:t>
            </w:r>
            <w:r>
              <w:rPr>
                <w:rFonts w:ascii="宋体" w:hAnsi="宋体"/>
                <w:szCs w:val="21"/>
              </w:rPr>
              <w:t>“★”</w:t>
            </w:r>
            <w:r>
              <w:rPr>
                <w:rFonts w:hAnsi="宋体"/>
                <w:szCs w:val="21"/>
              </w:rPr>
              <w:t>号的技术要求条款有一项不满足的，扣</w:t>
            </w:r>
            <w:r>
              <w:rPr>
                <w:rFonts w:hint="eastAsia"/>
                <w:szCs w:val="21"/>
              </w:rPr>
              <w:t>2</w:t>
            </w:r>
            <w:r>
              <w:rPr>
                <w:rFonts w:hAnsi="宋体"/>
                <w:szCs w:val="21"/>
              </w:rPr>
              <w:t>分，扣完为止。</w:t>
            </w:r>
            <w:r>
              <w:tab/>
            </w:r>
          </w:p>
        </w:tc>
        <w:tc>
          <w:tcPr>
            <w:tcW w:w="590" w:type="dxa"/>
            <w:shd w:val="clear" w:color="auto" w:fill="auto"/>
            <w:vAlign w:val="center"/>
          </w:tcPr>
          <w:p>
            <w:pPr>
              <w:spacing w:line="240" w:lineRule="exact"/>
              <w:ind w:left="90"/>
              <w:rPr>
                <w:szCs w:val="21"/>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330" w:hRule="atLeast"/>
          <w:tblCellSpacing w:w="0" w:type="dxa"/>
        </w:trPr>
        <w:tc>
          <w:tcPr>
            <w:tcW w:w="399" w:type="dxa"/>
            <w:vAlign w:val="center"/>
          </w:tcPr>
          <w:p>
            <w:pPr>
              <w:spacing w:line="240" w:lineRule="exact"/>
              <w:jc w:val="center"/>
              <w:rPr>
                <w:szCs w:val="21"/>
              </w:rPr>
            </w:pPr>
            <w:r>
              <w:rPr>
                <w:szCs w:val="21"/>
              </w:rPr>
              <w:t>2</w:t>
            </w:r>
          </w:p>
        </w:tc>
        <w:tc>
          <w:tcPr>
            <w:tcW w:w="2466" w:type="dxa"/>
            <w:vAlign w:val="center"/>
          </w:tcPr>
          <w:p>
            <w:pPr>
              <w:spacing w:line="240" w:lineRule="exact"/>
              <w:ind w:left="90"/>
              <w:rPr>
                <w:szCs w:val="21"/>
              </w:rPr>
            </w:pPr>
            <w:r>
              <w:rPr>
                <w:rFonts w:hAnsi="宋体"/>
                <w:szCs w:val="21"/>
              </w:rPr>
              <w:t>所投产品的技术先进性</w:t>
            </w:r>
          </w:p>
        </w:tc>
        <w:tc>
          <w:tcPr>
            <w:tcW w:w="567" w:type="dxa"/>
            <w:vAlign w:val="center"/>
          </w:tcPr>
          <w:p>
            <w:pPr>
              <w:spacing w:line="240" w:lineRule="exact"/>
              <w:jc w:val="center"/>
              <w:rPr>
                <w:szCs w:val="21"/>
              </w:rPr>
            </w:pPr>
            <w:r>
              <w:rPr>
                <w:rFonts w:hint="eastAsia"/>
                <w:szCs w:val="21"/>
              </w:rPr>
              <w:t>7</w:t>
            </w:r>
          </w:p>
        </w:tc>
        <w:tc>
          <w:tcPr>
            <w:tcW w:w="4878" w:type="dxa"/>
            <w:vAlign w:val="center"/>
          </w:tcPr>
          <w:p>
            <w:pPr>
              <w:spacing w:line="240" w:lineRule="exact"/>
              <w:rPr>
                <w:szCs w:val="21"/>
              </w:rPr>
            </w:pPr>
            <w:r>
              <w:rPr>
                <w:rFonts w:hAnsi="宋体"/>
                <w:szCs w:val="21"/>
              </w:rPr>
              <w:t>优</w:t>
            </w:r>
            <w:r>
              <w:rPr>
                <w:rFonts w:hint="eastAsia"/>
                <w:szCs w:val="21"/>
              </w:rPr>
              <w:t>（6-7）</w:t>
            </w:r>
            <w:r>
              <w:rPr>
                <w:rFonts w:hAnsi="宋体"/>
                <w:szCs w:val="21"/>
              </w:rPr>
              <w:t>分，良</w:t>
            </w:r>
            <w:r>
              <w:rPr>
                <w:rFonts w:hint="eastAsia"/>
                <w:szCs w:val="21"/>
              </w:rPr>
              <w:t>（4-5.5）</w:t>
            </w:r>
            <w:r>
              <w:rPr>
                <w:rFonts w:hAnsi="宋体"/>
                <w:szCs w:val="21"/>
              </w:rPr>
              <w:t>分，</w:t>
            </w:r>
            <w:r>
              <w:rPr>
                <w:rFonts w:hint="eastAsia" w:hAnsi="宋体"/>
                <w:szCs w:val="21"/>
              </w:rPr>
              <w:t>一般（</w:t>
            </w:r>
            <w:r>
              <w:rPr>
                <w:rFonts w:hint="eastAsia"/>
                <w:szCs w:val="21"/>
              </w:rPr>
              <w:t>3-3.5）</w:t>
            </w:r>
            <w:r>
              <w:rPr>
                <w:rFonts w:hAnsi="宋体"/>
                <w:szCs w:val="21"/>
              </w:rPr>
              <w:t>分，</w:t>
            </w:r>
            <w:r>
              <w:rPr>
                <w:rFonts w:hint="eastAsia" w:hAnsi="宋体"/>
                <w:szCs w:val="21"/>
              </w:rPr>
              <w:t>较差（</w:t>
            </w:r>
            <w:r>
              <w:rPr>
                <w:rFonts w:hint="eastAsia"/>
                <w:szCs w:val="21"/>
              </w:rPr>
              <w:t>0-2.5）</w:t>
            </w:r>
            <w:r>
              <w:rPr>
                <w:rFonts w:hAnsi="宋体"/>
                <w:szCs w:val="21"/>
              </w:rPr>
              <w:t>分。</w:t>
            </w:r>
          </w:p>
        </w:tc>
        <w:tc>
          <w:tcPr>
            <w:tcW w:w="590" w:type="dxa"/>
            <w:vAlign w:val="center"/>
          </w:tcPr>
          <w:p>
            <w:pPr>
              <w:spacing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330" w:hRule="atLeast"/>
          <w:tblCellSpacing w:w="0" w:type="dxa"/>
        </w:trPr>
        <w:tc>
          <w:tcPr>
            <w:tcW w:w="399" w:type="dxa"/>
            <w:vAlign w:val="center"/>
          </w:tcPr>
          <w:p>
            <w:pPr>
              <w:spacing w:line="240" w:lineRule="exact"/>
              <w:jc w:val="center"/>
              <w:rPr>
                <w:szCs w:val="21"/>
              </w:rPr>
            </w:pPr>
            <w:r>
              <w:rPr>
                <w:szCs w:val="21"/>
              </w:rPr>
              <w:t>3</w:t>
            </w:r>
          </w:p>
        </w:tc>
        <w:tc>
          <w:tcPr>
            <w:tcW w:w="2466" w:type="dxa"/>
            <w:vAlign w:val="center"/>
          </w:tcPr>
          <w:p>
            <w:pPr>
              <w:spacing w:line="240" w:lineRule="exact"/>
              <w:ind w:left="90"/>
              <w:rPr>
                <w:szCs w:val="21"/>
              </w:rPr>
            </w:pPr>
            <w:r>
              <w:rPr>
                <w:rFonts w:hAnsi="宋体"/>
                <w:szCs w:val="21"/>
              </w:rPr>
              <w:t>所投产品的安全稳定性</w:t>
            </w:r>
            <w:r>
              <w:rPr>
                <w:rFonts w:hint="eastAsia" w:hAnsi="宋体"/>
                <w:szCs w:val="21"/>
              </w:rPr>
              <w:t>和可靠性</w:t>
            </w:r>
          </w:p>
        </w:tc>
        <w:tc>
          <w:tcPr>
            <w:tcW w:w="567" w:type="dxa"/>
            <w:vAlign w:val="center"/>
          </w:tcPr>
          <w:p>
            <w:pPr>
              <w:spacing w:line="240" w:lineRule="exact"/>
              <w:jc w:val="center"/>
              <w:rPr>
                <w:szCs w:val="21"/>
              </w:rPr>
            </w:pPr>
            <w:r>
              <w:rPr>
                <w:rFonts w:hint="eastAsia"/>
                <w:szCs w:val="21"/>
              </w:rPr>
              <w:t>7</w:t>
            </w:r>
          </w:p>
        </w:tc>
        <w:tc>
          <w:tcPr>
            <w:tcW w:w="4878" w:type="dxa"/>
            <w:vAlign w:val="center"/>
          </w:tcPr>
          <w:p>
            <w:pPr>
              <w:spacing w:line="240" w:lineRule="exact"/>
              <w:rPr>
                <w:szCs w:val="21"/>
              </w:rPr>
            </w:pPr>
            <w:r>
              <w:rPr>
                <w:rFonts w:hAnsi="宋体"/>
                <w:szCs w:val="21"/>
              </w:rPr>
              <w:t>优</w:t>
            </w:r>
            <w:r>
              <w:rPr>
                <w:rFonts w:hint="eastAsia"/>
                <w:szCs w:val="21"/>
              </w:rPr>
              <w:t>（6-7）</w:t>
            </w:r>
            <w:r>
              <w:rPr>
                <w:rFonts w:hAnsi="宋体"/>
                <w:szCs w:val="21"/>
              </w:rPr>
              <w:t>分，良</w:t>
            </w:r>
            <w:r>
              <w:rPr>
                <w:rFonts w:hint="eastAsia"/>
                <w:szCs w:val="21"/>
              </w:rPr>
              <w:t>（4-5.5）</w:t>
            </w:r>
            <w:r>
              <w:rPr>
                <w:rFonts w:hAnsi="宋体"/>
                <w:szCs w:val="21"/>
              </w:rPr>
              <w:t>分，</w:t>
            </w:r>
            <w:r>
              <w:rPr>
                <w:rFonts w:hint="eastAsia" w:hAnsi="宋体"/>
                <w:szCs w:val="21"/>
              </w:rPr>
              <w:t>一般（</w:t>
            </w:r>
            <w:r>
              <w:rPr>
                <w:rFonts w:hint="eastAsia"/>
                <w:szCs w:val="21"/>
              </w:rPr>
              <w:t>3-3.5）</w:t>
            </w:r>
            <w:r>
              <w:rPr>
                <w:rFonts w:hAnsi="宋体"/>
                <w:szCs w:val="21"/>
              </w:rPr>
              <w:t>分，</w:t>
            </w:r>
            <w:r>
              <w:rPr>
                <w:rFonts w:hint="eastAsia" w:hAnsi="宋体"/>
                <w:szCs w:val="21"/>
              </w:rPr>
              <w:t>较差（</w:t>
            </w:r>
            <w:r>
              <w:rPr>
                <w:rFonts w:hint="eastAsia"/>
                <w:szCs w:val="21"/>
              </w:rPr>
              <w:t>0-2.5）</w:t>
            </w:r>
            <w:r>
              <w:rPr>
                <w:rFonts w:hAnsi="宋体"/>
                <w:szCs w:val="21"/>
              </w:rPr>
              <w:t>分。</w:t>
            </w:r>
          </w:p>
        </w:tc>
        <w:tc>
          <w:tcPr>
            <w:tcW w:w="590" w:type="dxa"/>
            <w:vAlign w:val="center"/>
          </w:tcPr>
          <w:p>
            <w:pPr>
              <w:spacing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330" w:hRule="atLeast"/>
          <w:tblCellSpacing w:w="0" w:type="dxa"/>
        </w:trPr>
        <w:tc>
          <w:tcPr>
            <w:tcW w:w="399" w:type="dxa"/>
            <w:vAlign w:val="center"/>
          </w:tcPr>
          <w:p>
            <w:pPr>
              <w:spacing w:line="240" w:lineRule="exact"/>
              <w:jc w:val="center"/>
              <w:rPr>
                <w:szCs w:val="21"/>
              </w:rPr>
            </w:pPr>
            <w:r>
              <w:rPr>
                <w:szCs w:val="21"/>
              </w:rPr>
              <w:t>4</w:t>
            </w:r>
          </w:p>
        </w:tc>
        <w:tc>
          <w:tcPr>
            <w:tcW w:w="2466" w:type="dxa"/>
            <w:vAlign w:val="center"/>
          </w:tcPr>
          <w:p>
            <w:pPr>
              <w:spacing w:line="240" w:lineRule="exact"/>
              <w:ind w:left="90"/>
              <w:rPr>
                <w:szCs w:val="21"/>
              </w:rPr>
            </w:pPr>
            <w:r>
              <w:rPr>
                <w:rFonts w:hAnsi="宋体"/>
                <w:szCs w:val="21"/>
              </w:rPr>
              <w:t>所投产品的易用维护性</w:t>
            </w:r>
          </w:p>
        </w:tc>
        <w:tc>
          <w:tcPr>
            <w:tcW w:w="567" w:type="dxa"/>
            <w:vAlign w:val="center"/>
          </w:tcPr>
          <w:p>
            <w:pPr>
              <w:spacing w:line="240" w:lineRule="exact"/>
              <w:jc w:val="center"/>
              <w:rPr>
                <w:szCs w:val="21"/>
              </w:rPr>
            </w:pPr>
            <w:r>
              <w:rPr>
                <w:rFonts w:hint="eastAsia"/>
                <w:szCs w:val="21"/>
              </w:rPr>
              <w:t>6</w:t>
            </w:r>
          </w:p>
        </w:tc>
        <w:tc>
          <w:tcPr>
            <w:tcW w:w="4878" w:type="dxa"/>
            <w:vAlign w:val="center"/>
          </w:tcPr>
          <w:p>
            <w:pPr>
              <w:spacing w:line="240" w:lineRule="exact"/>
              <w:rPr>
                <w:szCs w:val="21"/>
              </w:rPr>
            </w:pPr>
            <w:r>
              <w:rPr>
                <w:rFonts w:hAnsi="宋体"/>
                <w:szCs w:val="21"/>
              </w:rPr>
              <w:t>优</w:t>
            </w:r>
            <w:r>
              <w:rPr>
                <w:rFonts w:hint="eastAsia"/>
                <w:szCs w:val="21"/>
              </w:rPr>
              <w:t>（6）</w:t>
            </w:r>
            <w:r>
              <w:rPr>
                <w:rFonts w:hAnsi="宋体"/>
                <w:szCs w:val="21"/>
              </w:rPr>
              <w:t>分，良</w:t>
            </w:r>
            <w:r>
              <w:rPr>
                <w:rFonts w:hint="eastAsia"/>
                <w:szCs w:val="21"/>
              </w:rPr>
              <w:t>（4-5.5）</w:t>
            </w:r>
            <w:r>
              <w:rPr>
                <w:rFonts w:hAnsi="宋体"/>
                <w:szCs w:val="21"/>
              </w:rPr>
              <w:t>分，</w:t>
            </w:r>
            <w:r>
              <w:rPr>
                <w:rFonts w:hint="eastAsia" w:hAnsi="宋体"/>
                <w:szCs w:val="21"/>
              </w:rPr>
              <w:t>一般（</w:t>
            </w:r>
            <w:r>
              <w:rPr>
                <w:rFonts w:hint="eastAsia"/>
                <w:szCs w:val="21"/>
              </w:rPr>
              <w:t>3-3.5）</w:t>
            </w:r>
            <w:r>
              <w:rPr>
                <w:rFonts w:hAnsi="宋体"/>
                <w:szCs w:val="21"/>
              </w:rPr>
              <w:t>分，</w:t>
            </w:r>
            <w:r>
              <w:rPr>
                <w:rFonts w:hint="eastAsia" w:hAnsi="宋体"/>
                <w:szCs w:val="21"/>
              </w:rPr>
              <w:t>较差（</w:t>
            </w:r>
            <w:r>
              <w:rPr>
                <w:rFonts w:hint="eastAsia"/>
                <w:szCs w:val="21"/>
              </w:rPr>
              <w:t>0-2.5）</w:t>
            </w:r>
            <w:r>
              <w:rPr>
                <w:rFonts w:hAnsi="宋体"/>
                <w:szCs w:val="21"/>
              </w:rPr>
              <w:t>分。</w:t>
            </w:r>
          </w:p>
        </w:tc>
        <w:tc>
          <w:tcPr>
            <w:tcW w:w="590" w:type="dxa"/>
            <w:vAlign w:val="center"/>
          </w:tcPr>
          <w:p>
            <w:pPr>
              <w:spacing w:line="240" w:lineRule="exact"/>
              <w:ind w:firstLine="480"/>
              <w:rPr>
                <w:szCs w:val="21"/>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461" w:hRule="atLeast"/>
          <w:tblCellSpacing w:w="0" w:type="dxa"/>
        </w:trPr>
        <w:tc>
          <w:tcPr>
            <w:tcW w:w="399" w:type="dxa"/>
            <w:vAlign w:val="center"/>
          </w:tcPr>
          <w:p>
            <w:pPr>
              <w:spacing w:line="240" w:lineRule="exact"/>
              <w:jc w:val="center"/>
              <w:rPr>
                <w:szCs w:val="21"/>
                <w:highlight w:val="yellow"/>
              </w:rPr>
            </w:pPr>
          </w:p>
        </w:tc>
        <w:tc>
          <w:tcPr>
            <w:tcW w:w="2466" w:type="dxa"/>
            <w:vAlign w:val="center"/>
          </w:tcPr>
          <w:p>
            <w:pPr>
              <w:spacing w:line="240" w:lineRule="exact"/>
              <w:ind w:left="90"/>
              <w:jc w:val="center"/>
              <w:rPr>
                <w:szCs w:val="21"/>
              </w:rPr>
            </w:pPr>
            <w:r>
              <w:rPr>
                <w:rFonts w:hAnsi="宋体"/>
                <w:szCs w:val="21"/>
              </w:rPr>
              <w:t>合计</w:t>
            </w:r>
          </w:p>
        </w:tc>
        <w:tc>
          <w:tcPr>
            <w:tcW w:w="567" w:type="dxa"/>
            <w:vAlign w:val="center"/>
          </w:tcPr>
          <w:p>
            <w:pPr>
              <w:spacing w:line="240" w:lineRule="exact"/>
              <w:jc w:val="center"/>
              <w:rPr>
                <w:szCs w:val="21"/>
              </w:rPr>
            </w:pPr>
            <w:r>
              <w:rPr>
                <w:szCs w:val="21"/>
              </w:rPr>
              <w:fldChar w:fldCharType="begin"/>
            </w:r>
            <w:r>
              <w:rPr>
                <w:szCs w:val="21"/>
              </w:rPr>
              <w:instrText xml:space="preserve"> =SUM(ABOVE) </w:instrText>
            </w:r>
            <w:r>
              <w:rPr>
                <w:szCs w:val="21"/>
              </w:rPr>
              <w:fldChar w:fldCharType="separate"/>
            </w:r>
            <w:r>
              <w:rPr>
                <w:szCs w:val="21"/>
              </w:rPr>
              <w:t>50</w:t>
            </w:r>
            <w:r>
              <w:rPr>
                <w:szCs w:val="21"/>
              </w:rPr>
              <w:fldChar w:fldCharType="end"/>
            </w:r>
          </w:p>
        </w:tc>
        <w:tc>
          <w:tcPr>
            <w:tcW w:w="4878" w:type="dxa"/>
            <w:vAlign w:val="center"/>
          </w:tcPr>
          <w:p>
            <w:pPr>
              <w:spacing w:line="240" w:lineRule="exact"/>
              <w:rPr>
                <w:szCs w:val="21"/>
              </w:rPr>
            </w:pPr>
          </w:p>
        </w:tc>
        <w:tc>
          <w:tcPr>
            <w:tcW w:w="590" w:type="dxa"/>
            <w:vAlign w:val="center"/>
          </w:tcPr>
          <w:p>
            <w:pPr>
              <w:spacing w:line="240" w:lineRule="exact"/>
              <w:ind w:firstLine="480"/>
              <w:rPr>
                <w:szCs w:val="21"/>
              </w:rPr>
            </w:pPr>
          </w:p>
        </w:tc>
      </w:tr>
    </w:tbl>
    <w:p>
      <w:bookmarkStart w:id="41" w:name="表5《价格评议指标表》"/>
      <w:bookmarkEnd w:id="4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1B1A"/>
    <w:multiLevelType w:val="multilevel"/>
    <w:tmpl w:val="04431B1A"/>
    <w:lvl w:ilvl="0" w:tentative="0">
      <w:start w:val="1"/>
      <w:numFmt w:val="japaneseCounting"/>
      <w:lvlText w:val="%1、"/>
      <w:lvlJc w:val="left"/>
      <w:pPr>
        <w:tabs>
          <w:tab w:val="left" w:pos="570"/>
        </w:tabs>
        <w:ind w:left="570" w:hanging="570"/>
      </w:pPr>
      <w:rPr>
        <w:rFonts w:hint="eastAsia"/>
        <w:sz w:val="28"/>
      </w:rPr>
    </w:lvl>
    <w:lvl w:ilvl="1" w:tentative="0">
      <w:start w:val="2"/>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6B3D69"/>
    <w:multiLevelType w:val="multilevel"/>
    <w:tmpl w:val="076B3D69"/>
    <w:lvl w:ilvl="0" w:tentative="0">
      <w:start w:val="1"/>
      <w:numFmt w:val="decimal"/>
      <w:lvlText w:val="%1）"/>
      <w:lvlJc w:val="left"/>
      <w:pPr>
        <w:tabs>
          <w:tab w:val="left" w:pos="1200"/>
        </w:tabs>
        <w:ind w:left="1200" w:hanging="360"/>
      </w:pPr>
      <w:rPr>
        <w:rFonts w:hint="default" w:ascii="Times New Roman" w:hAnsi="Times New Roman" w:cs="Times New Roman"/>
        <w:color w:val="000000"/>
        <w:lang w:val="en-US"/>
      </w:rPr>
    </w:lvl>
    <w:lvl w:ilvl="1" w:tentative="0">
      <w:start w:val="1"/>
      <w:numFmt w:val="decimalEnclosedCircle"/>
      <w:lvlText w:val="%2"/>
      <w:lvlJc w:val="left"/>
      <w:pPr>
        <w:tabs>
          <w:tab w:val="left" w:pos="1440"/>
        </w:tabs>
        <w:ind w:left="1440" w:hanging="360"/>
      </w:pPr>
      <w:rPr>
        <w:rFonts w:hint="default"/>
        <w:color w:val="000000"/>
      </w:rPr>
    </w:lvl>
    <w:lvl w:ilvl="2" w:tentative="0">
      <w:start w:val="2"/>
      <w:numFmt w:val="decimal"/>
      <w:lvlText w:val="%3、"/>
      <w:lvlJc w:val="left"/>
      <w:pPr>
        <w:tabs>
          <w:tab w:val="left" w:pos="1080"/>
        </w:tabs>
        <w:ind w:left="108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1F386B83"/>
    <w:multiLevelType w:val="multilevel"/>
    <w:tmpl w:val="1F386B83"/>
    <w:lvl w:ilvl="0" w:tentative="0">
      <w:start w:val="1"/>
      <w:numFmt w:val="decimalEnclosedCircle"/>
      <w:lvlText w:val="%1"/>
      <w:lvlJc w:val="left"/>
      <w:pPr>
        <w:tabs>
          <w:tab w:val="left" w:pos="1620"/>
        </w:tabs>
        <w:ind w:left="1620" w:hanging="360"/>
      </w:pPr>
      <w:rPr>
        <w:rFonts w:hint="default"/>
        <w:color w:val="auto"/>
      </w:rPr>
    </w:lvl>
    <w:lvl w:ilvl="1" w:tentative="0">
      <w:start w:val="1"/>
      <w:numFmt w:val="decimal"/>
      <w:lvlText w:val="%2）"/>
      <w:lvlJc w:val="left"/>
      <w:pPr>
        <w:tabs>
          <w:tab w:val="left" w:pos="2040"/>
        </w:tabs>
        <w:ind w:left="2040" w:hanging="360"/>
      </w:pPr>
      <w:rPr>
        <w:rFonts w:hint="default" w:hAnsi="宋体"/>
      </w:rPr>
    </w:lvl>
    <w:lvl w:ilvl="2" w:tentative="0">
      <w:start w:val="4"/>
      <w:numFmt w:val="decimal"/>
      <w:lvlText w:val="%3、"/>
      <w:lvlJc w:val="left"/>
      <w:pPr>
        <w:tabs>
          <w:tab w:val="left" w:pos="2460"/>
        </w:tabs>
        <w:ind w:left="2460" w:hanging="360"/>
      </w:pPr>
      <w:rPr>
        <w:rFonts w:hint="default" w:ascii="Times New Roman"/>
        <w:color w:val="000000"/>
      </w:r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3">
    <w:nsid w:val="217B2E6B"/>
    <w:multiLevelType w:val="multilevel"/>
    <w:tmpl w:val="217B2E6B"/>
    <w:lvl w:ilvl="0" w:tentative="0">
      <w:start w:val="1"/>
      <w:numFmt w:val="decimal"/>
      <w:lvlText w:val="2.5.%1"/>
      <w:lvlJc w:val="left"/>
      <w:pPr>
        <w:ind w:left="1413" w:hanging="420"/>
      </w:pPr>
      <w:rPr>
        <w:rFonts w:hint="default" w:ascii="Times New Roman" w:hAnsi="Times New Roman" w:cs="Times New Roman"/>
        <w:color w:val="auto"/>
        <w:sz w:val="21"/>
        <w:szCs w:val="21"/>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273F5AB5"/>
    <w:multiLevelType w:val="multilevel"/>
    <w:tmpl w:val="273F5AB5"/>
    <w:lvl w:ilvl="0" w:tentative="0">
      <w:start w:val="1"/>
      <w:numFmt w:val="decimal"/>
      <w:lvlText w:val="%1）"/>
      <w:lvlJc w:val="left"/>
      <w:pPr>
        <w:tabs>
          <w:tab w:val="left" w:pos="1200"/>
        </w:tabs>
        <w:ind w:left="1200" w:hanging="360"/>
      </w:pPr>
      <w:rPr>
        <w:rFonts w:hint="default" w:ascii="Times New Roman" w:hAnsi="Times New Roman" w:cs="Times New Roman"/>
        <w:color w:val="000000"/>
        <w:lang w:val="en-US"/>
      </w:rPr>
    </w:lvl>
    <w:lvl w:ilvl="1" w:tentative="0">
      <w:start w:val="1"/>
      <w:numFmt w:val="decimalEnclosedCircle"/>
      <w:lvlText w:val="%2"/>
      <w:lvlJc w:val="left"/>
      <w:pPr>
        <w:tabs>
          <w:tab w:val="left" w:pos="1440"/>
        </w:tabs>
        <w:ind w:left="1440" w:hanging="360"/>
      </w:pPr>
      <w:rPr>
        <w:rFonts w:hint="default"/>
        <w:color w:val="000000"/>
      </w:rPr>
    </w:lvl>
    <w:lvl w:ilvl="2" w:tentative="0">
      <w:start w:val="2"/>
      <w:numFmt w:val="decimal"/>
      <w:lvlText w:val="%3、"/>
      <w:lvlJc w:val="left"/>
      <w:pPr>
        <w:tabs>
          <w:tab w:val="left" w:pos="1080"/>
        </w:tabs>
        <w:ind w:left="108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2F8C4CD7"/>
    <w:multiLevelType w:val="multilevel"/>
    <w:tmpl w:val="2F8C4CD7"/>
    <w:lvl w:ilvl="0" w:tentative="0">
      <w:start w:val="1"/>
      <w:numFmt w:val="decimal"/>
      <w:lvlText w:val="2.%1"/>
      <w:lvlJc w:val="left"/>
      <w:pPr>
        <w:ind w:left="1129"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D32048"/>
    <w:multiLevelType w:val="multilevel"/>
    <w:tmpl w:val="35D32048"/>
    <w:lvl w:ilvl="0" w:tentative="0">
      <w:start w:val="1"/>
      <w:numFmt w:val="decimal"/>
      <w:lvlText w:val="%1、"/>
      <w:lvlJc w:val="left"/>
      <w:pPr>
        <w:ind w:left="1142" w:hanging="420"/>
      </w:pPr>
      <w:rPr>
        <w:rFonts w:hint="eastAsia"/>
      </w:rPr>
    </w:lvl>
    <w:lvl w:ilvl="1" w:tentative="0">
      <w:start w:val="1"/>
      <w:numFmt w:val="lowerLetter"/>
      <w:lvlText w:val="%2)"/>
      <w:lvlJc w:val="left"/>
      <w:pPr>
        <w:ind w:left="1562" w:hanging="420"/>
      </w:pPr>
    </w:lvl>
    <w:lvl w:ilvl="2" w:tentative="0">
      <w:start w:val="1"/>
      <w:numFmt w:val="lowerRoman"/>
      <w:lvlText w:val="%3."/>
      <w:lvlJc w:val="right"/>
      <w:pPr>
        <w:ind w:left="1982" w:hanging="420"/>
      </w:pPr>
    </w:lvl>
    <w:lvl w:ilvl="3" w:tentative="0">
      <w:start w:val="1"/>
      <w:numFmt w:val="decimal"/>
      <w:lvlText w:val="%4."/>
      <w:lvlJc w:val="left"/>
      <w:pPr>
        <w:ind w:left="2402" w:hanging="420"/>
      </w:pPr>
    </w:lvl>
    <w:lvl w:ilvl="4" w:tentative="0">
      <w:start w:val="1"/>
      <w:numFmt w:val="lowerLetter"/>
      <w:lvlText w:val="%5)"/>
      <w:lvlJc w:val="left"/>
      <w:pPr>
        <w:ind w:left="2822" w:hanging="420"/>
      </w:pPr>
    </w:lvl>
    <w:lvl w:ilvl="5" w:tentative="0">
      <w:start w:val="1"/>
      <w:numFmt w:val="lowerRoman"/>
      <w:lvlText w:val="%6."/>
      <w:lvlJc w:val="right"/>
      <w:pPr>
        <w:ind w:left="3242" w:hanging="420"/>
      </w:pPr>
    </w:lvl>
    <w:lvl w:ilvl="6" w:tentative="0">
      <w:start w:val="1"/>
      <w:numFmt w:val="decimal"/>
      <w:lvlText w:val="%7."/>
      <w:lvlJc w:val="left"/>
      <w:pPr>
        <w:ind w:left="3662" w:hanging="420"/>
      </w:pPr>
    </w:lvl>
    <w:lvl w:ilvl="7" w:tentative="0">
      <w:start w:val="1"/>
      <w:numFmt w:val="lowerLetter"/>
      <w:lvlText w:val="%8)"/>
      <w:lvlJc w:val="left"/>
      <w:pPr>
        <w:ind w:left="4082" w:hanging="420"/>
      </w:pPr>
    </w:lvl>
    <w:lvl w:ilvl="8" w:tentative="0">
      <w:start w:val="1"/>
      <w:numFmt w:val="lowerRoman"/>
      <w:lvlText w:val="%9."/>
      <w:lvlJc w:val="right"/>
      <w:pPr>
        <w:ind w:left="4502" w:hanging="420"/>
      </w:pPr>
    </w:lvl>
  </w:abstractNum>
  <w:abstractNum w:abstractNumId="7">
    <w:nsid w:val="3BBF46EC"/>
    <w:multiLevelType w:val="multilevel"/>
    <w:tmpl w:val="3BBF46EC"/>
    <w:lvl w:ilvl="0" w:tentative="0">
      <w:start w:val="1"/>
      <w:numFmt w:val="decimalEnclosedCircle"/>
      <w:lvlText w:val="%1"/>
      <w:lvlJc w:val="left"/>
      <w:pPr>
        <w:tabs>
          <w:tab w:val="left" w:pos="1620"/>
        </w:tabs>
        <w:ind w:left="1620" w:hanging="360"/>
      </w:pPr>
      <w:rPr>
        <w:rFonts w:hint="default"/>
        <w:color w:val="auto"/>
      </w:rPr>
    </w:lvl>
    <w:lvl w:ilvl="1" w:tentative="0">
      <w:start w:val="1"/>
      <w:numFmt w:val="decimal"/>
      <w:lvlText w:val="%2）"/>
      <w:lvlJc w:val="left"/>
      <w:pPr>
        <w:tabs>
          <w:tab w:val="left" w:pos="2040"/>
        </w:tabs>
        <w:ind w:left="2040" w:hanging="360"/>
      </w:pPr>
      <w:rPr>
        <w:rFonts w:hint="default" w:hAnsi="宋体"/>
      </w:rPr>
    </w:lvl>
    <w:lvl w:ilvl="2" w:tentative="0">
      <w:start w:val="4"/>
      <w:numFmt w:val="decimal"/>
      <w:lvlText w:val="%3、"/>
      <w:lvlJc w:val="left"/>
      <w:pPr>
        <w:tabs>
          <w:tab w:val="left" w:pos="2460"/>
        </w:tabs>
        <w:ind w:left="2460" w:hanging="360"/>
      </w:pPr>
      <w:rPr>
        <w:rFonts w:hint="default" w:ascii="Times New Roman"/>
        <w:color w:val="000000"/>
      </w:r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8">
    <w:nsid w:val="3D4656E3"/>
    <w:multiLevelType w:val="multilevel"/>
    <w:tmpl w:val="3D4656E3"/>
    <w:lvl w:ilvl="0" w:tentative="0">
      <w:start w:val="1"/>
      <w:numFmt w:val="decimal"/>
      <w:lvlText w:val="%1）"/>
      <w:lvlJc w:val="left"/>
      <w:pPr>
        <w:tabs>
          <w:tab w:val="left" w:pos="1211"/>
        </w:tabs>
        <w:ind w:left="1211" w:hanging="360"/>
      </w:pPr>
      <w:rPr>
        <w:rFonts w:hint="default" w:ascii="Times New Roman" w:hAnsi="Times New Roman" w:cs="Times New Roman"/>
        <w:color w:val="auto"/>
      </w:rPr>
    </w:lvl>
    <w:lvl w:ilvl="1" w:tentative="0">
      <w:start w:val="1"/>
      <w:numFmt w:val="decimalEnclosedCircle"/>
      <w:lvlText w:val="%2"/>
      <w:lvlJc w:val="left"/>
      <w:pPr>
        <w:tabs>
          <w:tab w:val="left" w:pos="1636"/>
        </w:tabs>
        <w:ind w:left="1636" w:hanging="360"/>
      </w:pPr>
      <w:rPr>
        <w:rFonts w:hint="default" w:ascii="Times New Roman" w:hAnsi="Times New Roman" w:cs="Times New Roman"/>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3F0E35B9"/>
    <w:multiLevelType w:val="multilevel"/>
    <w:tmpl w:val="3F0E35B9"/>
    <w:lvl w:ilvl="0" w:tentative="0">
      <w:start w:val="1"/>
      <w:numFmt w:val="decimal"/>
      <w:lvlText w:val="2.4.%1"/>
      <w:lvlJc w:val="left"/>
      <w:pPr>
        <w:ind w:left="1413" w:hanging="420"/>
      </w:pPr>
      <w:rPr>
        <w:rFonts w:hint="default" w:ascii="Times New Roman" w:hAnsi="Times New Roman" w:cs="Times New Roman"/>
        <w:color w:val="auto"/>
        <w:sz w:val="21"/>
        <w:szCs w:val="21"/>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4F867E53"/>
    <w:multiLevelType w:val="multilevel"/>
    <w:tmpl w:val="4F867E53"/>
    <w:lvl w:ilvl="0" w:tentative="0">
      <w:start w:val="1"/>
      <w:numFmt w:val="decimal"/>
      <w:lvlText w:val="2.8.%1"/>
      <w:lvlJc w:val="left"/>
      <w:pPr>
        <w:ind w:left="1413" w:hanging="420"/>
      </w:pPr>
      <w:rPr>
        <w:rFonts w:hint="default" w:ascii="Times New Roman" w:hAnsi="Times New Roman" w:cs="Times New Roman"/>
        <w:color w:val="auto"/>
        <w:sz w:val="21"/>
        <w:szCs w:val="21"/>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56EC6A76"/>
    <w:multiLevelType w:val="multilevel"/>
    <w:tmpl w:val="56EC6A76"/>
    <w:lvl w:ilvl="0" w:tentative="0">
      <w:start w:val="1"/>
      <w:numFmt w:val="decimalEnclosedCircle"/>
      <w:lvlText w:val="%1"/>
      <w:lvlJc w:val="left"/>
      <w:pPr>
        <w:tabs>
          <w:tab w:val="left" w:pos="1620"/>
        </w:tabs>
        <w:ind w:left="1620" w:hanging="360"/>
      </w:pPr>
      <w:rPr>
        <w:rFonts w:hint="default"/>
        <w:color w:val="auto"/>
      </w:rPr>
    </w:lvl>
    <w:lvl w:ilvl="1" w:tentative="0">
      <w:start w:val="1"/>
      <w:numFmt w:val="decimal"/>
      <w:lvlText w:val="%2）"/>
      <w:lvlJc w:val="left"/>
      <w:pPr>
        <w:tabs>
          <w:tab w:val="left" w:pos="2040"/>
        </w:tabs>
        <w:ind w:left="2040" w:hanging="360"/>
      </w:pPr>
      <w:rPr>
        <w:rFonts w:hint="default" w:hAnsi="宋体"/>
      </w:rPr>
    </w:lvl>
    <w:lvl w:ilvl="2" w:tentative="0">
      <w:start w:val="4"/>
      <w:numFmt w:val="decimal"/>
      <w:lvlText w:val="%3、"/>
      <w:lvlJc w:val="left"/>
      <w:pPr>
        <w:tabs>
          <w:tab w:val="left" w:pos="2460"/>
        </w:tabs>
        <w:ind w:left="2460" w:hanging="360"/>
      </w:pPr>
      <w:rPr>
        <w:rFonts w:hint="default" w:ascii="Times New Roman"/>
        <w:color w:val="000000"/>
      </w:r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2">
    <w:nsid w:val="579E10C1"/>
    <w:multiLevelType w:val="multilevel"/>
    <w:tmpl w:val="579E10C1"/>
    <w:lvl w:ilvl="0" w:tentative="0">
      <w:start w:val="1"/>
      <w:numFmt w:val="decimal"/>
      <w:lvlText w:val="%1）"/>
      <w:lvlJc w:val="left"/>
      <w:pPr>
        <w:tabs>
          <w:tab w:val="left" w:pos="1211"/>
        </w:tabs>
        <w:ind w:left="1211" w:hanging="360"/>
      </w:pPr>
      <w:rPr>
        <w:rFonts w:hint="default" w:ascii="Times New Roman" w:hAnsi="Times New Roman" w:cs="Times New Roman"/>
        <w:color w:val="auto"/>
      </w:rPr>
    </w:lvl>
    <w:lvl w:ilvl="1" w:tentative="0">
      <w:start w:val="1"/>
      <w:numFmt w:val="decimalEnclosedCircle"/>
      <w:lvlText w:val="%2"/>
      <w:lvlJc w:val="left"/>
      <w:pPr>
        <w:tabs>
          <w:tab w:val="left" w:pos="1636"/>
        </w:tabs>
        <w:ind w:left="1636" w:hanging="360"/>
      </w:pPr>
      <w:rPr>
        <w:rFonts w:hint="default" w:ascii="Times New Roman" w:hAnsi="Times New Roman" w:cs="Times New Roman"/>
        <w:color w:val="000000"/>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3">
    <w:nsid w:val="593F08A4"/>
    <w:multiLevelType w:val="multilevel"/>
    <w:tmpl w:val="593F08A4"/>
    <w:lvl w:ilvl="0" w:tentative="0">
      <w:start w:val="1"/>
      <w:numFmt w:val="decimal"/>
      <w:lvlText w:val="%1）"/>
      <w:lvlJc w:val="left"/>
      <w:pPr>
        <w:tabs>
          <w:tab w:val="left" w:pos="1211"/>
        </w:tabs>
        <w:ind w:left="1211" w:hanging="360"/>
      </w:pPr>
      <w:rPr>
        <w:rFonts w:hint="default" w:ascii="Times New Roman" w:hAnsi="Times New Roman" w:cs="Times New Roman"/>
        <w:color w:val="auto"/>
      </w:rPr>
    </w:lvl>
    <w:lvl w:ilvl="1" w:tentative="0">
      <w:start w:val="1"/>
      <w:numFmt w:val="decimalEnclosedCircle"/>
      <w:lvlText w:val="%2"/>
      <w:lvlJc w:val="left"/>
      <w:pPr>
        <w:tabs>
          <w:tab w:val="left" w:pos="1636"/>
        </w:tabs>
        <w:ind w:left="1636" w:hanging="360"/>
      </w:pPr>
      <w:rPr>
        <w:rFonts w:hint="default" w:ascii="Times New Roman" w:hAnsi="Times New Roman" w:cs="Times New Roman"/>
        <w:color w:val="000000"/>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5F80788D"/>
    <w:multiLevelType w:val="multilevel"/>
    <w:tmpl w:val="5F80788D"/>
    <w:lvl w:ilvl="0" w:tentative="0">
      <w:start w:val="1"/>
      <w:numFmt w:val="decimal"/>
      <w:lvlText w:val="2.2.%1"/>
      <w:lvlJc w:val="left"/>
      <w:pPr>
        <w:ind w:left="1413" w:hanging="420"/>
      </w:pPr>
      <w:rPr>
        <w:rFonts w:hint="default" w:ascii="Times New Roman" w:hAnsi="Times New Roman" w:cs="Times New Roman"/>
        <w:color w:val="auto"/>
        <w:sz w:val="21"/>
        <w:szCs w:val="21"/>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8"/>
  </w:num>
  <w:num w:numId="2">
    <w:abstractNumId w:val="12"/>
  </w:num>
  <w:num w:numId="3">
    <w:abstractNumId w:val="13"/>
  </w:num>
  <w:num w:numId="4">
    <w:abstractNumId w:val="4"/>
  </w:num>
  <w:num w:numId="5">
    <w:abstractNumId w:val="2"/>
  </w:num>
  <w:num w:numId="6">
    <w:abstractNumId w:val="7"/>
  </w:num>
  <w:num w:numId="7">
    <w:abstractNumId w:val="11"/>
  </w:num>
  <w:num w:numId="8">
    <w:abstractNumId w:val="1"/>
  </w:num>
  <w:num w:numId="9">
    <w:abstractNumId w:val="6"/>
  </w:num>
  <w:num w:numId="10">
    <w:abstractNumId w:val="5"/>
  </w:num>
  <w:num w:numId="11">
    <w:abstractNumId w:val="14"/>
  </w:num>
  <w:num w:numId="12">
    <w:abstractNumId w:val="9"/>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Y2NjNWI3ZThiNTJlMjcwODk1MzllNjJjOTBmN2QifQ=="/>
  </w:docVars>
  <w:rsids>
    <w:rsidRoot w:val="0074368C"/>
    <w:rsid w:val="000541AA"/>
    <w:rsid w:val="0010468E"/>
    <w:rsid w:val="001B7ED3"/>
    <w:rsid w:val="001D3CD5"/>
    <w:rsid w:val="00264EE6"/>
    <w:rsid w:val="00282965"/>
    <w:rsid w:val="003841C7"/>
    <w:rsid w:val="00557ED6"/>
    <w:rsid w:val="00676AF9"/>
    <w:rsid w:val="006C52C1"/>
    <w:rsid w:val="0071099B"/>
    <w:rsid w:val="00716D90"/>
    <w:rsid w:val="0074368C"/>
    <w:rsid w:val="00833C5E"/>
    <w:rsid w:val="008B7518"/>
    <w:rsid w:val="008D0EC0"/>
    <w:rsid w:val="00923FC2"/>
    <w:rsid w:val="00947183"/>
    <w:rsid w:val="00953C16"/>
    <w:rsid w:val="0095677E"/>
    <w:rsid w:val="00AA248A"/>
    <w:rsid w:val="00AC282F"/>
    <w:rsid w:val="00B56851"/>
    <w:rsid w:val="00BD202E"/>
    <w:rsid w:val="00C37717"/>
    <w:rsid w:val="00C458D5"/>
    <w:rsid w:val="00D32B2E"/>
    <w:rsid w:val="00D5256F"/>
    <w:rsid w:val="00D94586"/>
    <w:rsid w:val="00D94D07"/>
    <w:rsid w:val="00E23508"/>
    <w:rsid w:val="00F43526"/>
    <w:rsid w:val="00F6325B"/>
    <w:rsid w:val="00FC2F7C"/>
    <w:rsid w:val="00FD1420"/>
    <w:rsid w:val="00FE40C1"/>
    <w:rsid w:val="01B97F5E"/>
    <w:rsid w:val="02EE34C7"/>
    <w:rsid w:val="08566507"/>
    <w:rsid w:val="09C851E3"/>
    <w:rsid w:val="29E05526"/>
    <w:rsid w:val="57C8704A"/>
    <w:rsid w:val="61FD38AE"/>
    <w:rsid w:val="79E664D8"/>
  </w:rsids>
  <m:mathPr>
    <m:mathFont m:val="Cambria Math"/>
    <m:brkBin m:val="before"/>
    <m:brkBinSub m:val="--"/>
    <m:smallFrac m:val="1"/>
    <m:dispDef/>
    <m:lMargin m:val="1440"/>
    <m:rMargin m:val="144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4633</Words>
  <Characters>4823</Characters>
  <Lines>43</Lines>
  <Paragraphs>12</Paragraphs>
  <TotalTime>13</TotalTime>
  <ScaleCrop>false</ScaleCrop>
  <LinksUpToDate>false</LinksUpToDate>
  <CharactersWithSpaces>5106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2023-09-04T03:01:00Z</dcterms:created>
  <dc:creator>cszx-wugn</dc:creator>
  <cp:lastModifiedBy>胜杰</cp:lastModifiedBy>
  <dcterms:modified xsi:type="dcterms:W3CDTF">2023-09-08T04:34:54Z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358B15EC46DC4AB881B815B7DFEBF0F1_13</vt:lpwstr>
  </property>
</Properties>
</file>