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60" w:lineRule="exact"/>
        <w:ind w:firstLine="0" w:firstLineChars="0"/>
        <w:jc w:val="both"/>
        <w:textAlignment w:val="auto"/>
        <w:rPr>
          <w:rFonts w:hint="eastAsia" w:ascii="CESI黑体-GB2312" w:hAnsi="CESI黑体-GB2312" w:eastAsia="CESI黑体-GB2312" w:cs="CESI黑体-GB2312"/>
          <w:b w:val="0"/>
          <w:bCs w:val="0"/>
          <w:color w:val="auto"/>
          <w:sz w:val="32"/>
          <w:szCs w:val="32"/>
          <w:highlight w:val="none"/>
          <w:lang w:val="en-US" w:eastAsia="zh-CN"/>
        </w:rPr>
      </w:pPr>
      <w:r>
        <w:rPr>
          <w:rFonts w:hint="eastAsia" w:ascii="CESI黑体-GB2312" w:hAnsi="CESI黑体-GB2312" w:eastAsia="CESI黑体-GB2312" w:cs="CESI黑体-GB2312"/>
          <w:b w:val="0"/>
          <w:bCs w:val="0"/>
          <w:color w:val="auto"/>
          <w:sz w:val="32"/>
          <w:szCs w:val="32"/>
          <w:highlight w:val="none"/>
          <w:lang w:val="en-US" w:eastAsia="zh-CN"/>
        </w:rPr>
        <w:t>附件1</w:t>
      </w:r>
    </w:p>
    <w:p>
      <w:pPr>
        <w:pStyle w:val="2"/>
        <w:spacing w:beforeLines="0" w:afterLines="0" w:line="560" w:lineRule="exact"/>
        <w:rPr>
          <w:rFonts w:hint="eastAsia"/>
          <w:color w:val="auto"/>
          <w:lang w:val="en"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560" w:lineRule="exact"/>
        <w:ind w:left="0" w:right="0"/>
        <w:jc w:val="center"/>
        <w:textAlignment w:val="auto"/>
        <w:rPr>
          <w:rStyle w:val="14"/>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r>
        <w:rPr>
          <w:rStyle w:val="14"/>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关于促进文体娱乐业高质量发展的若干措施</w:t>
      </w:r>
    </w:p>
    <w:p>
      <w:pPr>
        <w:snapToGrid/>
        <w:spacing w:beforeLines="0" w:afterLines="0" w:line="560" w:lineRule="exact"/>
        <w:ind w:firstLine="0" w:firstLineChars="0"/>
        <w:jc w:val="center"/>
        <w:rPr>
          <w:rFonts w:hint="eastAsia" w:ascii="楷体_GB2312" w:hAnsi="楷体_GB2312" w:eastAsia="楷体_GB2312" w:cs="楷体_GB2312"/>
          <w:b w:val="0"/>
          <w:bCs w:val="0"/>
          <w:i w:val="0"/>
          <w:caps w:val="0"/>
          <w:color w:val="auto"/>
          <w:spacing w:val="0"/>
          <w:sz w:val="32"/>
          <w:szCs w:val="24"/>
          <w:shd w:val="clear"/>
          <w:lang w:eastAsia="zh-CN"/>
        </w:rPr>
      </w:pPr>
      <w:r>
        <w:rPr>
          <w:rFonts w:hint="eastAsia" w:ascii="楷体_GB2312" w:hAnsi="楷体_GB2312" w:eastAsia="楷体_GB2312" w:cs="楷体_GB2312"/>
          <w:b w:val="0"/>
          <w:bCs w:val="0"/>
          <w:i w:val="0"/>
          <w:caps w:val="0"/>
          <w:color w:val="auto"/>
          <w:spacing w:val="0"/>
          <w:sz w:val="32"/>
          <w:szCs w:val="24"/>
          <w:shd w:val="clear"/>
          <w:lang w:eastAsia="zh-CN"/>
        </w:rPr>
        <w:t>（征求意见稿）</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560" w:lineRule="exact"/>
        <w:ind w:right="0"/>
        <w:jc w:val="center"/>
        <w:textAlignment w:val="auto"/>
        <w:rPr>
          <w:rFonts w:hint="eastAsia" w:ascii="仿宋_GB2312" w:hAnsi="Times New Roman" w:eastAsia="仿宋_GB2312" w:cs="仿宋_GB2312"/>
          <w:color w:val="auto"/>
          <w:kern w:val="2"/>
          <w:sz w:val="32"/>
          <w:szCs w:val="32"/>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60" w:lineRule="exact"/>
        <w:ind w:left="0" w:firstLine="640" w:firstLineChars="200"/>
        <w:jc w:val="both"/>
        <w:textAlignment w:val="auto"/>
        <w:rPr>
          <w:rFonts w:hint="eastAsia" w:ascii="仿宋_GB2312" w:hAnsi="Times New Roman" w:eastAsia="仿宋_GB2312" w:cs="仿宋_GB2312"/>
          <w:color w:val="auto"/>
          <w:kern w:val="2"/>
          <w:sz w:val="32"/>
          <w:szCs w:val="32"/>
          <w:highlight w:val="none"/>
          <w:u w:val="none"/>
          <w:lang w:val="en-US" w:eastAsia="zh-CN" w:bidi="ar"/>
        </w:rPr>
      </w:pPr>
      <w:r>
        <w:rPr>
          <w:rFonts w:hint="eastAsia" w:ascii="仿宋_GB2312" w:hAnsi="Times New Roman" w:eastAsia="仿宋_GB2312" w:cs="仿宋_GB2312"/>
          <w:color w:val="auto"/>
          <w:kern w:val="2"/>
          <w:sz w:val="32"/>
          <w:szCs w:val="32"/>
          <w:highlight w:val="none"/>
          <w:u w:val="none"/>
          <w:lang w:val="en-US" w:eastAsia="zh-CN" w:bidi="ar"/>
        </w:rPr>
        <w:t>为全面贯彻落实国家和省、市有关经济社会发展决策部署，加快推进我市文化、体育和娱乐业（以下简称“文体娱乐业”）高质量发展，更好满足市民精神文化和健身休闲需求，根据《关于加快文化产业创新发展的实施意见》《关于加快体育产业创新发展若干措施》，结合我市文体娱乐业发展实际，制定本措施。</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60" w:lineRule="exact"/>
        <w:ind w:left="0" w:firstLine="640" w:firstLineChars="200"/>
        <w:jc w:val="both"/>
        <w:textAlignment w:val="auto"/>
        <w:rPr>
          <w:rFonts w:hint="eastAsia" w:ascii="仿宋_GB2312" w:eastAsia="仿宋_GB2312" w:cs="仿宋_GB2312"/>
          <w:color w:val="auto"/>
          <w:kern w:val="2"/>
          <w:sz w:val="32"/>
          <w:szCs w:val="32"/>
          <w:u w:val="none"/>
          <w:lang w:val="en-US" w:eastAsia="zh-CN" w:bidi="ar"/>
        </w:rPr>
      </w:pPr>
      <w:r>
        <w:rPr>
          <w:rFonts w:hint="eastAsia" w:ascii="CESI黑体-GB2312" w:hAnsi="CESI黑体-GB2312" w:eastAsia="CESI黑体-GB2312" w:cs="CESI黑体-GB2312"/>
          <w:b w:val="0"/>
          <w:bCs w:val="0"/>
          <w:color w:val="auto"/>
          <w:kern w:val="2"/>
          <w:sz w:val="32"/>
          <w:szCs w:val="32"/>
          <w:highlight w:val="none"/>
          <w:u w:val="none"/>
          <w:lang w:val="en-US" w:eastAsia="zh-CN" w:bidi="ar-SA"/>
        </w:rPr>
        <w:t>一、鼓励行业企业纳统入库</w:t>
      </w:r>
      <w:r>
        <w:rPr>
          <w:rFonts w:hint="eastAsia" w:ascii="楷体_GB2312" w:hAnsi="楷体_GB2312" w:eastAsia="楷体_GB2312" w:cs="楷体_GB2312"/>
          <w:b w:val="0"/>
          <w:bCs w:val="0"/>
          <w:color w:val="auto"/>
          <w:kern w:val="2"/>
          <w:sz w:val="32"/>
          <w:szCs w:val="32"/>
          <w:highlight w:val="none"/>
          <w:u w:val="none"/>
          <w:lang w:val="en-US" w:eastAsia="zh-CN" w:bidi="ar-SA"/>
        </w:rPr>
        <w:t>。</w:t>
      </w:r>
      <w:r>
        <w:rPr>
          <w:rFonts w:hint="eastAsia" w:ascii="仿宋_GB2312" w:eastAsia="仿宋_GB2312" w:cs="仿宋_GB2312"/>
          <w:color w:val="auto"/>
          <w:kern w:val="2"/>
          <w:sz w:val="32"/>
          <w:szCs w:val="32"/>
          <w:u w:val="none"/>
          <w:lang w:val="en-US" w:eastAsia="zh-CN" w:bidi="ar"/>
        </w:rPr>
        <w:t>对有升级“规上”潜力的</w:t>
      </w:r>
      <w:r>
        <w:rPr>
          <w:rFonts w:hint="eastAsia" w:ascii="仿宋_GB2312" w:hAnsi="Times New Roman" w:eastAsia="仿宋_GB2312" w:cs="仿宋_GB2312"/>
          <w:color w:val="auto"/>
          <w:kern w:val="2"/>
          <w:sz w:val="32"/>
          <w:szCs w:val="32"/>
          <w:u w:val="none"/>
          <w:lang w:val="en-US" w:eastAsia="zh-CN" w:bidi="ar"/>
        </w:rPr>
        <w:t>文体娱乐业企业</w:t>
      </w:r>
      <w:r>
        <w:rPr>
          <w:rFonts w:hint="eastAsia" w:ascii="仿宋_GB2312" w:hAnsi="Calibri" w:eastAsia="仿宋_GB2312" w:cs="仿宋_GB2312"/>
          <w:color w:val="auto"/>
          <w:kern w:val="2"/>
          <w:sz w:val="32"/>
          <w:szCs w:val="32"/>
          <w:u w:val="none"/>
          <w:lang w:val="en-US" w:eastAsia="zh-CN" w:bidi="ar"/>
        </w:rPr>
        <w:t>，</w:t>
      </w:r>
      <w:r>
        <w:rPr>
          <w:rFonts w:hint="eastAsia" w:ascii="仿宋_GB2312" w:eastAsia="仿宋_GB2312" w:cs="仿宋_GB2312"/>
          <w:color w:val="auto"/>
          <w:kern w:val="2"/>
          <w:sz w:val="32"/>
          <w:szCs w:val="32"/>
          <w:u w:val="none"/>
          <w:lang w:val="en-US" w:eastAsia="zh-CN" w:bidi="ar"/>
        </w:rPr>
        <w:t>加强企业</w:t>
      </w:r>
      <w:r>
        <w:rPr>
          <w:rFonts w:hint="eastAsia" w:ascii="仿宋_GB2312" w:hAnsi="Calibri" w:eastAsia="仿宋_GB2312" w:cs="仿宋_GB2312"/>
          <w:color w:val="auto"/>
          <w:kern w:val="2"/>
          <w:sz w:val="32"/>
          <w:szCs w:val="32"/>
          <w:u w:val="none"/>
          <w:lang w:val="en-US" w:eastAsia="zh-CN" w:bidi="ar"/>
        </w:rPr>
        <w:t>入库培育、指导服务和动态运行监测工作。对首次纳入</w:t>
      </w:r>
      <w:r>
        <w:rPr>
          <w:rFonts w:hint="eastAsia" w:ascii="仿宋_GB2312" w:eastAsia="仿宋_GB2312" w:cs="仿宋_GB2312"/>
          <w:color w:val="auto"/>
          <w:kern w:val="2"/>
          <w:sz w:val="32"/>
          <w:szCs w:val="32"/>
          <w:u w:val="none"/>
          <w:lang w:val="en-US" w:eastAsia="zh-CN" w:bidi="ar"/>
        </w:rPr>
        <w:t>规模以上</w:t>
      </w:r>
      <w:r>
        <w:rPr>
          <w:rFonts w:hint="eastAsia" w:ascii="仿宋_GB2312" w:hAnsi="Calibri" w:eastAsia="仿宋_GB2312" w:cs="仿宋_GB2312"/>
          <w:color w:val="auto"/>
          <w:kern w:val="2"/>
          <w:sz w:val="32"/>
          <w:szCs w:val="32"/>
          <w:u w:val="none"/>
          <w:lang w:val="en-US" w:eastAsia="zh-CN" w:bidi="ar"/>
        </w:rPr>
        <w:t>企业库并于入库次年实现营业收入正增长的</w:t>
      </w:r>
      <w:r>
        <w:rPr>
          <w:rFonts w:hint="eastAsia" w:ascii="仿宋_GB2312" w:hAnsi="Times New Roman" w:eastAsia="仿宋_GB2312" w:cs="仿宋_GB2312"/>
          <w:color w:val="auto"/>
          <w:kern w:val="2"/>
          <w:sz w:val="32"/>
          <w:szCs w:val="32"/>
          <w:u w:val="none"/>
          <w:lang w:val="en-US" w:eastAsia="zh-CN" w:bidi="ar"/>
        </w:rPr>
        <w:t>文体娱乐业企业</w:t>
      </w:r>
      <w:r>
        <w:rPr>
          <w:rFonts w:hint="eastAsia" w:ascii="仿宋_GB2312" w:hAnsi="Calibri" w:eastAsia="仿宋_GB2312" w:cs="仿宋_GB2312"/>
          <w:color w:val="auto"/>
          <w:kern w:val="2"/>
          <w:sz w:val="32"/>
          <w:szCs w:val="32"/>
          <w:u w:val="none"/>
          <w:lang w:val="en-US" w:eastAsia="zh-CN" w:bidi="ar"/>
        </w:rPr>
        <w:t>，</w:t>
      </w:r>
      <w:r>
        <w:rPr>
          <w:rFonts w:hint="eastAsia" w:ascii="仿宋_GB2312" w:hAnsi="Times New Roman" w:eastAsia="仿宋_GB2312" w:cs="仿宋_GB2312"/>
          <w:color w:val="auto"/>
          <w:kern w:val="2"/>
          <w:sz w:val="32"/>
          <w:szCs w:val="32"/>
          <w:u w:val="none"/>
          <w:lang w:val="en-US" w:eastAsia="zh-CN" w:bidi="ar"/>
        </w:rPr>
        <w:t>给予一次性10万元的奖励</w:t>
      </w:r>
      <w:r>
        <w:rPr>
          <w:rFonts w:hint="eastAsia" w:ascii="仿宋_GB2312" w:hAnsi="Calibri" w:eastAsia="仿宋_GB2312" w:cs="仿宋_GB2312"/>
          <w:color w:val="auto"/>
          <w:kern w:val="2"/>
          <w:sz w:val="32"/>
          <w:szCs w:val="32"/>
          <w:u w:val="none"/>
          <w:lang w:val="en-US" w:eastAsia="zh-CN" w:bidi="ar"/>
        </w:rPr>
        <w:t>。</w:t>
      </w:r>
      <w:r>
        <w:rPr>
          <w:rFonts w:hint="eastAsia" w:ascii="仿宋_GB2312" w:hAnsi="Times New Roman" w:eastAsia="仿宋_GB2312" w:cs="仿宋_GB2312"/>
          <w:color w:val="auto"/>
          <w:kern w:val="2"/>
          <w:sz w:val="32"/>
          <w:szCs w:val="32"/>
          <w:u w:val="none"/>
          <w:lang w:val="en-US" w:eastAsia="zh-CN" w:bidi="ar"/>
        </w:rPr>
        <w:t>支持我市大型企业布局文体娱乐业业务，成立</w:t>
      </w:r>
      <w:r>
        <w:rPr>
          <w:rFonts w:hint="eastAsia" w:ascii="仿宋_GB2312" w:hAnsi="Times New Roman" w:eastAsia="仿宋_GB2312" w:cs="仿宋_GB2312"/>
          <w:color w:val="auto"/>
          <w:kern w:val="2"/>
          <w:sz w:val="32"/>
          <w:szCs w:val="32"/>
          <w:u w:val="none"/>
          <w:lang w:val="en" w:eastAsia="zh-CN" w:bidi="ar"/>
        </w:rPr>
        <w:t>文体娱乐业</w:t>
      </w:r>
      <w:r>
        <w:rPr>
          <w:rFonts w:hint="eastAsia" w:ascii="仿宋_GB2312" w:hAnsi="Times New Roman" w:eastAsia="仿宋_GB2312" w:cs="仿宋_GB2312"/>
          <w:color w:val="auto"/>
          <w:kern w:val="2"/>
          <w:sz w:val="32"/>
          <w:szCs w:val="32"/>
          <w:u w:val="none"/>
          <w:lang w:val="en-US" w:eastAsia="zh-CN" w:bidi="ar"/>
        </w:rPr>
        <w:t>专营公司。鼓励我市具有文体娱乐服务能力的机构或企业注册成立法人单位并提供文体娱乐业服务。对</w:t>
      </w:r>
      <w:r>
        <w:rPr>
          <w:rFonts w:hint="eastAsia" w:ascii="仿宋_GB2312" w:hAnsi="Times New Roman" w:eastAsia="仿宋_GB2312" w:cs="仿宋_GB2312"/>
          <w:color w:val="auto"/>
          <w:kern w:val="2"/>
          <w:sz w:val="32"/>
          <w:szCs w:val="32"/>
          <w:highlight w:val="none"/>
          <w:u w:val="none"/>
          <w:lang w:val="en-US" w:eastAsia="zh-CN" w:bidi="ar"/>
        </w:rPr>
        <w:t>首次</w:t>
      </w:r>
      <w:r>
        <w:rPr>
          <w:rFonts w:hint="eastAsia" w:ascii="仿宋_GB2312" w:hAnsi="Times New Roman" w:eastAsia="仿宋_GB2312" w:cs="仿宋_GB2312"/>
          <w:color w:val="auto"/>
          <w:kern w:val="2"/>
          <w:sz w:val="32"/>
          <w:szCs w:val="32"/>
          <w:u w:val="none"/>
          <w:lang w:val="en-US" w:eastAsia="zh-CN" w:bidi="ar"/>
        </w:rPr>
        <w:t>纳入我市文体娱乐业企业</w:t>
      </w:r>
      <w:r>
        <w:rPr>
          <w:rFonts w:hint="eastAsia" w:ascii="仿宋_GB2312" w:hAnsi="Calibri" w:eastAsia="仿宋_GB2312" w:cs="仿宋_GB2312"/>
          <w:color w:val="auto"/>
          <w:kern w:val="2"/>
          <w:sz w:val="32"/>
          <w:szCs w:val="32"/>
          <w:u w:val="none"/>
          <w:lang w:val="en-US" w:eastAsia="zh-CN" w:bidi="ar"/>
        </w:rPr>
        <w:t>库</w:t>
      </w:r>
      <w:r>
        <w:rPr>
          <w:rFonts w:hint="eastAsia" w:ascii="仿宋_GB2312" w:eastAsia="仿宋_GB2312" w:cs="仿宋_GB2312"/>
          <w:color w:val="auto"/>
          <w:kern w:val="2"/>
          <w:sz w:val="32"/>
          <w:szCs w:val="32"/>
          <w:u w:val="none"/>
          <w:lang w:val="en-US" w:eastAsia="zh-CN" w:bidi="ar"/>
        </w:rPr>
        <w:t>的</w:t>
      </w:r>
      <w:r>
        <w:rPr>
          <w:rFonts w:hint="eastAsia" w:ascii="仿宋_GB2312" w:hAnsi="Times New Roman" w:eastAsia="仿宋_GB2312" w:cs="仿宋_GB2312"/>
          <w:color w:val="auto"/>
          <w:kern w:val="2"/>
          <w:sz w:val="32"/>
          <w:szCs w:val="32"/>
          <w:u w:val="none"/>
          <w:lang w:val="en-US" w:eastAsia="zh-CN" w:bidi="ar"/>
        </w:rPr>
        <w:t>独立法人机构</w:t>
      </w:r>
      <w:r>
        <w:rPr>
          <w:rFonts w:hint="eastAsia" w:ascii="仿宋_GB2312" w:eastAsia="仿宋_GB2312" w:cs="仿宋_GB2312"/>
          <w:color w:val="auto"/>
          <w:kern w:val="2"/>
          <w:sz w:val="32"/>
          <w:szCs w:val="32"/>
          <w:u w:val="none"/>
          <w:lang w:val="en-US" w:eastAsia="zh-CN" w:bidi="ar"/>
        </w:rPr>
        <w:t>，且当年营收超过2000万元（含）的，一次性给予营业收入2％、最高100万元的奖励。</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60" w:lineRule="exact"/>
        <w:ind w:left="0" w:firstLine="640" w:firstLineChars="200"/>
        <w:jc w:val="both"/>
        <w:textAlignment w:val="auto"/>
        <w:rPr>
          <w:rFonts w:hint="eastAsia" w:ascii="仿宋_GB2312" w:hAnsi="Times New Roman" w:eastAsia="仿宋_GB2312" w:cs="仿宋_GB2312"/>
          <w:color w:val="auto"/>
          <w:kern w:val="2"/>
          <w:sz w:val="32"/>
          <w:szCs w:val="32"/>
          <w:highlight w:val="none"/>
          <w:u w:val="none"/>
          <w:lang w:val="en-US" w:eastAsia="zh-CN" w:bidi="ar"/>
        </w:rPr>
      </w:pPr>
      <w:r>
        <w:rPr>
          <w:rFonts w:hint="eastAsia" w:ascii="CESI黑体-GB2312" w:hAnsi="CESI黑体-GB2312" w:eastAsia="CESI黑体-GB2312" w:cs="CESI黑体-GB2312"/>
          <w:b w:val="0"/>
          <w:bCs w:val="0"/>
          <w:color w:val="auto"/>
          <w:kern w:val="2"/>
          <w:sz w:val="32"/>
          <w:szCs w:val="32"/>
          <w:highlight w:val="none"/>
          <w:u w:val="none"/>
          <w:lang w:val="en-US" w:eastAsia="zh-CN" w:bidi="ar-SA"/>
        </w:rPr>
        <w:t>二、支持企业做大做强</w:t>
      </w:r>
      <w:r>
        <w:rPr>
          <w:rFonts w:hint="eastAsia" w:ascii="楷体_GB2312" w:hAnsi="楷体_GB2312" w:eastAsia="楷体_GB2312" w:cs="楷体_GB2312"/>
          <w:b w:val="0"/>
          <w:bCs w:val="0"/>
          <w:color w:val="auto"/>
          <w:kern w:val="2"/>
          <w:sz w:val="32"/>
          <w:szCs w:val="32"/>
          <w:u w:val="none"/>
          <w:lang w:val="en-US" w:eastAsia="zh-CN" w:bidi="ar-SA"/>
        </w:rPr>
        <w:t>。</w:t>
      </w:r>
      <w:r>
        <w:rPr>
          <w:rFonts w:hint="eastAsia" w:ascii="仿宋_GB2312" w:hAnsi="Times New Roman" w:eastAsia="仿宋_GB2312" w:cs="仿宋_GB2312"/>
          <w:b w:val="0"/>
          <w:bCs w:val="0"/>
          <w:color w:val="auto"/>
          <w:sz w:val="32"/>
          <w:szCs w:val="32"/>
          <w:highlight w:val="none"/>
          <w:u w:val="none"/>
          <w:lang w:val="en-US" w:eastAsia="zh-CN" w:bidi="ar"/>
        </w:rPr>
        <w:t>支持文体娱乐业与利用数字技术开发新的消费场景、提供数字文化产品，鼓励</w:t>
      </w:r>
      <w:r>
        <w:rPr>
          <w:rFonts w:hint="eastAsia" w:ascii="仿宋_GB2312" w:eastAsia="仿宋_GB2312" w:cs="仿宋_GB2312"/>
          <w:color w:val="auto"/>
          <w:kern w:val="2"/>
          <w:sz w:val="32"/>
          <w:szCs w:val="32"/>
          <w:u w:val="none"/>
          <w:lang w:val="en-US" w:eastAsia="zh-CN" w:bidi="ar"/>
        </w:rPr>
        <w:t>规模以上</w:t>
      </w:r>
      <w:r>
        <w:rPr>
          <w:rFonts w:hint="eastAsia" w:ascii="仿宋_GB2312" w:hAnsi="Times New Roman" w:eastAsia="仿宋_GB2312" w:cs="仿宋_GB2312"/>
          <w:b w:val="0"/>
          <w:bCs w:val="0"/>
          <w:color w:val="auto"/>
          <w:sz w:val="32"/>
          <w:szCs w:val="32"/>
          <w:highlight w:val="none"/>
          <w:u w:val="none"/>
          <w:lang w:val="en-US" w:eastAsia="zh-CN" w:bidi="ar"/>
        </w:rPr>
        <w:t>文体娱乐业企业通过优化文化产品供给、打造文化IP等途径做大做强。</w:t>
      </w:r>
      <w:r>
        <w:rPr>
          <w:rFonts w:hint="eastAsia" w:ascii="仿宋_GB2312" w:hAnsi="Times New Roman" w:eastAsia="仿宋_GB2312" w:cs="仿宋_GB2312"/>
          <w:color w:val="auto"/>
          <w:kern w:val="2"/>
          <w:sz w:val="32"/>
          <w:szCs w:val="32"/>
          <w:highlight w:val="none"/>
          <w:u w:val="none"/>
          <w:lang w:val="en-US" w:eastAsia="zh-CN" w:bidi="ar"/>
        </w:rPr>
        <w:t>支持文体娱乐业企业开拓新业务、培育新业态、实施新模式，提升文体娱乐业创新发展能力。对上年度营业收入位列全市前</w:t>
      </w:r>
      <w:r>
        <w:rPr>
          <w:rFonts w:hint="eastAsia" w:ascii="仿宋_GB2312" w:hAnsi="Times New Roman" w:cs="仿宋_GB2312"/>
          <w:color w:val="auto"/>
          <w:kern w:val="2"/>
          <w:sz w:val="32"/>
          <w:szCs w:val="32"/>
          <w:highlight w:val="none"/>
          <w:u w:val="none"/>
          <w:lang w:val="en-US" w:eastAsia="zh-CN" w:bidi="ar"/>
        </w:rPr>
        <w:t>3</w:t>
      </w:r>
      <w:r>
        <w:rPr>
          <w:rFonts w:hint="eastAsia" w:ascii="仿宋_GB2312" w:hAnsi="Times New Roman" w:eastAsia="仿宋_GB2312" w:cs="仿宋_GB2312"/>
          <w:color w:val="auto"/>
          <w:kern w:val="2"/>
          <w:sz w:val="32"/>
          <w:szCs w:val="32"/>
          <w:highlight w:val="none"/>
          <w:u w:val="none"/>
          <w:lang w:val="en-US" w:eastAsia="zh-CN" w:bidi="ar"/>
        </w:rPr>
        <w:t>0强且营业收入增速不低于当年全市文体娱乐业平均增速2倍以上的，或上年度营业收入增速超过100%的规模以上文体娱乐业企业，按上年度营业收入增量的1%，给予最高100万元奖励。</w:t>
      </w:r>
    </w:p>
    <w:p>
      <w:pPr>
        <w:spacing w:beforeLines="0" w:afterLines="0" w:line="560" w:lineRule="exact"/>
        <w:ind w:left="0" w:firstLine="640" w:firstLineChars="200"/>
        <w:jc w:val="left"/>
        <w:rPr>
          <w:rFonts w:hint="eastAsia" w:ascii="仿宋" w:hAnsi="仿宋" w:eastAsia="仿宋" w:cs="仿宋"/>
          <w:color w:val="auto"/>
          <w:sz w:val="32"/>
          <w:szCs w:val="32"/>
          <w:lang w:eastAsia="zh-CN"/>
        </w:rPr>
      </w:pPr>
      <w:r>
        <w:rPr>
          <w:rFonts w:hint="eastAsia" w:ascii="CESI黑体-GB2312" w:hAnsi="CESI黑体-GB2312" w:eastAsia="CESI黑体-GB2312" w:cs="CESI黑体-GB2312"/>
          <w:b w:val="0"/>
          <w:bCs w:val="0"/>
          <w:color w:val="auto"/>
          <w:kern w:val="2"/>
          <w:sz w:val="32"/>
          <w:szCs w:val="32"/>
          <w:highlight w:val="none"/>
          <w:u w:val="none"/>
          <w:lang w:val="en-US" w:eastAsia="zh-CN" w:bidi="ar-SA"/>
        </w:rPr>
        <w:t>三、培育引进优质企业</w:t>
      </w:r>
      <w:r>
        <w:rPr>
          <w:rFonts w:hint="eastAsia" w:ascii="楷体_GB2312" w:hAnsi="楷体_GB2312" w:eastAsia="楷体_GB2312" w:cs="楷体_GB2312"/>
          <w:b w:val="0"/>
          <w:bCs w:val="0"/>
          <w:color w:val="auto"/>
          <w:kern w:val="2"/>
          <w:sz w:val="32"/>
          <w:szCs w:val="32"/>
          <w:u w:val="none"/>
          <w:lang w:val="en-US" w:eastAsia="zh-CN" w:bidi="ar-SA"/>
        </w:rPr>
        <w:t>。</w:t>
      </w:r>
      <w:r>
        <w:rPr>
          <w:rFonts w:hint="eastAsia" w:ascii="仿宋_GB2312" w:hAnsi="Times New Roman" w:eastAsia="仿宋_GB2312" w:cs="仿宋_GB2312"/>
          <w:color w:val="auto"/>
          <w:kern w:val="2"/>
          <w:sz w:val="32"/>
          <w:szCs w:val="32"/>
          <w:highlight w:val="none"/>
          <w:u w:val="none"/>
          <w:lang w:val="en-US" w:eastAsia="zh-CN" w:bidi="ar"/>
        </w:rPr>
        <w:t>围绕文体娱乐业关键领域和环节，加大文体娱乐业招商引资力度，吸引国内外知名文体娱乐业企业入驻深圳或来深布局文体娱乐业务。支持</w:t>
      </w:r>
      <w:r>
        <w:rPr>
          <w:rFonts w:hint="eastAsia" w:ascii="仿宋_GB2312" w:hAnsi="Times New Roman" w:eastAsia="仿宋_GB2312" w:cs="仿宋_GB2312"/>
          <w:b w:val="0"/>
          <w:bCs w:val="0"/>
          <w:color w:val="auto"/>
          <w:kern w:val="2"/>
          <w:sz w:val="32"/>
          <w:szCs w:val="32"/>
          <w:highlight w:val="none"/>
          <w:u w:val="none"/>
          <w:lang w:val="en-US" w:eastAsia="zh-CN" w:bidi="ar"/>
        </w:rPr>
        <w:t>国</w:t>
      </w:r>
      <w:r>
        <w:rPr>
          <w:rFonts w:hint="eastAsia" w:ascii="仿宋_GB2312" w:hAnsi="Times New Roman" w:eastAsia="仿宋_GB2312" w:cs="仿宋_GB2312"/>
          <w:color w:val="auto"/>
          <w:kern w:val="2"/>
          <w:sz w:val="32"/>
          <w:szCs w:val="32"/>
          <w:highlight w:val="none"/>
          <w:u w:val="none"/>
          <w:lang w:val="en-US" w:eastAsia="zh-CN" w:bidi="ar"/>
        </w:rPr>
        <w:t>内外知名文体娱乐业企业落户深圳或在深圳建立子公司、区域总部。对新引进的国内外领军企业或相关机构，首年营业收入超2000万元的，给予一次性最高200万元奖励。</w:t>
      </w:r>
      <w:r>
        <w:rPr>
          <w:rFonts w:hint="eastAsia" w:ascii="仿宋" w:hAnsi="仿宋" w:eastAsia="仿宋" w:cs="仿宋"/>
          <w:color w:val="auto"/>
          <w:sz w:val="32"/>
          <w:szCs w:val="32"/>
        </w:rPr>
        <w:t>对</w:t>
      </w:r>
      <w:r>
        <w:rPr>
          <w:rFonts w:hint="eastAsia" w:ascii="仿宋" w:hAnsi="仿宋" w:eastAsia="仿宋" w:cs="仿宋"/>
          <w:color w:val="auto"/>
          <w:sz w:val="32"/>
          <w:szCs w:val="32"/>
          <w:lang w:eastAsia="zh-CN"/>
        </w:rPr>
        <w:t>策划推动并协助引进上述优质企业，且</w:t>
      </w:r>
      <w:r>
        <w:rPr>
          <w:rFonts w:hint="eastAsia" w:ascii="仿宋" w:hAnsi="仿宋" w:eastAsia="仿宋" w:cs="仿宋"/>
          <w:color w:val="auto"/>
          <w:sz w:val="32"/>
          <w:szCs w:val="32"/>
        </w:rPr>
        <w:t>提前</w:t>
      </w:r>
      <w:r>
        <w:rPr>
          <w:rFonts w:hint="eastAsia" w:ascii="仿宋" w:hAnsi="仿宋" w:eastAsia="仿宋" w:cs="仿宋"/>
          <w:color w:val="auto"/>
          <w:sz w:val="32"/>
          <w:szCs w:val="32"/>
          <w:lang w:eastAsia="zh-CN"/>
        </w:rPr>
        <w:t>向市文化广电旅游局备案</w:t>
      </w:r>
      <w:r>
        <w:rPr>
          <w:rFonts w:hint="eastAsia" w:ascii="仿宋" w:hAnsi="仿宋" w:eastAsia="仿宋" w:cs="仿宋"/>
          <w:color w:val="auto"/>
          <w:sz w:val="32"/>
          <w:szCs w:val="32"/>
        </w:rPr>
        <w:t>的机构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给予</w:t>
      </w:r>
      <w:r>
        <w:rPr>
          <w:rFonts w:hint="eastAsia" w:ascii="仿宋" w:hAnsi="仿宋" w:eastAsia="仿宋" w:cs="仿宋"/>
          <w:color w:val="auto"/>
          <w:sz w:val="32"/>
          <w:szCs w:val="32"/>
          <w:lang w:eastAsia="zh-CN"/>
        </w:rPr>
        <w:t>一次性</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0万元奖励</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60" w:lineRule="exact"/>
        <w:ind w:left="0" w:firstLine="640" w:firstLineChars="200"/>
        <w:jc w:val="both"/>
        <w:textAlignment w:val="auto"/>
        <w:rPr>
          <w:rFonts w:hint="default" w:ascii="仿宋_GB2312" w:hAnsi="Times New Roman" w:eastAsia="仿宋_GB2312" w:cs="仿宋_GB2312"/>
          <w:color w:val="auto"/>
          <w:kern w:val="2"/>
          <w:sz w:val="32"/>
          <w:szCs w:val="32"/>
          <w:highlight w:val="none"/>
          <w:u w:val="none"/>
          <w:lang w:val="en-US" w:eastAsia="zh-CN" w:bidi="ar"/>
        </w:rPr>
      </w:pPr>
      <w:r>
        <w:rPr>
          <w:rFonts w:hint="eastAsia" w:ascii="CESI黑体-GB2312" w:hAnsi="CESI黑体-GB2312" w:eastAsia="CESI黑体-GB2312" w:cs="CESI黑体-GB2312"/>
          <w:b w:val="0"/>
          <w:bCs w:val="0"/>
          <w:color w:val="auto"/>
          <w:kern w:val="2"/>
          <w:sz w:val="32"/>
          <w:szCs w:val="32"/>
          <w:highlight w:val="none"/>
          <w:u w:val="none"/>
          <w:lang w:val="en-US" w:eastAsia="zh-CN" w:bidi="ar-SA"/>
        </w:rPr>
        <w:t>四、打造多元演艺空间</w:t>
      </w:r>
      <w:r>
        <w:rPr>
          <w:rFonts w:hint="eastAsia" w:ascii="楷体_GB2312" w:hAnsi="楷体_GB2312" w:eastAsia="楷体_GB2312" w:cs="楷体_GB2312"/>
          <w:b w:val="0"/>
          <w:bCs w:val="0"/>
          <w:color w:val="auto"/>
          <w:kern w:val="2"/>
          <w:sz w:val="32"/>
          <w:szCs w:val="32"/>
          <w:u w:val="none"/>
          <w:lang w:val="en-US" w:eastAsia="zh-CN" w:bidi="ar-SA"/>
        </w:rPr>
        <w:t>。</w:t>
      </w:r>
      <w:r>
        <w:rPr>
          <w:rFonts w:hint="eastAsia" w:ascii="仿宋_GB2312" w:hAnsi="Times New Roman" w:eastAsia="仿宋_GB2312" w:cs="仿宋_GB2312"/>
          <w:color w:val="auto"/>
          <w:kern w:val="2"/>
          <w:sz w:val="32"/>
          <w:szCs w:val="32"/>
          <w:highlight w:val="none"/>
          <w:u w:val="none"/>
          <w:lang w:val="en-US" w:eastAsia="zh-CN" w:bidi="ar"/>
        </w:rPr>
        <w:t>鼓励传统剧场、主题公园、园区街区、文化文物单位、商业综合体等活化空间利用、丰富演出业态，发展体验式、互动式、沉浸式演艺项目，打造文化旅游深度融合的创新性驻场演出或体验场景。制定演艺新空间建设规范，为演艺新空间设立提供政策支持，积极培育多元演艺空间。对符合相关标准和规范，上年度演出及活动场次超过100场</w:t>
      </w:r>
      <w:r>
        <w:rPr>
          <w:rFonts w:hint="eastAsia" w:ascii="仿宋" w:hAnsi="仿宋" w:eastAsia="仿宋" w:cs="仿宋"/>
          <w:color w:val="auto"/>
          <w:sz w:val="32"/>
          <w:szCs w:val="32"/>
          <w:lang w:eastAsia="zh-CN"/>
        </w:rPr>
        <w:t>，</w:t>
      </w:r>
      <w:bookmarkStart w:id="0" w:name="_GoBack"/>
      <w:bookmarkEnd w:id="0"/>
      <w:r>
        <w:rPr>
          <w:rFonts w:hint="eastAsia" w:ascii="仿宋" w:hAnsi="仿宋" w:eastAsia="仿宋" w:cs="仿宋"/>
          <w:color w:val="auto"/>
          <w:sz w:val="32"/>
          <w:szCs w:val="32"/>
          <w:lang w:eastAsia="zh-CN"/>
        </w:rPr>
        <w:t>且</w:t>
      </w:r>
      <w:r>
        <w:rPr>
          <w:rFonts w:hint="eastAsia" w:ascii="仿宋" w:hAnsi="仿宋" w:eastAsia="仿宋" w:cs="仿宋"/>
          <w:color w:val="auto"/>
          <w:sz w:val="32"/>
          <w:szCs w:val="32"/>
        </w:rPr>
        <w:t>每场售票</w:t>
      </w:r>
      <w:r>
        <w:rPr>
          <w:rFonts w:hint="eastAsia" w:ascii="仿宋" w:hAnsi="仿宋" w:eastAsia="仿宋" w:cs="仿宋"/>
          <w:color w:val="auto"/>
          <w:sz w:val="32"/>
          <w:szCs w:val="32"/>
          <w:lang w:eastAsia="zh-CN"/>
        </w:rPr>
        <w:t>不低于</w:t>
      </w:r>
      <w:r>
        <w:rPr>
          <w:rFonts w:hint="eastAsia" w:ascii="仿宋" w:hAnsi="仿宋" w:eastAsia="仿宋" w:cs="仿宋"/>
          <w:color w:val="auto"/>
          <w:sz w:val="32"/>
          <w:szCs w:val="32"/>
        </w:rPr>
        <w:t>100张</w:t>
      </w:r>
      <w:r>
        <w:rPr>
          <w:rFonts w:hint="eastAsia" w:ascii="仿宋_GB2312" w:hAnsi="Times New Roman" w:eastAsia="仿宋_GB2312" w:cs="仿宋_GB2312"/>
          <w:color w:val="auto"/>
          <w:kern w:val="2"/>
          <w:sz w:val="32"/>
          <w:szCs w:val="32"/>
          <w:highlight w:val="none"/>
          <w:u w:val="none"/>
          <w:lang w:val="en-US" w:eastAsia="zh-CN" w:bidi="ar"/>
        </w:rPr>
        <w:t>的新型演艺空间，</w:t>
      </w:r>
      <w:r>
        <w:rPr>
          <w:rFonts w:hint="eastAsia" w:ascii="仿宋" w:hAnsi="仿宋" w:eastAsia="仿宋" w:cs="仿宋"/>
          <w:color w:val="auto"/>
          <w:sz w:val="32"/>
          <w:szCs w:val="32"/>
        </w:rPr>
        <w:t>按照</w:t>
      </w:r>
      <w:r>
        <w:rPr>
          <w:rFonts w:hint="eastAsia" w:ascii="仿宋" w:hAnsi="仿宋" w:eastAsia="仿宋" w:cs="仿宋"/>
          <w:color w:val="auto"/>
          <w:sz w:val="32"/>
          <w:szCs w:val="32"/>
          <w:lang w:eastAsia="zh-CN"/>
        </w:rPr>
        <w:t>实际</w:t>
      </w:r>
      <w:r>
        <w:rPr>
          <w:rFonts w:hint="eastAsia" w:ascii="仿宋" w:hAnsi="仿宋" w:eastAsia="仿宋" w:cs="仿宋"/>
          <w:color w:val="auto"/>
          <w:sz w:val="32"/>
          <w:szCs w:val="32"/>
        </w:rPr>
        <w:t>场次给予最高100万元资助。</w:t>
      </w:r>
    </w:p>
    <w:p>
      <w:pPr>
        <w:keepNext w:val="0"/>
        <w:keepLines w:val="0"/>
        <w:pageBreakBefore w:val="0"/>
        <w:widowControl/>
        <w:numPr>
          <w:ilvl w:val="-1"/>
          <w:numId w:val="0"/>
        </w:numPr>
        <w:kinsoku/>
        <w:wordWrap/>
        <w:overflowPunct/>
        <w:topLinePunct w:val="0"/>
        <w:autoSpaceDE/>
        <w:autoSpaceDN/>
        <w:bidi w:val="0"/>
        <w:adjustRightInd/>
        <w:snapToGrid/>
        <w:spacing w:beforeLines="0" w:afterLines="0" w:line="560" w:lineRule="exact"/>
        <w:ind w:left="0" w:firstLine="640" w:firstLineChars="200"/>
        <w:jc w:val="left"/>
        <w:textAlignment w:val="auto"/>
        <w:rPr>
          <w:rFonts w:hint="eastAsia" w:ascii="仿宋_GB2312" w:hAnsi="Times New Roman" w:eastAsia="仿宋_GB2312" w:cs="仿宋_GB2312"/>
          <w:i w:val="0"/>
          <w:caps w:val="0"/>
          <w:color w:val="auto"/>
          <w:spacing w:val="0"/>
          <w:sz w:val="32"/>
          <w:szCs w:val="32"/>
          <w:highlight w:val="none"/>
          <w:shd w:val="clear"/>
          <w:lang w:eastAsia="zh-CN" w:bidi="ar"/>
        </w:rPr>
      </w:pPr>
      <w:r>
        <w:rPr>
          <w:rFonts w:hint="eastAsia" w:ascii="CESI黑体-GB2312" w:hAnsi="CESI黑体-GB2312" w:eastAsia="CESI黑体-GB2312" w:cs="CESI黑体-GB2312"/>
          <w:b w:val="0"/>
          <w:bCs w:val="0"/>
          <w:color w:val="auto"/>
          <w:kern w:val="2"/>
          <w:sz w:val="32"/>
          <w:szCs w:val="32"/>
          <w:highlight w:val="none"/>
          <w:u w:val="none"/>
          <w:lang w:val="en-US" w:eastAsia="zh-CN" w:bidi="ar-SA"/>
        </w:rPr>
        <w:t>五、举办大型演艺活动和体育赛事</w:t>
      </w:r>
      <w:r>
        <w:rPr>
          <w:rFonts w:hint="eastAsia" w:ascii="楷体_GB2312" w:hAnsi="楷体_GB2312" w:eastAsia="楷体_GB2312" w:cs="楷体_GB2312"/>
          <w:b w:val="0"/>
          <w:bCs w:val="0"/>
          <w:color w:val="auto"/>
          <w:kern w:val="2"/>
          <w:sz w:val="32"/>
          <w:szCs w:val="32"/>
          <w:u w:val="none"/>
          <w:lang w:val="en-US" w:eastAsia="zh-CN" w:bidi="ar-SA"/>
        </w:rPr>
        <w:t>。</w:t>
      </w:r>
      <w:r>
        <w:rPr>
          <w:rFonts w:hint="eastAsia" w:ascii="仿宋_GB2312" w:hAnsi="Times New Roman" w:eastAsia="仿宋_GB2312" w:cs="仿宋_GB2312"/>
          <w:color w:val="auto"/>
          <w:kern w:val="2"/>
          <w:sz w:val="32"/>
          <w:szCs w:val="32"/>
          <w:highlight w:val="none"/>
          <w:u w:val="none"/>
          <w:lang w:val="en-US" w:eastAsia="zh-CN" w:bidi="ar"/>
        </w:rPr>
        <w:t>支持社会资本打造、引进营业性演出活动，对举办单场售票超过10000张，且票房收入纳入地方国民经济统计的，</w:t>
      </w:r>
      <w:r>
        <w:rPr>
          <w:rFonts w:hint="eastAsia" w:ascii="仿宋" w:hAnsi="仿宋" w:eastAsia="仿宋" w:cs="仿宋"/>
          <w:color w:val="auto"/>
          <w:sz w:val="32"/>
          <w:szCs w:val="32"/>
        </w:rPr>
        <w:t>按照</w:t>
      </w:r>
      <w:r>
        <w:rPr>
          <w:rFonts w:hint="eastAsia" w:ascii="仿宋" w:hAnsi="仿宋" w:eastAsia="仿宋" w:cs="仿宋"/>
          <w:color w:val="auto"/>
          <w:sz w:val="32"/>
          <w:szCs w:val="32"/>
          <w:lang w:eastAsia="zh-CN"/>
        </w:rPr>
        <w:t>上</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度</w:t>
      </w:r>
      <w:r>
        <w:rPr>
          <w:rFonts w:hint="eastAsia" w:ascii="仿宋" w:hAnsi="仿宋" w:eastAsia="仿宋" w:cs="仿宋"/>
          <w:color w:val="auto"/>
          <w:sz w:val="32"/>
          <w:szCs w:val="32"/>
        </w:rPr>
        <w:t>在本市举办演出</w:t>
      </w:r>
      <w:r>
        <w:rPr>
          <w:rFonts w:hint="eastAsia" w:ascii="仿宋" w:hAnsi="仿宋" w:eastAsia="仿宋" w:cs="仿宋"/>
          <w:color w:val="auto"/>
          <w:sz w:val="32"/>
          <w:szCs w:val="32"/>
          <w:lang w:eastAsia="zh-CN"/>
        </w:rPr>
        <w:t>场次及规模予以资助</w:t>
      </w:r>
      <w:r>
        <w:rPr>
          <w:rFonts w:hint="eastAsia" w:ascii="仿宋" w:hAnsi="仿宋" w:eastAsia="仿宋" w:cs="仿宋"/>
          <w:color w:val="auto"/>
          <w:sz w:val="32"/>
          <w:szCs w:val="32"/>
        </w:rPr>
        <w:t>。单场演出售票10000-20000</w:t>
      </w:r>
      <w:r>
        <w:rPr>
          <w:rFonts w:hint="eastAsia" w:ascii="仿宋" w:hAnsi="仿宋" w:eastAsia="仿宋" w:cs="仿宋"/>
          <w:color w:val="auto"/>
          <w:sz w:val="32"/>
          <w:szCs w:val="32"/>
          <w:lang w:eastAsia="zh-CN"/>
        </w:rPr>
        <w:t>张</w:t>
      </w:r>
      <w:r>
        <w:rPr>
          <w:rFonts w:hint="eastAsia" w:ascii="仿宋" w:hAnsi="仿宋" w:eastAsia="仿宋" w:cs="仿宋"/>
          <w:color w:val="auto"/>
          <w:sz w:val="32"/>
          <w:szCs w:val="32"/>
        </w:rPr>
        <w:t>的，</w:t>
      </w:r>
      <w:r>
        <w:rPr>
          <w:rFonts w:hint="eastAsia" w:ascii="仿宋" w:hAnsi="仿宋" w:eastAsia="仿宋" w:cs="仿宋"/>
          <w:color w:val="auto"/>
          <w:sz w:val="32"/>
          <w:szCs w:val="32"/>
          <w:lang w:eastAsia="zh-CN"/>
        </w:rPr>
        <w:t>每场最高资助</w:t>
      </w:r>
      <w:r>
        <w:rPr>
          <w:rFonts w:hint="eastAsia" w:ascii="仿宋" w:hAnsi="仿宋" w:eastAsia="仿宋" w:cs="仿宋"/>
          <w:color w:val="auto"/>
          <w:sz w:val="32"/>
          <w:szCs w:val="32"/>
        </w:rPr>
        <w:t>20万元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单场演出售票20000</w:t>
      </w:r>
      <w:r>
        <w:rPr>
          <w:rFonts w:hint="eastAsia" w:ascii="仿宋" w:hAnsi="仿宋" w:eastAsia="仿宋" w:cs="仿宋"/>
          <w:color w:val="auto"/>
          <w:sz w:val="32"/>
          <w:szCs w:val="32"/>
          <w:lang w:eastAsia="zh-CN"/>
        </w:rPr>
        <w:t>张</w:t>
      </w:r>
      <w:r>
        <w:rPr>
          <w:rFonts w:hint="eastAsia" w:ascii="仿宋" w:hAnsi="仿宋" w:eastAsia="仿宋" w:cs="仿宋"/>
          <w:color w:val="auto"/>
          <w:sz w:val="32"/>
          <w:szCs w:val="32"/>
        </w:rPr>
        <w:t>以上的，</w:t>
      </w:r>
      <w:r>
        <w:rPr>
          <w:rFonts w:hint="eastAsia" w:ascii="仿宋" w:hAnsi="仿宋" w:eastAsia="仿宋" w:cs="仿宋"/>
          <w:color w:val="auto"/>
          <w:sz w:val="32"/>
          <w:szCs w:val="32"/>
          <w:lang w:eastAsia="zh-CN"/>
        </w:rPr>
        <w:t>每</w:t>
      </w:r>
      <w:r>
        <w:rPr>
          <w:rFonts w:hint="eastAsia" w:ascii="仿宋" w:hAnsi="仿宋" w:eastAsia="仿宋" w:cs="仿宋"/>
          <w:color w:val="auto"/>
          <w:sz w:val="32"/>
          <w:szCs w:val="32"/>
        </w:rPr>
        <w:t>场</w:t>
      </w:r>
      <w:r>
        <w:rPr>
          <w:rFonts w:hint="eastAsia" w:ascii="仿宋" w:hAnsi="仿宋" w:eastAsia="仿宋" w:cs="仿宋"/>
          <w:color w:val="auto"/>
          <w:sz w:val="32"/>
          <w:szCs w:val="32"/>
          <w:lang w:eastAsia="zh-CN"/>
        </w:rPr>
        <w:t>最高资</w:t>
      </w:r>
      <w:r>
        <w:rPr>
          <w:rFonts w:hint="eastAsia" w:ascii="仿宋" w:hAnsi="仿宋" w:eastAsia="仿宋" w:cs="仿宋"/>
          <w:color w:val="auto"/>
          <w:sz w:val="32"/>
          <w:szCs w:val="32"/>
        </w:rPr>
        <w:t>助25万元。同一主办单位每年获得</w:t>
      </w:r>
      <w:r>
        <w:rPr>
          <w:rFonts w:hint="eastAsia" w:ascii="仿宋" w:hAnsi="仿宋" w:eastAsia="仿宋" w:cs="仿宋"/>
          <w:color w:val="auto"/>
          <w:sz w:val="32"/>
          <w:szCs w:val="32"/>
          <w:lang w:eastAsia="zh-CN"/>
        </w:rPr>
        <w:t>资</w:t>
      </w:r>
      <w:r>
        <w:rPr>
          <w:rFonts w:hint="eastAsia" w:ascii="仿宋" w:hAnsi="仿宋" w:eastAsia="仿宋" w:cs="仿宋"/>
          <w:color w:val="auto"/>
          <w:sz w:val="32"/>
          <w:szCs w:val="32"/>
        </w:rPr>
        <w:t>助上限为100万元。</w:t>
      </w:r>
      <w:r>
        <w:rPr>
          <w:rFonts w:hint="eastAsia" w:ascii="仿宋_GB2312" w:hAnsi="Times New Roman" w:eastAsia="仿宋_GB2312" w:cs="仿宋_GB2312"/>
          <w:b w:val="0"/>
          <w:bCs w:val="0"/>
          <w:color w:val="auto"/>
          <w:kern w:val="2"/>
          <w:sz w:val="32"/>
          <w:szCs w:val="32"/>
          <w:highlight w:val="none"/>
          <w:u w:val="none"/>
          <w:lang w:val="en-US" w:eastAsia="zh-CN" w:bidi="ar"/>
        </w:rPr>
        <w:t>支持举办</w:t>
      </w:r>
      <w:r>
        <w:rPr>
          <w:rFonts w:hint="eastAsia" w:ascii="仿宋_GB2312" w:hAnsi="Times New Roman" w:eastAsia="仿宋_GB2312" w:cs="仿宋_GB2312"/>
          <w:i w:val="0"/>
          <w:caps w:val="0"/>
          <w:color w:val="auto"/>
          <w:spacing w:val="0"/>
          <w:sz w:val="32"/>
          <w:szCs w:val="32"/>
          <w:highlight w:val="none"/>
          <w:shd w:val="clear"/>
          <w:lang w:eastAsia="zh-CN" w:bidi="ar"/>
        </w:rPr>
        <w:t>大型高端</w:t>
      </w:r>
      <w:r>
        <w:rPr>
          <w:rFonts w:hint="eastAsia" w:ascii="仿宋_GB2312" w:hAnsi="Times New Roman" w:eastAsia="仿宋_GB2312" w:cs="仿宋_GB2312"/>
          <w:i w:val="0"/>
          <w:caps w:val="0"/>
          <w:color w:val="auto"/>
          <w:spacing w:val="0"/>
          <w:sz w:val="32"/>
          <w:szCs w:val="32"/>
          <w:highlight w:val="none"/>
          <w:shd w:val="clear" w:fill="auto"/>
          <w:lang w:bidi="ar"/>
        </w:rPr>
        <w:t>体育赛事</w:t>
      </w:r>
      <w:r>
        <w:rPr>
          <w:rFonts w:hint="eastAsia" w:ascii="仿宋_GB2312" w:hAnsi="Times New Roman" w:eastAsia="仿宋_GB2312" w:cs="仿宋_GB2312"/>
          <w:i w:val="0"/>
          <w:caps w:val="0"/>
          <w:color w:val="auto"/>
          <w:spacing w:val="0"/>
          <w:sz w:val="32"/>
          <w:szCs w:val="32"/>
          <w:highlight w:val="none"/>
          <w:shd w:val="clear"/>
          <w:lang w:eastAsia="zh-CN" w:bidi="ar"/>
        </w:rPr>
        <w:t>，对符合现行体育产业扶持政策的赛事，按相关规定给予扶持。</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60" w:lineRule="exact"/>
        <w:ind w:left="0" w:firstLine="640" w:firstLineChars="200"/>
        <w:jc w:val="both"/>
        <w:textAlignment w:val="auto"/>
        <w:rPr>
          <w:rFonts w:hint="default" w:ascii="仿宋_GB2312" w:hAnsi="Times New Roman" w:eastAsia="仿宋_GB2312" w:cs="仿宋_GB2312"/>
          <w:color w:val="auto"/>
          <w:kern w:val="2"/>
          <w:sz w:val="32"/>
          <w:szCs w:val="32"/>
          <w:highlight w:val="none"/>
          <w:u w:val="none"/>
          <w:lang w:val="en-US" w:eastAsia="zh-CN" w:bidi="ar"/>
        </w:rPr>
      </w:pPr>
      <w:r>
        <w:rPr>
          <w:rFonts w:hint="eastAsia" w:ascii="CESI黑体-GB2312" w:hAnsi="CESI黑体-GB2312" w:eastAsia="CESI黑体-GB2312" w:cs="CESI黑体-GB2312"/>
          <w:b w:val="0"/>
          <w:bCs w:val="0"/>
          <w:color w:val="auto"/>
          <w:kern w:val="2"/>
          <w:sz w:val="32"/>
          <w:szCs w:val="32"/>
          <w:highlight w:val="none"/>
          <w:u w:val="none"/>
          <w:lang w:val="en-US" w:eastAsia="zh-CN" w:bidi="ar-SA"/>
        </w:rPr>
        <w:t>六、促进品牌化规模化运营</w:t>
      </w:r>
      <w:r>
        <w:rPr>
          <w:rFonts w:hint="eastAsia" w:ascii="仿宋_GB2312" w:hAnsi="Times New Roman" w:eastAsia="仿宋_GB2312" w:cs="仿宋_GB2312"/>
          <w:color w:val="auto"/>
          <w:kern w:val="2"/>
          <w:sz w:val="32"/>
          <w:szCs w:val="32"/>
          <w:highlight w:val="none"/>
          <w:u w:val="none"/>
          <w:lang w:val="en-US" w:eastAsia="zh-CN" w:bidi="ar"/>
        </w:rPr>
        <w:t>。支持演出和电影等院线建设，推动演出场馆、演艺团体和电影院树立品牌形象，支持</w:t>
      </w:r>
      <w:r>
        <w:rPr>
          <w:rFonts w:hint="eastAsia" w:ascii="仿宋_GB2312" w:hAnsi="Times New Roman" w:eastAsia="仿宋_GB2312" w:cs="仿宋_GB2312"/>
          <w:i w:val="0"/>
          <w:caps w:val="0"/>
          <w:color w:val="auto"/>
          <w:spacing w:val="0"/>
          <w:kern w:val="2"/>
          <w:sz w:val="32"/>
          <w:szCs w:val="32"/>
          <w:highlight w:val="none"/>
          <w:shd w:val="clear" w:fill="auto"/>
          <w:lang w:val="en-US" w:eastAsia="zh-CN" w:bidi="ar"/>
        </w:rPr>
        <w:t>通过集中采购、统一输出产品等途径，降低院线运营成本</w:t>
      </w:r>
      <w:r>
        <w:rPr>
          <w:rFonts w:hint="eastAsia" w:ascii="仿宋_GB2312" w:hAnsi="Times New Roman" w:eastAsia="仿宋_GB2312" w:cs="仿宋_GB2312"/>
          <w:color w:val="auto"/>
          <w:kern w:val="2"/>
          <w:sz w:val="32"/>
          <w:szCs w:val="32"/>
          <w:highlight w:val="none"/>
          <w:u w:val="none"/>
          <w:lang w:val="en-US" w:eastAsia="zh-CN" w:bidi="ar"/>
        </w:rPr>
        <w:t>。鼓励娱乐、演出、健身等文体娱乐场所推广连锁经营，对在本市开设10家以上</w:t>
      </w:r>
      <w:r>
        <w:rPr>
          <w:rFonts w:hint="eastAsia" w:ascii="仿宋" w:hAnsi="仿宋" w:eastAsia="仿宋" w:cs="仿宋"/>
          <w:color w:val="auto"/>
          <w:sz w:val="32"/>
          <w:szCs w:val="32"/>
        </w:rPr>
        <w:t>（其中有2家</w:t>
      </w:r>
      <w:r>
        <w:rPr>
          <w:rFonts w:hint="eastAsia" w:ascii="仿宋" w:hAnsi="仿宋" w:eastAsia="仿宋" w:cs="仿宋"/>
          <w:color w:val="auto"/>
          <w:sz w:val="32"/>
          <w:szCs w:val="32"/>
          <w:lang w:eastAsia="zh-CN"/>
        </w:rPr>
        <w:t>以上独立核算分支机构</w:t>
      </w:r>
      <w:r>
        <w:rPr>
          <w:rFonts w:hint="eastAsia" w:ascii="仿宋" w:hAnsi="仿宋" w:eastAsia="仿宋" w:cs="仿宋"/>
          <w:color w:val="auto"/>
          <w:sz w:val="32"/>
          <w:szCs w:val="32"/>
        </w:rPr>
        <w:t>营业收入达到“规上”企业标准</w:t>
      </w:r>
      <w:r>
        <w:rPr>
          <w:rFonts w:hint="eastAsia" w:ascii="仿宋" w:hAnsi="仿宋" w:eastAsia="仿宋" w:cs="仿宋"/>
          <w:color w:val="auto"/>
          <w:sz w:val="32"/>
          <w:szCs w:val="32"/>
          <w:lang w:eastAsia="zh-CN"/>
        </w:rPr>
        <w:t>，并纳入文体娱乐业统计</w:t>
      </w:r>
      <w:r>
        <w:rPr>
          <w:rFonts w:hint="eastAsia" w:ascii="仿宋" w:hAnsi="仿宋" w:eastAsia="仿宋" w:cs="仿宋"/>
          <w:color w:val="auto"/>
          <w:sz w:val="32"/>
          <w:szCs w:val="32"/>
        </w:rPr>
        <w:t>）</w:t>
      </w:r>
      <w:r>
        <w:rPr>
          <w:rFonts w:hint="eastAsia" w:ascii="仿宋_GB2312" w:hAnsi="Times New Roman" w:eastAsia="仿宋_GB2312" w:cs="仿宋_GB2312"/>
          <w:color w:val="auto"/>
          <w:kern w:val="2"/>
          <w:sz w:val="32"/>
          <w:szCs w:val="32"/>
          <w:highlight w:val="none"/>
          <w:u w:val="none"/>
          <w:lang w:val="en-US" w:eastAsia="zh-CN" w:bidi="ar"/>
        </w:rPr>
        <w:t>连锁影院、演艺、娱乐</w:t>
      </w:r>
      <w:r>
        <w:rPr>
          <w:rFonts w:hint="eastAsia" w:ascii="仿宋" w:hAnsi="仿宋" w:eastAsia="仿宋" w:cs="仿宋"/>
          <w:color w:val="auto"/>
          <w:sz w:val="32"/>
          <w:szCs w:val="32"/>
        </w:rPr>
        <w:t>、互联网上网服务、剧本娱乐经营</w:t>
      </w:r>
      <w:r>
        <w:rPr>
          <w:rFonts w:hint="eastAsia" w:ascii="仿宋_GB2312" w:hAnsi="Times New Roman" w:eastAsia="仿宋_GB2312" w:cs="仿宋_GB2312"/>
          <w:color w:val="auto"/>
          <w:kern w:val="2"/>
          <w:sz w:val="32"/>
          <w:szCs w:val="32"/>
          <w:highlight w:val="none"/>
          <w:u w:val="none"/>
          <w:lang w:val="en-US" w:eastAsia="zh-CN" w:bidi="ar"/>
        </w:rPr>
        <w:t>和健身场所的企业，分档次给予一次性最高100万元资助。</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60" w:lineRule="exact"/>
        <w:ind w:left="0" w:firstLine="640" w:firstLineChars="200"/>
        <w:jc w:val="both"/>
        <w:textAlignment w:val="auto"/>
        <w:rPr>
          <w:rFonts w:hint="default" w:ascii="仿宋_GB2312" w:hAnsi="Times New Roman" w:eastAsia="仿宋_GB2312" w:cs="仿宋_GB2312"/>
          <w:i w:val="0"/>
          <w:caps w:val="0"/>
          <w:color w:val="auto"/>
          <w:spacing w:val="0"/>
          <w:sz w:val="32"/>
          <w:szCs w:val="32"/>
          <w:highlight w:val="none"/>
          <w:shd w:val="clear"/>
          <w:lang w:val="en-US" w:eastAsia="zh-CN" w:bidi="ar"/>
        </w:rPr>
      </w:pPr>
      <w:r>
        <w:rPr>
          <w:rFonts w:hint="eastAsia" w:ascii="CESI黑体-GB2312" w:hAnsi="CESI黑体-GB2312" w:eastAsia="CESI黑体-GB2312" w:cs="CESI黑体-GB2312"/>
          <w:b w:val="0"/>
          <w:bCs w:val="0"/>
          <w:color w:val="auto"/>
          <w:kern w:val="2"/>
          <w:sz w:val="32"/>
          <w:szCs w:val="32"/>
          <w:highlight w:val="none"/>
          <w:u w:val="none"/>
          <w:lang w:val="en-US" w:eastAsia="zh-CN" w:bidi="ar-SA"/>
        </w:rPr>
        <w:t>七、培育文体娱乐业经纪机构</w:t>
      </w:r>
      <w:r>
        <w:rPr>
          <w:rFonts w:hint="eastAsia" w:ascii="仿宋_GB2312" w:hAnsi="Times New Roman" w:eastAsia="仿宋_GB2312" w:cs="仿宋_GB2312"/>
          <w:i w:val="0"/>
          <w:caps w:val="0"/>
          <w:color w:val="auto"/>
          <w:spacing w:val="0"/>
          <w:sz w:val="32"/>
          <w:szCs w:val="32"/>
          <w:highlight w:val="none"/>
          <w:shd w:val="clear"/>
          <w:lang w:val="en-US" w:eastAsia="zh-CN" w:bidi="ar"/>
        </w:rPr>
        <w:t>。加大演艺、体育经纪机构引进和培育力度，对新引进的国内品牌经纪机构在深圳设立子公司，且注册次年营收达到2000万元的，除享受本措施第三条规定的奖励措施外，另外给予一次性50万元奖励。对年营收首次达到2000万元的本地经纪机构，给予一次性100万元奖励。</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60" w:lineRule="exact"/>
        <w:ind w:left="0" w:firstLine="640" w:firstLineChars="200"/>
        <w:jc w:val="both"/>
        <w:textAlignment w:val="auto"/>
        <w:rPr>
          <w:rFonts w:hint="eastAsia" w:ascii="仿宋_GB2312" w:hAnsi="Times New Roman" w:eastAsia="仿宋_GB2312" w:cs="仿宋_GB2312"/>
          <w:color w:val="auto"/>
          <w:kern w:val="2"/>
          <w:sz w:val="32"/>
          <w:szCs w:val="32"/>
          <w:highlight w:val="none"/>
          <w:u w:val="none"/>
          <w:lang w:val="en-US" w:eastAsia="zh-CN" w:bidi="ar"/>
        </w:rPr>
      </w:pPr>
      <w:r>
        <w:rPr>
          <w:rFonts w:hint="eastAsia" w:ascii="CESI黑体-GB2312" w:hAnsi="CESI黑体-GB2312" w:eastAsia="CESI黑体-GB2312" w:cs="CESI黑体-GB2312"/>
          <w:b w:val="0"/>
          <w:bCs w:val="0"/>
          <w:color w:val="auto"/>
          <w:kern w:val="2"/>
          <w:sz w:val="32"/>
          <w:szCs w:val="32"/>
          <w:highlight w:val="none"/>
          <w:u w:val="none"/>
          <w:lang w:val="en-US" w:eastAsia="zh-CN" w:bidi="ar-SA"/>
        </w:rPr>
        <w:t>八、优化文体娱乐业营商环境</w:t>
      </w:r>
      <w:r>
        <w:rPr>
          <w:rFonts w:hint="eastAsia" w:ascii="楷体_GB2312" w:hAnsi="楷体_GB2312" w:eastAsia="楷体_GB2312" w:cs="楷体_GB2312"/>
          <w:b w:val="0"/>
          <w:bCs w:val="0"/>
          <w:color w:val="auto"/>
          <w:kern w:val="2"/>
          <w:sz w:val="32"/>
          <w:szCs w:val="32"/>
          <w:u w:val="none"/>
          <w:lang w:val="en-US" w:eastAsia="zh-CN" w:bidi="ar-SA"/>
        </w:rPr>
        <w:t>。</w:t>
      </w:r>
      <w:r>
        <w:rPr>
          <w:rFonts w:hint="eastAsia" w:ascii="仿宋_GB2312" w:hAnsi="Times New Roman" w:eastAsia="仿宋_GB2312" w:cs="仿宋_GB2312"/>
          <w:color w:val="auto"/>
          <w:kern w:val="2"/>
          <w:sz w:val="32"/>
          <w:szCs w:val="32"/>
          <w:highlight w:val="none"/>
          <w:u w:val="none"/>
          <w:lang w:val="en-US" w:eastAsia="zh-CN" w:bidi="ar"/>
        </w:rPr>
        <w:t>加强文体娱乐业企业服务，及时掌握行业发展动态，协调推动解决企业发展中出现的问题。深化“放管服”改革，优化文体娱乐企业设立及文体活动、赛事审批流程，精简审批环节，为文体娱乐业发展提供优质审批服务。对文体娱乐业发展中出现的新业态、新模式实行审慎包容监管，鼓励行业创新，对轻微违法行为依法不予行政处罚。</w:t>
      </w:r>
    </w:p>
    <w:p>
      <w:pPr>
        <w:pStyle w:val="2"/>
        <w:keepNext w:val="0"/>
        <w:keepLines w:val="0"/>
        <w:pageBreakBefore w:val="0"/>
        <w:kinsoku/>
        <w:wordWrap/>
        <w:overflowPunct/>
        <w:topLinePunct w:val="0"/>
        <w:autoSpaceDE/>
        <w:autoSpaceDN/>
        <w:bidi w:val="0"/>
        <w:adjustRightInd/>
        <w:spacing w:beforeLines="0" w:afterLines="0" w:line="560" w:lineRule="exact"/>
        <w:ind w:firstLine="640" w:firstLineChars="200"/>
        <w:textAlignment w:val="auto"/>
        <w:rPr>
          <w:rFonts w:hint="eastAsia" w:ascii="仿宋_GB2312" w:hAnsi="Times New Roman" w:cs="仿宋_GB2312"/>
          <w:b w:val="0"/>
          <w:bCs w:val="0"/>
          <w:color w:val="auto"/>
          <w:kern w:val="2"/>
          <w:sz w:val="32"/>
          <w:szCs w:val="32"/>
          <w:highlight w:val="none"/>
          <w:u w:val="none"/>
          <w:lang w:val="en-US" w:eastAsia="zh-CN" w:bidi="ar"/>
        </w:rPr>
      </w:pPr>
      <w:r>
        <w:rPr>
          <w:rFonts w:hint="eastAsia" w:ascii="CESI黑体-GB2312" w:hAnsi="CESI黑体-GB2312" w:eastAsia="CESI黑体-GB2312" w:cs="CESI黑体-GB2312"/>
          <w:color w:val="auto"/>
          <w:kern w:val="2"/>
          <w:sz w:val="32"/>
          <w:szCs w:val="32"/>
          <w:highlight w:val="none"/>
          <w:u w:val="none"/>
          <w:lang w:val="en-US" w:eastAsia="zh-CN" w:bidi="ar-SA"/>
        </w:rPr>
        <w:t>九</w:t>
      </w:r>
      <w:r>
        <w:rPr>
          <w:rFonts w:hint="eastAsia" w:ascii="CESI黑体-GB2312" w:hAnsi="CESI黑体-GB2312" w:eastAsia="CESI黑体-GB2312" w:cs="CESI黑体-GB2312"/>
          <w:b w:val="0"/>
          <w:bCs w:val="0"/>
          <w:color w:val="auto"/>
          <w:kern w:val="2"/>
          <w:sz w:val="32"/>
          <w:szCs w:val="32"/>
          <w:highlight w:val="none"/>
          <w:u w:val="none"/>
          <w:lang w:val="en-US" w:eastAsia="zh-CN" w:bidi="ar-SA"/>
        </w:rPr>
        <w:t>、加大政策支持力度</w:t>
      </w:r>
      <w:r>
        <w:rPr>
          <w:rFonts w:hint="eastAsia" w:ascii="仿宋_GB2312" w:hAnsi="Times New Roman" w:eastAsia="仿宋_GB2312" w:cs="仿宋_GB2312"/>
          <w:b w:val="0"/>
          <w:bCs w:val="0"/>
          <w:color w:val="auto"/>
          <w:kern w:val="2"/>
          <w:sz w:val="32"/>
          <w:szCs w:val="32"/>
          <w:highlight w:val="none"/>
          <w:u w:val="none"/>
          <w:lang w:val="en-US" w:eastAsia="zh-CN" w:bidi="ar"/>
        </w:rPr>
        <w:t>。</w:t>
      </w:r>
      <w:r>
        <w:rPr>
          <w:rFonts w:hint="eastAsia" w:ascii="仿宋_GB2312" w:hAnsi="Times New Roman" w:cs="仿宋_GB2312"/>
          <w:b w:val="0"/>
          <w:bCs w:val="0"/>
          <w:color w:val="auto"/>
          <w:kern w:val="2"/>
          <w:sz w:val="32"/>
          <w:szCs w:val="32"/>
          <w:highlight w:val="none"/>
          <w:u w:val="none"/>
          <w:lang w:val="en-US" w:eastAsia="zh-CN" w:bidi="ar"/>
        </w:rPr>
        <w:t>综合运用文化和体育产业相关政策加大文体娱乐业支持力度，支持文体娱乐企业申报文化和体育产业发展专项资金各类资助项目。出台影视、文艺院团等专项扶持政策，对企业引进、重大活动举办、精品创作等进行重点支持，促进文体娱乐业补链、强链。</w:t>
      </w:r>
    </w:p>
    <w:p>
      <w:pPr>
        <w:pStyle w:val="2"/>
        <w:keepNext w:val="0"/>
        <w:keepLines w:val="0"/>
        <w:pageBreakBefore w:val="0"/>
        <w:kinsoku/>
        <w:wordWrap/>
        <w:overflowPunct/>
        <w:topLinePunct w:val="0"/>
        <w:autoSpaceDE/>
        <w:autoSpaceDN/>
        <w:bidi w:val="0"/>
        <w:adjustRightInd/>
        <w:spacing w:beforeLines="0" w:afterLines="0" w:line="560" w:lineRule="exact"/>
        <w:ind w:firstLine="640" w:firstLineChars="200"/>
        <w:textAlignment w:val="auto"/>
        <w:rPr>
          <w:rFonts w:hint="eastAsia" w:ascii="仿宋_GB2312" w:hAnsi="Times New Roman" w:cs="仿宋_GB2312"/>
          <w:b w:val="0"/>
          <w:bCs w:val="0"/>
          <w:color w:val="auto"/>
          <w:kern w:val="2"/>
          <w:sz w:val="32"/>
          <w:szCs w:val="32"/>
          <w:highlight w:val="none"/>
          <w:u w:val="none"/>
          <w:lang w:val="en-US" w:eastAsia="zh-CN" w:bidi="ar"/>
        </w:rPr>
      </w:pPr>
      <w:r>
        <w:rPr>
          <w:rFonts w:hint="eastAsia" w:ascii="CESI黑体-GB2312" w:hAnsi="CESI黑体-GB2312" w:eastAsia="CESI黑体-GB2312" w:cs="CESI黑体-GB2312"/>
          <w:b w:val="0"/>
          <w:bCs w:val="0"/>
          <w:color w:val="auto"/>
          <w:kern w:val="2"/>
          <w:sz w:val="32"/>
          <w:szCs w:val="32"/>
          <w:highlight w:val="none"/>
          <w:u w:val="none"/>
          <w:lang w:val="en-US" w:eastAsia="zh-CN" w:bidi="ar"/>
        </w:rPr>
        <w:t>十、其他规定</w:t>
      </w:r>
      <w:r>
        <w:rPr>
          <w:rFonts w:hint="eastAsia" w:ascii="仿宋_GB2312" w:hAnsi="Times New Roman" w:cs="仿宋_GB2312"/>
          <w:b w:val="0"/>
          <w:bCs w:val="0"/>
          <w:color w:val="auto"/>
          <w:kern w:val="2"/>
          <w:sz w:val="32"/>
          <w:szCs w:val="32"/>
          <w:highlight w:val="none"/>
          <w:u w:val="none"/>
          <w:lang w:val="en-US" w:eastAsia="zh-CN" w:bidi="ar"/>
        </w:rPr>
        <w:t>。鼓励各区依据本措施制定配套扶持办法，共同推进全市文体旅游业高质量发展。符合本措施中多个资助条件的同一事项和项目，除有特别规定的以外，均按照</w:t>
      </w:r>
      <w:r>
        <w:rPr>
          <w:rFonts w:hint="eastAsia" w:ascii="仿宋_GB2312" w:hAnsi="Times New Roman" w:cs="仿宋_GB2312"/>
          <w:b w:val="0"/>
          <w:bCs w:val="0"/>
          <w:color w:val="auto"/>
          <w:kern w:val="2"/>
          <w:sz w:val="32"/>
          <w:szCs w:val="32"/>
          <w:highlight w:val="none"/>
          <w:u w:val="none"/>
          <w:lang w:val="en" w:eastAsia="zh-CN" w:bidi="ar"/>
        </w:rPr>
        <w:t>“</w:t>
      </w:r>
      <w:r>
        <w:rPr>
          <w:rFonts w:hint="eastAsia" w:ascii="仿宋_GB2312" w:hAnsi="Times New Roman" w:cs="仿宋_GB2312"/>
          <w:b w:val="0"/>
          <w:bCs w:val="0"/>
          <w:color w:val="auto"/>
          <w:kern w:val="2"/>
          <w:sz w:val="32"/>
          <w:szCs w:val="32"/>
          <w:highlight w:val="none"/>
          <w:u w:val="none"/>
          <w:lang w:val="en-US" w:eastAsia="zh-CN" w:bidi="ar"/>
        </w:rPr>
        <w:t>就高不重复</w:t>
      </w:r>
      <w:r>
        <w:rPr>
          <w:rFonts w:hint="eastAsia" w:ascii="仿宋_GB2312" w:hAnsi="Times New Roman" w:cs="仿宋_GB2312"/>
          <w:b w:val="0"/>
          <w:bCs w:val="0"/>
          <w:color w:val="auto"/>
          <w:kern w:val="2"/>
          <w:sz w:val="32"/>
          <w:szCs w:val="32"/>
          <w:highlight w:val="none"/>
          <w:u w:val="none"/>
          <w:lang w:val="en" w:eastAsia="zh-CN" w:bidi="ar"/>
        </w:rPr>
        <w:t>”</w:t>
      </w:r>
      <w:r>
        <w:rPr>
          <w:rFonts w:hint="eastAsia" w:ascii="仿宋_GB2312" w:hAnsi="Times New Roman" w:cs="仿宋_GB2312"/>
          <w:b w:val="0"/>
          <w:bCs w:val="0"/>
          <w:color w:val="auto"/>
          <w:kern w:val="2"/>
          <w:sz w:val="32"/>
          <w:szCs w:val="32"/>
          <w:highlight w:val="none"/>
          <w:u w:val="none"/>
          <w:lang w:val="en-US" w:eastAsia="zh-CN" w:bidi="ar"/>
        </w:rPr>
        <w:t>原则予以资助。</w:t>
      </w:r>
    </w:p>
    <w:p>
      <w:pPr>
        <w:pStyle w:val="2"/>
        <w:keepNext w:val="0"/>
        <w:keepLines w:val="0"/>
        <w:pageBreakBefore w:val="0"/>
        <w:kinsoku/>
        <w:wordWrap/>
        <w:overflowPunct/>
        <w:topLinePunct w:val="0"/>
        <w:autoSpaceDE/>
        <w:autoSpaceDN/>
        <w:bidi w:val="0"/>
        <w:adjustRightInd/>
        <w:spacing w:beforeLines="0" w:afterLines="0" w:line="560" w:lineRule="exact"/>
        <w:ind w:firstLine="640" w:firstLineChars="200"/>
        <w:textAlignment w:val="auto"/>
        <w:rPr>
          <w:rFonts w:hint="eastAsia" w:ascii="仿宋_GB2312" w:hAnsi="Times New Roman" w:cs="仿宋_GB2312"/>
          <w:color w:val="auto"/>
          <w:szCs w:val="32"/>
          <w:highlight w:val="none"/>
          <w:lang w:val="en-US" w:eastAsia="zh-CN" w:bidi="ar"/>
        </w:rPr>
      </w:pPr>
      <w:r>
        <w:rPr>
          <w:rFonts w:hint="eastAsia" w:ascii="仿宋_GB2312" w:hAnsi="Times New Roman" w:eastAsia="仿宋_GB2312" w:cs="仿宋_GB2312"/>
          <w:b w:val="0"/>
          <w:bCs w:val="0"/>
          <w:color w:val="auto"/>
          <w:kern w:val="2"/>
          <w:sz w:val="32"/>
          <w:szCs w:val="32"/>
          <w:highlight w:val="none"/>
          <w:u w:val="none"/>
          <w:lang w:val="en-US" w:eastAsia="zh-CN" w:bidi="ar"/>
        </w:rPr>
        <w:t>本</w:t>
      </w:r>
      <w:r>
        <w:rPr>
          <w:rFonts w:hint="eastAsia" w:ascii="仿宋_GB2312" w:hAnsi="Times New Roman" w:cs="仿宋_GB2312"/>
          <w:b w:val="0"/>
          <w:bCs w:val="0"/>
          <w:color w:val="auto"/>
          <w:kern w:val="2"/>
          <w:sz w:val="32"/>
          <w:szCs w:val="32"/>
          <w:highlight w:val="none"/>
          <w:u w:val="none"/>
          <w:lang w:val="en-US" w:eastAsia="zh-CN" w:bidi="ar"/>
        </w:rPr>
        <w:t>措施</w:t>
      </w:r>
      <w:r>
        <w:rPr>
          <w:rFonts w:hint="eastAsia" w:ascii="仿宋_GB2312" w:hAnsi="Times New Roman" w:eastAsia="仿宋_GB2312" w:cs="仿宋_GB2312"/>
          <w:b w:val="0"/>
          <w:bCs w:val="0"/>
          <w:color w:val="auto"/>
          <w:kern w:val="2"/>
          <w:sz w:val="32"/>
          <w:szCs w:val="32"/>
          <w:highlight w:val="none"/>
          <w:u w:val="none"/>
          <w:lang w:val="en-US" w:eastAsia="zh-CN" w:bidi="ar"/>
        </w:rPr>
        <w:t>有效期两年，从发布之日起实施。本措施由市文化广电旅游体育局负责解释。</w:t>
      </w:r>
    </w:p>
    <w:sectPr>
      <w:headerReference r:id="rId3" w:type="default"/>
      <w:footerReference r:id="rId4"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Arial Unicode MS">
    <w:altName w:val="DejaVu Sans"/>
    <w:panose1 w:val="020B0604020202020204"/>
    <w:charset w:val="00"/>
    <w:family w:val="auto"/>
    <w:pitch w:val="default"/>
    <w:sig w:usb0="00000000" w:usb1="00000000" w:usb2="0000003F" w:usb3="00000000" w:csb0="603F01FF" w:csb1="FFFF0000"/>
  </w:font>
  <w:font w:name="CESI黑体-GB2312">
    <w:panose1 w:val="02000500000000000000"/>
    <w:charset w:val="86"/>
    <w:family w:val="auto"/>
    <w:pitch w:val="default"/>
    <w:sig w:usb0="800002BF" w:usb1="184F6CF8" w:usb2="00000012" w:usb3="00000000" w:csb0="0004000F"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099" o:spid="_x0000_s409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UxZjJmNWZjMTI5NmZhMjE4YjNhN2MzYTcxNGNhY2UifQ=="/>
  </w:docVars>
  <w:rsids>
    <w:rsidRoot w:val="00000000"/>
    <w:rsid w:val="02646B30"/>
    <w:rsid w:val="048B2C8E"/>
    <w:rsid w:val="0A4400DD"/>
    <w:rsid w:val="0CD018CE"/>
    <w:rsid w:val="0CE77AC8"/>
    <w:rsid w:val="12314D23"/>
    <w:rsid w:val="144009DA"/>
    <w:rsid w:val="1795A6F0"/>
    <w:rsid w:val="1A1A75EF"/>
    <w:rsid w:val="1B281F85"/>
    <w:rsid w:val="1B9F8696"/>
    <w:rsid w:val="1C057BD0"/>
    <w:rsid w:val="1ECF6E80"/>
    <w:rsid w:val="1F3782D5"/>
    <w:rsid w:val="22C57D3E"/>
    <w:rsid w:val="25DD571A"/>
    <w:rsid w:val="272BC531"/>
    <w:rsid w:val="27D36DD5"/>
    <w:rsid w:val="27F1CF0E"/>
    <w:rsid w:val="297445E7"/>
    <w:rsid w:val="29B9003E"/>
    <w:rsid w:val="2B9B6521"/>
    <w:rsid w:val="2EE606CD"/>
    <w:rsid w:val="2FF7298D"/>
    <w:rsid w:val="322DC560"/>
    <w:rsid w:val="33FE42C1"/>
    <w:rsid w:val="347A5D0D"/>
    <w:rsid w:val="34FEA521"/>
    <w:rsid w:val="37DBE3E9"/>
    <w:rsid w:val="397D5DE9"/>
    <w:rsid w:val="3A001962"/>
    <w:rsid w:val="3B360A6A"/>
    <w:rsid w:val="3BF588E5"/>
    <w:rsid w:val="3C63CB01"/>
    <w:rsid w:val="3CFDED5E"/>
    <w:rsid w:val="3EF3D4CD"/>
    <w:rsid w:val="3FBEC8C3"/>
    <w:rsid w:val="3FEFF37B"/>
    <w:rsid w:val="3FFB2874"/>
    <w:rsid w:val="3FFFD864"/>
    <w:rsid w:val="40FA7CEB"/>
    <w:rsid w:val="412E722B"/>
    <w:rsid w:val="441B2BED"/>
    <w:rsid w:val="47B90A25"/>
    <w:rsid w:val="48D32FFB"/>
    <w:rsid w:val="52FEABA2"/>
    <w:rsid w:val="559EC39B"/>
    <w:rsid w:val="55DA6BAD"/>
    <w:rsid w:val="55ECF9E6"/>
    <w:rsid w:val="55FE4B45"/>
    <w:rsid w:val="56444AAF"/>
    <w:rsid w:val="56773BFC"/>
    <w:rsid w:val="577E9A6E"/>
    <w:rsid w:val="579AAA86"/>
    <w:rsid w:val="57BFBCAC"/>
    <w:rsid w:val="57EBBCF4"/>
    <w:rsid w:val="57FE7A49"/>
    <w:rsid w:val="5968217B"/>
    <w:rsid w:val="5A3F74E9"/>
    <w:rsid w:val="5AFF2244"/>
    <w:rsid w:val="5BFF9008"/>
    <w:rsid w:val="5ED67AFF"/>
    <w:rsid w:val="5ED8912B"/>
    <w:rsid w:val="5EF3ADF0"/>
    <w:rsid w:val="5EFAE82B"/>
    <w:rsid w:val="5F1D1D58"/>
    <w:rsid w:val="5FAB9006"/>
    <w:rsid w:val="5FCFCACE"/>
    <w:rsid w:val="5FFD075A"/>
    <w:rsid w:val="5FFED879"/>
    <w:rsid w:val="5FFF029C"/>
    <w:rsid w:val="603238DF"/>
    <w:rsid w:val="64C47320"/>
    <w:rsid w:val="65FD7E87"/>
    <w:rsid w:val="677EDC8C"/>
    <w:rsid w:val="6CE47622"/>
    <w:rsid w:val="6DD51D8A"/>
    <w:rsid w:val="6F7594CE"/>
    <w:rsid w:val="6F97588B"/>
    <w:rsid w:val="6FF824EB"/>
    <w:rsid w:val="70ED33D9"/>
    <w:rsid w:val="7145045D"/>
    <w:rsid w:val="739F8A59"/>
    <w:rsid w:val="73ED9286"/>
    <w:rsid w:val="73FECC66"/>
    <w:rsid w:val="74EBAAB3"/>
    <w:rsid w:val="750E3926"/>
    <w:rsid w:val="7527C3D4"/>
    <w:rsid w:val="76FE2A8A"/>
    <w:rsid w:val="77F3E448"/>
    <w:rsid w:val="77FE8592"/>
    <w:rsid w:val="7ACFB178"/>
    <w:rsid w:val="7AFEBE64"/>
    <w:rsid w:val="7AFF9EB1"/>
    <w:rsid w:val="7B7B8068"/>
    <w:rsid w:val="7B8108A1"/>
    <w:rsid w:val="7BE3967E"/>
    <w:rsid w:val="7BED59FC"/>
    <w:rsid w:val="7BEF52A7"/>
    <w:rsid w:val="7BF6F155"/>
    <w:rsid w:val="7BFE30F8"/>
    <w:rsid w:val="7D5BD661"/>
    <w:rsid w:val="7D756F19"/>
    <w:rsid w:val="7D995E1F"/>
    <w:rsid w:val="7EA7EFFC"/>
    <w:rsid w:val="7EBF5AA7"/>
    <w:rsid w:val="7ECB4215"/>
    <w:rsid w:val="7EED3BA7"/>
    <w:rsid w:val="7EEF8BA2"/>
    <w:rsid w:val="7F3BF63B"/>
    <w:rsid w:val="7F5E3398"/>
    <w:rsid w:val="7F7BE726"/>
    <w:rsid w:val="7FB7818E"/>
    <w:rsid w:val="7FD7333C"/>
    <w:rsid w:val="7FDFE9CE"/>
    <w:rsid w:val="7FE72F26"/>
    <w:rsid w:val="7FF93D60"/>
    <w:rsid w:val="7FFF64EE"/>
    <w:rsid w:val="8BF6622F"/>
    <w:rsid w:val="8F14EA8D"/>
    <w:rsid w:val="95A6F29A"/>
    <w:rsid w:val="9E7D85D9"/>
    <w:rsid w:val="9EFB03C7"/>
    <w:rsid w:val="9F37248C"/>
    <w:rsid w:val="9F5F6797"/>
    <w:rsid w:val="9FBFABA8"/>
    <w:rsid w:val="9FF589D6"/>
    <w:rsid w:val="A07F42B0"/>
    <w:rsid w:val="A766A079"/>
    <w:rsid w:val="AA7E467D"/>
    <w:rsid w:val="AFB7929B"/>
    <w:rsid w:val="B6E16562"/>
    <w:rsid w:val="B6E46A7E"/>
    <w:rsid w:val="BA7B23C6"/>
    <w:rsid w:val="BBFE6FB2"/>
    <w:rsid w:val="BD69A17F"/>
    <w:rsid w:val="BD77F09C"/>
    <w:rsid w:val="BEA6B462"/>
    <w:rsid w:val="BF4BB3B1"/>
    <w:rsid w:val="BF7FBA11"/>
    <w:rsid w:val="BFBF64CA"/>
    <w:rsid w:val="BFE439E1"/>
    <w:rsid w:val="CBDF1C7E"/>
    <w:rsid w:val="CBFC8F54"/>
    <w:rsid w:val="CBFF100A"/>
    <w:rsid w:val="CBFFED4C"/>
    <w:rsid w:val="D1F91BCD"/>
    <w:rsid w:val="D3D6CE47"/>
    <w:rsid w:val="DBFFCE91"/>
    <w:rsid w:val="DCFEFB0C"/>
    <w:rsid w:val="DCFFFEA2"/>
    <w:rsid w:val="DFE5AE4E"/>
    <w:rsid w:val="DFED6171"/>
    <w:rsid w:val="DFFFD1D0"/>
    <w:rsid w:val="E65F8A10"/>
    <w:rsid w:val="E6B98D35"/>
    <w:rsid w:val="E6FF5691"/>
    <w:rsid w:val="E7FC4E35"/>
    <w:rsid w:val="E7FFE6AC"/>
    <w:rsid w:val="EA74326B"/>
    <w:rsid w:val="EAFE49C1"/>
    <w:rsid w:val="EBAC1F36"/>
    <w:rsid w:val="EBF97CA8"/>
    <w:rsid w:val="ED9F0BC3"/>
    <w:rsid w:val="EDDC6583"/>
    <w:rsid w:val="EDF267AC"/>
    <w:rsid w:val="EDFF9DA8"/>
    <w:rsid w:val="EE5681F9"/>
    <w:rsid w:val="EF7F0AD7"/>
    <w:rsid w:val="EFE72C35"/>
    <w:rsid w:val="EFF7CDAE"/>
    <w:rsid w:val="EFFFD367"/>
    <w:rsid w:val="F0FB13AE"/>
    <w:rsid w:val="F3AB8F43"/>
    <w:rsid w:val="F3FF71FB"/>
    <w:rsid w:val="F4CEB557"/>
    <w:rsid w:val="F53EEB4A"/>
    <w:rsid w:val="F5DF7A9F"/>
    <w:rsid w:val="F5DF7BE2"/>
    <w:rsid w:val="F6EBEC51"/>
    <w:rsid w:val="F6FA2092"/>
    <w:rsid w:val="F71BE5F7"/>
    <w:rsid w:val="F77FC681"/>
    <w:rsid w:val="F7D77325"/>
    <w:rsid w:val="F8FF6187"/>
    <w:rsid w:val="FB1543E9"/>
    <w:rsid w:val="FB7E5577"/>
    <w:rsid w:val="FBEB26A2"/>
    <w:rsid w:val="FBFD6C24"/>
    <w:rsid w:val="FBFDE367"/>
    <w:rsid w:val="FBFE53B4"/>
    <w:rsid w:val="FD5F3E67"/>
    <w:rsid w:val="FDAF41A3"/>
    <w:rsid w:val="FDBF0990"/>
    <w:rsid w:val="FDEFE52B"/>
    <w:rsid w:val="FDF12438"/>
    <w:rsid w:val="FDFE1318"/>
    <w:rsid w:val="FE734873"/>
    <w:rsid w:val="FE76997C"/>
    <w:rsid w:val="FEF16509"/>
    <w:rsid w:val="FF5B5D71"/>
    <w:rsid w:val="FF5E52A9"/>
    <w:rsid w:val="FF7FA0E1"/>
    <w:rsid w:val="FFDB0CA3"/>
    <w:rsid w:val="FFEDAAE6"/>
    <w:rsid w:val="FFF508CD"/>
    <w:rsid w:val="FFF6B3FC"/>
    <w:rsid w:val="FFF721A5"/>
    <w:rsid w:val="FFF72C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next w:val="3"/>
    <w:unhideWhenUsed/>
    <w:qFormat/>
    <w:uiPriority w:val="99"/>
    <w:pPr>
      <w:widowControl w:val="0"/>
      <w:spacing w:line="600" w:lineRule="exact"/>
      <w:jc w:val="both"/>
    </w:pPr>
    <w:rPr>
      <w:rFonts w:ascii="宋体" w:hAnsi="Courier New" w:eastAsia="仿宋_GB2312" w:cs="Times New Roman"/>
      <w:kern w:val="2"/>
      <w:sz w:val="32"/>
      <w:szCs w:val="24"/>
      <w:lang w:val="en-US" w:eastAsia="zh-CN" w:bidi="ar-SA"/>
    </w:rPr>
  </w:style>
  <w:style w:type="paragraph" w:styleId="3">
    <w:name w:val="index 8"/>
    <w:basedOn w:val="1"/>
    <w:next w:val="1"/>
    <w:qFormat/>
    <w:uiPriority w:val="0"/>
    <w:pPr>
      <w:ind w:left="2940"/>
    </w:pPr>
  </w:style>
  <w:style w:type="paragraph" w:styleId="4">
    <w:name w:val="Normal Indent"/>
    <w:basedOn w:val="1"/>
    <w:next w:val="5"/>
    <w:qFormat/>
    <w:uiPriority w:val="0"/>
    <w:pPr>
      <w:ind w:firstLine="420" w:firstLineChars="200"/>
    </w:pPr>
  </w:style>
  <w:style w:type="paragraph" w:styleId="5">
    <w:name w:val="Body Text"/>
    <w:basedOn w:val="1"/>
    <w:next w:val="6"/>
    <w:qFormat/>
    <w:uiPriority w:val="0"/>
  </w:style>
  <w:style w:type="paragraph" w:styleId="6">
    <w:name w:val="Title"/>
    <w:basedOn w:val="1"/>
    <w:next w:val="1"/>
    <w:unhideWhenUsed/>
    <w:qFormat/>
    <w:uiPriority w:val="0"/>
    <w:pPr>
      <w:spacing w:beforeLines="0" w:afterLines="0"/>
      <w:ind w:firstLine="0" w:firstLineChars="0"/>
      <w:jc w:val="center"/>
      <w:outlineLvl w:val="0"/>
    </w:pPr>
    <w:rPr>
      <w:rFonts w:hint="default" w:eastAsia="方正小标宋简体"/>
      <w:sz w:val="44"/>
      <w:szCs w:val="24"/>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paragraph" w:customStyle="1" w:styleId="15">
    <w:name w:val="正文 A"/>
    <w:qFormat/>
    <w:uiPriority w:val="0"/>
    <w:pPr>
      <w:widowControl w:val="0"/>
      <w:jc w:val="both"/>
    </w:pPr>
    <w:rPr>
      <w:rFonts w:ascii="Times New Roman" w:hAnsi="Arial Unicode MS" w:eastAsia="Arial Unicode MS" w:cs="Arial Unicode MS"/>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2023-08-27T22:53:00Z</dcterms:created>
  <dc:creator>cj_yigz</dc:creator>
  <cp:lastModifiedBy>WXF</cp:lastModifiedBy>
  <cp:lastPrinted>2023-12-04T00:58:00Z</cp:lastPrinted>
  <dcterms:modified xsi:type="dcterms:W3CDTF">2023-12-26T17:19:38Z</dcterms:modified>
  <dc:title>深圳市住房和建设局关于征求《关于促进深圳市科学研究和技术服务业经济稳增长的若干措施（征求意见稿）》的函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DC8DCE3D4DCC43DA96E316A0B257F386_12</vt:lpwstr>
  </property>
</Properties>
</file>