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p>
    <w:p>
      <w:pPr>
        <w:rPr>
          <w:sz w:val="44"/>
          <w:szCs w:val="44"/>
        </w:rPr>
      </w:pPr>
    </w:p>
    <w:p>
      <w:pPr>
        <w:jc w:val="center"/>
        <w:rPr>
          <w:rFonts w:asciiTheme="minorEastAsia" w:hAnsiTheme="minorEastAsia"/>
          <w:b/>
          <w:sz w:val="52"/>
          <w:szCs w:val="52"/>
        </w:rPr>
      </w:pPr>
      <w:r>
        <w:rPr>
          <w:rFonts w:hint="eastAsia" w:asciiTheme="minorEastAsia" w:hAnsiTheme="minorEastAsia"/>
          <w:b/>
          <w:sz w:val="52"/>
          <w:szCs w:val="52"/>
        </w:rPr>
        <w:t>深圳市广播电视技术中心</w:t>
      </w:r>
    </w:p>
    <w:p>
      <w:pPr>
        <w:pStyle w:val="4"/>
      </w:pPr>
    </w:p>
    <w:p>
      <w:pPr>
        <w:jc w:val="center"/>
        <w:rPr>
          <w:rFonts w:asciiTheme="minorEastAsia" w:hAnsiTheme="minorEastAsia"/>
          <w:b/>
          <w:sz w:val="52"/>
          <w:szCs w:val="52"/>
        </w:rPr>
      </w:pPr>
      <w:r>
        <w:rPr>
          <w:rFonts w:hint="eastAsia" w:asciiTheme="minorEastAsia" w:hAnsiTheme="minorEastAsia"/>
          <w:b/>
          <w:sz w:val="52"/>
          <w:szCs w:val="52"/>
        </w:rPr>
        <w:t>单频网U</w:t>
      </w:r>
      <w:r>
        <w:rPr>
          <w:rFonts w:asciiTheme="minorEastAsia" w:hAnsiTheme="minorEastAsia"/>
          <w:b/>
          <w:sz w:val="52"/>
          <w:szCs w:val="52"/>
        </w:rPr>
        <w:t>PS</w:t>
      </w:r>
      <w:r>
        <w:rPr>
          <w:rFonts w:hint="eastAsia" w:asciiTheme="minorEastAsia" w:hAnsiTheme="minorEastAsia"/>
          <w:b/>
          <w:sz w:val="52"/>
          <w:szCs w:val="52"/>
        </w:rPr>
        <w:t>采购项目</w:t>
      </w: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52"/>
          <w:szCs w:val="52"/>
        </w:rPr>
      </w:pPr>
    </w:p>
    <w:p>
      <w:pPr>
        <w:jc w:val="center"/>
        <w:rPr>
          <w:sz w:val="52"/>
          <w:szCs w:val="52"/>
        </w:rPr>
      </w:pPr>
    </w:p>
    <w:p>
      <w:pPr>
        <w:jc w:val="center"/>
        <w:rPr>
          <w:sz w:val="52"/>
          <w:szCs w:val="52"/>
        </w:rPr>
      </w:pPr>
    </w:p>
    <w:p>
      <w:pPr>
        <w:jc w:val="center"/>
      </w:pPr>
      <w:r>
        <w:rPr>
          <w:rFonts w:hint="eastAsia"/>
          <w:sz w:val="52"/>
          <w:szCs w:val="52"/>
        </w:rPr>
        <w:t>招标文件</w:t>
      </w:r>
    </w:p>
    <w:p/>
    <w:p/>
    <w:p/>
    <w:p/>
    <w:p>
      <w:pPr>
        <w:pStyle w:val="11"/>
        <w:rPr>
          <w:rFonts w:asciiTheme="minorHAnsi" w:hAnsiTheme="minorHAnsi" w:eastAsiaTheme="minorEastAsia" w:cstheme="minorBidi"/>
          <w:color w:val="auto"/>
          <w:kern w:val="2"/>
          <w:sz w:val="21"/>
          <w:szCs w:val="24"/>
          <w:lang w:val="zh-CN"/>
        </w:rPr>
        <w:sectPr>
          <w:footerReference r:id="rId3" w:type="default"/>
          <w:pgSz w:w="11906" w:h="16838"/>
          <w:pgMar w:top="1440" w:right="1800" w:bottom="1440" w:left="1800" w:header="851" w:footer="992" w:gutter="0"/>
          <w:cols w:space="425" w:num="1"/>
          <w:docGrid w:type="lines" w:linePitch="312" w:charSpace="0"/>
        </w:sectPr>
      </w:pPr>
    </w:p>
    <w:sdt>
      <w:sdtPr>
        <w:rPr>
          <w:rFonts w:asciiTheme="minorHAnsi" w:hAnsiTheme="minorHAnsi" w:eastAsiaTheme="minorEastAsia" w:cstheme="minorBidi"/>
          <w:color w:val="auto"/>
          <w:kern w:val="2"/>
          <w:sz w:val="21"/>
          <w:szCs w:val="24"/>
          <w:lang w:val="zh-CN"/>
        </w:rPr>
        <w:id w:val="-603491407"/>
        <w:docPartObj>
          <w:docPartGallery w:val="Table of Contents"/>
          <w:docPartUnique/>
        </w:docPartObj>
      </w:sdtPr>
      <w:sdtEndPr>
        <w:rPr>
          <w:rFonts w:ascii="Calibri" w:hAnsi="Calibri" w:eastAsia="宋体" w:cs="宋体"/>
          <w:b/>
          <w:bCs/>
          <w:color w:val="auto"/>
          <w:kern w:val="2"/>
          <w:sz w:val="28"/>
          <w:szCs w:val="28"/>
          <w:lang w:val="zh-CN"/>
        </w:rPr>
      </w:sdtEndPr>
      <w:sdtContent>
        <w:p>
          <w:pPr>
            <w:pStyle w:val="11"/>
          </w:pPr>
          <w:r>
            <w:rPr>
              <w:color w:val="auto"/>
              <w:lang w:val="zh-CN"/>
            </w:rPr>
            <w:t>目录</w:t>
          </w:r>
        </w:p>
        <w:p>
          <w:pPr>
            <w:pStyle w:val="7"/>
            <w:tabs>
              <w:tab w:val="right" w:leader="dot" w:pos="8306"/>
            </w:tabs>
            <w:spacing w:line="360" w:lineRule="auto"/>
            <w:rPr>
              <w:sz w:val="28"/>
              <w:szCs w:val="28"/>
            </w:rPr>
          </w:pPr>
          <w:r>
            <w:rPr>
              <w:sz w:val="28"/>
              <w:szCs w:val="28"/>
            </w:rPr>
            <w:fldChar w:fldCharType="begin"/>
          </w:r>
          <w:r>
            <w:rPr>
              <w:sz w:val="28"/>
              <w:szCs w:val="28"/>
            </w:rPr>
            <w:instrText xml:space="preserve"> TOC \o "1-3" \h \z \u </w:instrText>
          </w:r>
          <w:r>
            <w:rPr>
              <w:sz w:val="28"/>
              <w:szCs w:val="28"/>
            </w:rPr>
            <w:fldChar w:fldCharType="separate"/>
          </w:r>
          <w:r>
            <w:fldChar w:fldCharType="begin"/>
          </w:r>
          <w:r>
            <w:instrText xml:space="preserve"> HYPERLINK \l "_Toc24630" </w:instrText>
          </w:r>
          <w:r>
            <w:fldChar w:fldCharType="separate"/>
          </w:r>
          <w:r>
            <w:rPr>
              <w:rFonts w:hint="eastAsia"/>
              <w:sz w:val="28"/>
              <w:szCs w:val="28"/>
            </w:rPr>
            <w:t>一、项目概况：</w:t>
          </w:r>
          <w:r>
            <w:rPr>
              <w:sz w:val="28"/>
              <w:szCs w:val="28"/>
            </w:rPr>
            <w:tab/>
          </w:r>
          <w:r>
            <w:rPr>
              <w:rFonts w:hint="eastAsia"/>
              <w:sz w:val="28"/>
              <w:szCs w:val="28"/>
              <w:lang w:val="en-US" w:eastAsia="zh-CN"/>
            </w:rPr>
            <w:t>3</w:t>
          </w:r>
          <w:r>
            <w:rPr>
              <w:sz w:val="28"/>
              <w:szCs w:val="28"/>
            </w:rPr>
            <w:fldChar w:fldCharType="end"/>
          </w:r>
        </w:p>
        <w:p>
          <w:pPr>
            <w:pStyle w:val="7"/>
            <w:tabs>
              <w:tab w:val="right" w:leader="dot" w:pos="8306"/>
            </w:tabs>
            <w:spacing w:line="360" w:lineRule="auto"/>
            <w:rPr>
              <w:sz w:val="28"/>
              <w:szCs w:val="28"/>
            </w:rPr>
          </w:pPr>
          <w:r>
            <w:fldChar w:fldCharType="begin"/>
          </w:r>
          <w:r>
            <w:instrText xml:space="preserve"> HYPERLINK \l "_Toc12273" </w:instrText>
          </w:r>
          <w:r>
            <w:fldChar w:fldCharType="separate"/>
          </w:r>
          <w:r>
            <w:rPr>
              <w:rFonts w:hint="eastAsia"/>
              <w:sz w:val="28"/>
              <w:szCs w:val="28"/>
            </w:rPr>
            <w:t>二、投标人资质：</w:t>
          </w:r>
          <w:r>
            <w:rPr>
              <w:sz w:val="28"/>
              <w:szCs w:val="28"/>
            </w:rPr>
            <w:tab/>
          </w:r>
          <w:r>
            <w:rPr>
              <w:rFonts w:hint="eastAsia"/>
              <w:sz w:val="28"/>
              <w:szCs w:val="28"/>
              <w:lang w:val="en-US" w:eastAsia="zh-CN"/>
            </w:rPr>
            <w:t>3</w:t>
          </w:r>
          <w:r>
            <w:rPr>
              <w:sz w:val="28"/>
              <w:szCs w:val="28"/>
            </w:rPr>
            <w:fldChar w:fldCharType="end"/>
          </w:r>
        </w:p>
        <w:p>
          <w:pPr>
            <w:pStyle w:val="7"/>
            <w:tabs>
              <w:tab w:val="right" w:leader="dot" w:pos="8306"/>
            </w:tabs>
            <w:spacing w:line="360" w:lineRule="auto"/>
            <w:rPr>
              <w:rFonts w:hint="eastAsia" w:eastAsiaTheme="minorEastAsia"/>
              <w:sz w:val="28"/>
              <w:szCs w:val="28"/>
              <w:lang w:eastAsia="zh-CN"/>
            </w:rPr>
          </w:pPr>
          <w:r>
            <w:rPr>
              <w:sz w:val="28"/>
              <w:szCs w:val="28"/>
            </w:rPr>
            <w:fldChar w:fldCharType="begin"/>
          </w:r>
          <w:r>
            <w:rPr>
              <w:sz w:val="28"/>
              <w:szCs w:val="28"/>
            </w:rPr>
            <w:instrText xml:space="preserve"> HYPERLINK \l "_Toc31915" </w:instrText>
          </w:r>
          <w:r>
            <w:rPr>
              <w:sz w:val="28"/>
              <w:szCs w:val="28"/>
            </w:rPr>
            <w:fldChar w:fldCharType="separate"/>
          </w:r>
          <w:r>
            <w:rPr>
              <w:rFonts w:hint="eastAsia"/>
              <w:sz w:val="28"/>
              <w:szCs w:val="28"/>
            </w:rPr>
            <w:t>三、项目限价：</w:t>
          </w:r>
          <w:r>
            <w:rPr>
              <w:sz w:val="28"/>
              <w:szCs w:val="28"/>
            </w:rPr>
            <w:tab/>
          </w:r>
          <w:r>
            <w:rPr>
              <w:rFonts w:hint="eastAsia"/>
              <w:sz w:val="28"/>
              <w:szCs w:val="28"/>
              <w:lang w:val="en-US" w:eastAsia="zh-CN"/>
            </w:rPr>
            <w:t>3</w:t>
          </w:r>
        </w:p>
        <w:p>
          <w:pPr>
            <w:pStyle w:val="7"/>
            <w:tabs>
              <w:tab w:val="right" w:leader="dot" w:pos="8306"/>
            </w:tabs>
            <w:spacing w:line="360" w:lineRule="auto"/>
            <w:rPr>
              <w:sz w:val="28"/>
              <w:szCs w:val="28"/>
            </w:rPr>
          </w:pPr>
          <w:r>
            <w:rPr>
              <w:rFonts w:hint="eastAsia"/>
              <w:sz w:val="28"/>
              <w:szCs w:val="28"/>
            </w:rPr>
            <w:t>四、项目清单</w:t>
          </w:r>
          <w:r>
            <w:rPr>
              <w:sz w:val="28"/>
              <w:szCs w:val="28"/>
            </w:rPr>
            <w:tab/>
          </w:r>
          <w:r>
            <w:rPr>
              <w:rFonts w:hint="eastAsia"/>
              <w:sz w:val="28"/>
              <w:szCs w:val="28"/>
              <w:lang w:val="en-US" w:eastAsia="zh-CN"/>
            </w:rPr>
            <w:t>3</w:t>
          </w:r>
          <w:r>
            <w:rPr>
              <w:sz w:val="28"/>
              <w:szCs w:val="28"/>
            </w:rPr>
            <w:fldChar w:fldCharType="end"/>
          </w:r>
        </w:p>
        <w:p>
          <w:pPr>
            <w:pStyle w:val="7"/>
            <w:tabs>
              <w:tab w:val="right" w:leader="dot" w:pos="8306"/>
            </w:tabs>
            <w:spacing w:line="360" w:lineRule="auto"/>
            <w:rPr>
              <w:sz w:val="28"/>
              <w:szCs w:val="28"/>
            </w:rPr>
          </w:pPr>
          <w:r>
            <w:fldChar w:fldCharType="begin"/>
          </w:r>
          <w:r>
            <w:instrText xml:space="preserve"> HYPERLINK \l "_Toc4135" </w:instrText>
          </w:r>
          <w:r>
            <w:fldChar w:fldCharType="separate"/>
          </w:r>
          <w:r>
            <w:rPr>
              <w:rFonts w:hint="eastAsia"/>
              <w:sz w:val="28"/>
              <w:szCs w:val="28"/>
              <w:lang w:bidi="ar"/>
            </w:rPr>
            <w:t>五、项目要求：</w:t>
          </w:r>
          <w:r>
            <w:rPr>
              <w:sz w:val="28"/>
              <w:szCs w:val="28"/>
            </w:rPr>
            <w:tab/>
          </w:r>
          <w:r>
            <w:rPr>
              <w:rFonts w:hint="eastAsia"/>
              <w:sz w:val="28"/>
              <w:szCs w:val="28"/>
              <w:lang w:val="en-US" w:eastAsia="zh-CN"/>
            </w:rPr>
            <w:t>4</w:t>
          </w:r>
          <w:r>
            <w:rPr>
              <w:sz w:val="28"/>
              <w:szCs w:val="28"/>
            </w:rPr>
            <w:fldChar w:fldCharType="end"/>
          </w:r>
        </w:p>
        <w:p>
          <w:pPr>
            <w:pStyle w:val="7"/>
            <w:tabs>
              <w:tab w:val="right" w:leader="dot" w:pos="8306"/>
            </w:tabs>
            <w:spacing w:line="360" w:lineRule="auto"/>
            <w:rPr>
              <w:sz w:val="28"/>
              <w:szCs w:val="28"/>
            </w:rPr>
          </w:pPr>
          <w:r>
            <w:fldChar w:fldCharType="begin"/>
          </w:r>
          <w:r>
            <w:instrText xml:space="preserve"> HYPERLINK \l "_Toc8294" </w:instrText>
          </w:r>
          <w:r>
            <w:fldChar w:fldCharType="separate"/>
          </w:r>
          <w:r>
            <w:rPr>
              <w:rFonts w:hint="eastAsia"/>
              <w:sz w:val="28"/>
              <w:szCs w:val="28"/>
              <w:lang w:bidi="ar"/>
            </w:rPr>
            <w:t>六、其它：</w:t>
          </w:r>
          <w:r>
            <w:rPr>
              <w:sz w:val="28"/>
              <w:szCs w:val="28"/>
            </w:rPr>
            <w:tab/>
          </w:r>
          <w:r>
            <w:rPr>
              <w:sz w:val="28"/>
              <w:szCs w:val="28"/>
            </w:rPr>
            <w:fldChar w:fldCharType="begin"/>
          </w:r>
          <w:r>
            <w:rPr>
              <w:sz w:val="28"/>
              <w:szCs w:val="28"/>
            </w:rPr>
            <w:instrText xml:space="preserve"> PAGEREF _Toc8294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7"/>
            <w:tabs>
              <w:tab w:val="right" w:leader="dot" w:pos="8306"/>
            </w:tabs>
            <w:spacing w:line="360" w:lineRule="auto"/>
            <w:rPr>
              <w:rFonts w:hint="eastAsia" w:eastAsiaTheme="minorEastAsia"/>
              <w:sz w:val="28"/>
              <w:szCs w:val="28"/>
              <w:lang w:val="en-US" w:eastAsia="zh-CN"/>
            </w:rPr>
          </w:pPr>
          <w:r>
            <w:fldChar w:fldCharType="begin"/>
          </w:r>
          <w:r>
            <w:instrText xml:space="preserve"> HYPERLINK \l "_Toc10374" </w:instrText>
          </w:r>
          <w:r>
            <w:fldChar w:fldCharType="separate"/>
          </w:r>
          <w:r>
            <w:rPr>
              <w:rFonts w:hint="eastAsia"/>
              <w:sz w:val="28"/>
              <w:szCs w:val="28"/>
            </w:rPr>
            <w:t>七、评分办法：</w:t>
          </w:r>
          <w:r>
            <w:rPr>
              <w:sz w:val="28"/>
              <w:szCs w:val="28"/>
            </w:rPr>
            <w:tab/>
          </w:r>
          <w:r>
            <w:rPr>
              <w:rFonts w:hint="eastAsia"/>
              <w:sz w:val="28"/>
              <w:szCs w:val="28"/>
              <w:lang w:val="en-US" w:eastAsia="zh-CN"/>
            </w:rPr>
            <w:t>1</w:t>
          </w:r>
          <w:r>
            <w:rPr>
              <w:rFonts w:hint="eastAsia"/>
              <w:sz w:val="28"/>
              <w:szCs w:val="28"/>
            </w:rPr>
            <w:fldChar w:fldCharType="end"/>
          </w:r>
          <w:r>
            <w:rPr>
              <w:rFonts w:hint="eastAsia"/>
              <w:sz w:val="28"/>
              <w:szCs w:val="28"/>
              <w:lang w:val="en-US" w:eastAsia="zh-CN"/>
            </w:rPr>
            <w:t>1</w:t>
          </w:r>
        </w:p>
        <w:p>
          <w:pPr>
            <w:spacing w:line="360" w:lineRule="auto"/>
            <w:rPr>
              <w:sz w:val="28"/>
              <w:szCs w:val="28"/>
            </w:rPr>
          </w:pPr>
          <w:r>
            <w:rPr>
              <w:bCs/>
              <w:sz w:val="28"/>
              <w:szCs w:val="28"/>
              <w:lang w:val="zh-CN"/>
            </w:rPr>
            <w:fldChar w:fldCharType="end"/>
          </w:r>
        </w:p>
      </w:sdtContent>
    </w:sdt>
    <w:p>
      <w:pPr>
        <w:rPr>
          <w:sz w:val="28"/>
          <w:szCs w:val="28"/>
        </w:rPr>
      </w:pPr>
    </w:p>
    <w:p>
      <w:pPr>
        <w:rPr>
          <w:sz w:val="28"/>
          <w:szCs w:val="28"/>
        </w:rPr>
      </w:pPr>
    </w:p>
    <w:p>
      <w:pPr>
        <w:rPr>
          <w:sz w:val="28"/>
          <w:szCs w:val="28"/>
        </w:rPr>
      </w:pPr>
    </w:p>
    <w:p/>
    <w:p/>
    <w:p/>
    <w:p/>
    <w:p/>
    <w:p/>
    <w:p/>
    <w:p/>
    <w:p/>
    <w:p/>
    <w:p/>
    <w:p/>
    <w:p/>
    <w:p/>
    <w:p/>
    <w:p/>
    <w:p/>
    <w:p/>
    <w:p/>
    <w:p/>
    <w:p>
      <w:pPr>
        <w:pStyle w:val="3"/>
        <w:spacing w:before="0" w:after="0" w:line="240" w:lineRule="auto"/>
      </w:pPr>
      <w:r>
        <w:rPr>
          <w:rFonts w:hint="eastAsia"/>
        </w:rPr>
        <w:t>一、项目概况：</w:t>
      </w:r>
    </w:p>
    <w:p>
      <w:pPr>
        <w:pStyle w:val="3"/>
        <w:ind w:firstLine="560" w:firstLineChars="200"/>
        <w:jc w:val="left"/>
        <w:rPr>
          <w:rFonts w:ascii="宋体" w:hAnsi="宋体" w:eastAsia="宋体" w:cs="宋体"/>
          <w:b w:val="0"/>
          <w:bCs w:val="0"/>
          <w:sz w:val="28"/>
          <w:szCs w:val="28"/>
          <w:lang w:bidi="ar"/>
        </w:rPr>
      </w:pPr>
      <w:bookmarkStart w:id="0" w:name="_Toc12273"/>
      <w:r>
        <w:rPr>
          <w:rFonts w:hint="eastAsia" w:ascii="宋体" w:hAnsi="宋体" w:eastAsia="宋体" w:cs="宋体"/>
          <w:b w:val="0"/>
          <w:bCs w:val="0"/>
          <w:sz w:val="28"/>
          <w:szCs w:val="28"/>
          <w:lang w:bidi="ar"/>
        </w:rPr>
        <w:t>深圳国标地面数字电视单频网，为深圳市民收看电视节目提供便利</w:t>
      </w:r>
      <w:r>
        <w:rPr>
          <w:rFonts w:hint="eastAsia" w:ascii="宋体" w:hAnsi="宋体" w:eastAsia="宋体" w:cs="宋体"/>
          <w:b w:val="0"/>
          <w:bCs w:val="0"/>
          <w:color w:val="000000"/>
          <w:sz w:val="28"/>
          <w:szCs w:val="28"/>
        </w:rPr>
        <w:t>，取得良好的社会效益。</w:t>
      </w:r>
      <w:r>
        <w:rPr>
          <w:rFonts w:hint="eastAsia" w:ascii="宋体" w:hAnsi="宋体" w:eastAsia="宋体" w:cs="宋体"/>
          <w:b w:val="0"/>
          <w:bCs w:val="0"/>
          <w:sz w:val="28"/>
          <w:szCs w:val="28"/>
          <w:lang w:bidi="ar"/>
        </w:rPr>
        <w:t>单频网UPS设备至今已运行超13年，高频机UPS设备建议使用寿命为10年，目前设备均超期使用，内部电路板和电容等器件老化，造成故障率偏高，安全播出工作存在严重隐患，从实际出发，根据平常维护情况，更新各站点UPS设备（包括：大南山、莲花山郊野公园、塘朗山、坪山和桐基山），保障单频网各站点后端设备的稳定供电。</w:t>
      </w:r>
    </w:p>
    <w:p>
      <w:pPr>
        <w:pStyle w:val="3"/>
      </w:pPr>
      <w:r>
        <w:rPr>
          <w:rFonts w:hint="eastAsia"/>
        </w:rPr>
        <w:t>二、投标人资质：</w:t>
      </w:r>
      <w:bookmarkEnd w:id="0"/>
    </w:p>
    <w:p>
      <w:pPr>
        <w:pStyle w:val="3"/>
        <w:ind w:firstLine="560" w:firstLineChars="200"/>
        <w:jc w:val="left"/>
        <w:rPr>
          <w:rFonts w:ascii="宋体" w:hAnsi="宋体" w:eastAsia="宋体" w:cs="宋体"/>
          <w:b w:val="0"/>
          <w:bCs w:val="0"/>
          <w:sz w:val="28"/>
          <w:szCs w:val="28"/>
          <w:lang w:bidi="ar"/>
        </w:rPr>
      </w:pPr>
      <w:r>
        <w:rPr>
          <w:rFonts w:hint="eastAsia" w:ascii="宋体" w:hAnsi="宋体" w:eastAsia="宋体" w:cs="宋体"/>
          <w:b w:val="0"/>
          <w:bCs w:val="0"/>
          <w:sz w:val="28"/>
          <w:szCs w:val="28"/>
          <w:lang w:bidi="ar"/>
        </w:rPr>
        <w:t>有效的企业法人营业执照。</w:t>
      </w:r>
    </w:p>
    <w:p>
      <w:pPr>
        <w:spacing w:before="260" w:after="260" w:line="520" w:lineRule="exact"/>
        <w:rPr>
          <w:rFonts w:ascii="宋体" w:hAnsi="宋体"/>
          <w:b/>
          <w:bCs/>
          <w:sz w:val="32"/>
          <w:szCs w:val="32"/>
        </w:rPr>
      </w:pPr>
      <w:r>
        <w:rPr>
          <w:rFonts w:hint="eastAsia" w:ascii="宋体" w:hAnsi="宋体"/>
          <w:b/>
          <w:bCs/>
          <w:sz w:val="32"/>
          <w:szCs w:val="32"/>
        </w:rPr>
        <w:t>三、项目限价：</w:t>
      </w:r>
    </w:p>
    <w:p>
      <w:pPr>
        <w:pStyle w:val="3"/>
        <w:ind w:firstLine="560" w:firstLineChars="200"/>
        <w:jc w:val="left"/>
        <w:rPr>
          <w:rFonts w:ascii="宋体" w:hAnsi="宋体"/>
          <w:sz w:val="21"/>
          <w:szCs w:val="21"/>
        </w:rPr>
      </w:pPr>
      <w:r>
        <w:rPr>
          <w:rFonts w:hint="eastAsia" w:ascii="宋体" w:hAnsi="宋体" w:eastAsia="宋体" w:cs="宋体"/>
          <w:b w:val="0"/>
          <w:bCs w:val="0"/>
          <w:sz w:val="28"/>
          <w:szCs w:val="28"/>
          <w:lang w:bidi="ar"/>
        </w:rPr>
        <w:t>本项目最高限价为人民币30万元，报价人所报总价不能高于最高限价，若高于最高限价将导致报价无效。</w:t>
      </w:r>
    </w:p>
    <w:p>
      <w:pPr>
        <w:spacing w:line="360" w:lineRule="auto"/>
        <w:rPr>
          <w:rFonts w:ascii="微软雅黑" w:hAnsi="微软雅黑" w:eastAsia="微软雅黑" w:cs="微软雅黑"/>
          <w:b/>
          <w:bCs/>
          <w:sz w:val="22"/>
          <w:szCs w:val="22"/>
        </w:rPr>
      </w:pPr>
      <w:r>
        <w:rPr>
          <w:rFonts w:hint="eastAsia" w:ascii="宋体" w:hAnsi="宋体"/>
          <w:b/>
          <w:bCs/>
          <w:sz w:val="32"/>
          <w:szCs w:val="32"/>
        </w:rPr>
        <w:t>四、项目清单：</w:t>
      </w:r>
    </w:p>
    <w:tbl>
      <w:tblPr>
        <w:tblStyle w:val="8"/>
        <w:tblpPr w:leftFromText="180" w:rightFromText="180" w:vertAnchor="text" w:horzAnchor="page" w:tblpX="2077" w:tblpY="311"/>
        <w:tblOverlap w:val="never"/>
        <w:tblW w:w="87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2388"/>
        <w:gridCol w:w="1781"/>
        <w:gridCol w:w="1725"/>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44" w:type="dxa"/>
          </w:tcPr>
          <w:p>
            <w:pPr>
              <w:spacing w:line="360" w:lineRule="auto"/>
              <w:jc w:val="center"/>
              <w:rPr>
                <w:rFonts w:ascii="宋体" w:hAnsi="宋体"/>
                <w:sz w:val="28"/>
                <w:szCs w:val="28"/>
              </w:rPr>
            </w:pPr>
            <w:r>
              <w:rPr>
                <w:rFonts w:hint="eastAsia" w:ascii="宋体" w:hAnsi="宋体"/>
                <w:b/>
                <w:bCs/>
                <w:sz w:val="28"/>
                <w:szCs w:val="28"/>
              </w:rPr>
              <w:t>序号</w:t>
            </w:r>
          </w:p>
        </w:tc>
        <w:tc>
          <w:tcPr>
            <w:tcW w:w="2388" w:type="dxa"/>
          </w:tcPr>
          <w:p>
            <w:pPr>
              <w:spacing w:line="360" w:lineRule="auto"/>
              <w:jc w:val="center"/>
              <w:rPr>
                <w:rFonts w:ascii="宋体" w:hAnsi="宋体"/>
                <w:sz w:val="28"/>
                <w:szCs w:val="28"/>
              </w:rPr>
            </w:pPr>
            <w:r>
              <w:rPr>
                <w:rFonts w:hint="eastAsia" w:ascii="宋体" w:hAnsi="宋体"/>
                <w:b/>
                <w:bCs/>
                <w:sz w:val="28"/>
                <w:szCs w:val="28"/>
              </w:rPr>
              <w:t>货物名称</w:t>
            </w:r>
          </w:p>
        </w:tc>
        <w:tc>
          <w:tcPr>
            <w:tcW w:w="1781" w:type="dxa"/>
          </w:tcPr>
          <w:p>
            <w:pPr>
              <w:spacing w:line="360" w:lineRule="auto"/>
              <w:jc w:val="center"/>
              <w:rPr>
                <w:rFonts w:ascii="宋体" w:hAnsi="宋体"/>
                <w:b/>
                <w:bCs/>
                <w:sz w:val="28"/>
                <w:szCs w:val="28"/>
              </w:rPr>
            </w:pPr>
            <w:r>
              <w:rPr>
                <w:rFonts w:hint="eastAsia" w:ascii="宋体" w:hAnsi="宋体"/>
                <w:b/>
                <w:bCs/>
                <w:sz w:val="28"/>
                <w:szCs w:val="28"/>
              </w:rPr>
              <w:t>技术规格</w:t>
            </w:r>
          </w:p>
        </w:tc>
        <w:tc>
          <w:tcPr>
            <w:tcW w:w="1725" w:type="dxa"/>
          </w:tcPr>
          <w:p>
            <w:pPr>
              <w:spacing w:line="360" w:lineRule="auto"/>
              <w:jc w:val="center"/>
              <w:rPr>
                <w:rFonts w:ascii="宋体" w:hAnsi="宋体"/>
                <w:sz w:val="28"/>
                <w:szCs w:val="28"/>
              </w:rPr>
            </w:pPr>
            <w:r>
              <w:rPr>
                <w:rFonts w:hint="eastAsia" w:ascii="宋体" w:hAnsi="宋体"/>
                <w:b/>
                <w:bCs/>
                <w:sz w:val="28"/>
                <w:szCs w:val="28"/>
              </w:rPr>
              <w:t>数量</w:t>
            </w:r>
          </w:p>
        </w:tc>
        <w:tc>
          <w:tcPr>
            <w:tcW w:w="2106" w:type="dxa"/>
          </w:tcPr>
          <w:p>
            <w:pPr>
              <w:spacing w:line="360" w:lineRule="auto"/>
              <w:jc w:val="center"/>
              <w:rPr>
                <w:rFonts w:ascii="宋体" w:hAnsi="宋体"/>
                <w:b/>
                <w:bCs/>
                <w:sz w:val="28"/>
                <w:szCs w:val="28"/>
              </w:rPr>
            </w:pPr>
            <w:r>
              <w:rPr>
                <w:rFonts w:hint="eastAsia" w:ascii="宋体" w:hAnsi="宋体"/>
                <w:b/>
                <w:bCs/>
                <w:sz w:val="28"/>
                <w:szCs w:val="28"/>
              </w:rPr>
              <w:t>站点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trPr>
        <w:tc>
          <w:tcPr>
            <w:tcW w:w="744" w:type="dxa"/>
            <w:vAlign w:val="center"/>
          </w:tcPr>
          <w:p>
            <w:pPr>
              <w:spacing w:line="360" w:lineRule="auto"/>
              <w:jc w:val="center"/>
              <w:rPr>
                <w:rFonts w:ascii="宋体" w:hAnsi="宋体"/>
                <w:sz w:val="28"/>
                <w:szCs w:val="28"/>
              </w:rPr>
            </w:pPr>
            <w:r>
              <w:rPr>
                <w:rFonts w:hint="eastAsia" w:ascii="宋体" w:hAnsi="宋体"/>
                <w:sz w:val="28"/>
                <w:szCs w:val="28"/>
              </w:rPr>
              <w:t>1</w:t>
            </w:r>
          </w:p>
        </w:tc>
        <w:tc>
          <w:tcPr>
            <w:tcW w:w="2388" w:type="dxa"/>
            <w:vAlign w:val="center"/>
          </w:tcPr>
          <w:p>
            <w:pPr>
              <w:spacing w:line="360" w:lineRule="auto"/>
              <w:rPr>
                <w:rFonts w:ascii="宋体" w:hAnsi="宋体"/>
                <w:color w:val="FF0000"/>
                <w:sz w:val="28"/>
                <w:szCs w:val="28"/>
              </w:rPr>
            </w:pPr>
            <w:r>
              <w:rPr>
                <w:rFonts w:hint="eastAsia" w:ascii="宋体" w:hAnsi="宋体"/>
                <w:sz w:val="28"/>
                <w:szCs w:val="28"/>
              </w:rPr>
              <w:t xml:space="preserve">   30KVA UPS</w:t>
            </w:r>
          </w:p>
        </w:tc>
        <w:tc>
          <w:tcPr>
            <w:tcW w:w="1781" w:type="dxa"/>
            <w:vAlign w:val="center"/>
          </w:tcPr>
          <w:p>
            <w:pPr>
              <w:spacing w:line="360" w:lineRule="auto"/>
              <w:jc w:val="center"/>
              <w:rPr>
                <w:rFonts w:ascii="宋体" w:hAnsi="宋体"/>
                <w:sz w:val="28"/>
                <w:szCs w:val="28"/>
              </w:rPr>
            </w:pPr>
            <w:r>
              <w:rPr>
                <w:rFonts w:hint="eastAsia" w:ascii="宋体" w:hAnsi="宋体"/>
                <w:sz w:val="28"/>
                <w:szCs w:val="28"/>
              </w:rPr>
              <w:t>详见技术要求</w:t>
            </w:r>
          </w:p>
        </w:tc>
        <w:tc>
          <w:tcPr>
            <w:tcW w:w="1725" w:type="dxa"/>
            <w:vAlign w:val="center"/>
          </w:tcPr>
          <w:p>
            <w:pPr>
              <w:spacing w:line="360" w:lineRule="auto"/>
              <w:jc w:val="center"/>
              <w:rPr>
                <w:rFonts w:ascii="宋体" w:hAnsi="宋体"/>
                <w:b/>
                <w:bCs/>
                <w:sz w:val="28"/>
                <w:szCs w:val="28"/>
              </w:rPr>
            </w:pPr>
            <w:r>
              <w:rPr>
                <w:rFonts w:hint="eastAsia" w:ascii="宋体" w:hAnsi="宋体"/>
                <w:sz w:val="28"/>
                <w:szCs w:val="28"/>
              </w:rPr>
              <w:t>2台</w:t>
            </w:r>
          </w:p>
        </w:tc>
        <w:tc>
          <w:tcPr>
            <w:tcW w:w="2106" w:type="dxa"/>
            <w:vAlign w:val="center"/>
          </w:tcPr>
          <w:p>
            <w:pPr>
              <w:spacing w:line="360" w:lineRule="auto"/>
              <w:jc w:val="center"/>
              <w:rPr>
                <w:rFonts w:ascii="宋体" w:hAnsi="宋体"/>
                <w:sz w:val="28"/>
                <w:szCs w:val="28"/>
              </w:rPr>
            </w:pPr>
            <w:r>
              <w:rPr>
                <w:rFonts w:hint="eastAsia" w:ascii="宋体" w:hAnsi="宋体"/>
                <w:sz w:val="28"/>
                <w:szCs w:val="28"/>
              </w:rPr>
              <w:t>大南山/宝安制高点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trPr>
        <w:tc>
          <w:tcPr>
            <w:tcW w:w="744" w:type="dxa"/>
            <w:vAlign w:val="center"/>
          </w:tcPr>
          <w:p>
            <w:pPr>
              <w:spacing w:line="360" w:lineRule="auto"/>
              <w:jc w:val="center"/>
              <w:rPr>
                <w:rFonts w:ascii="宋体" w:hAnsi="宋体"/>
                <w:sz w:val="28"/>
                <w:szCs w:val="28"/>
              </w:rPr>
            </w:pPr>
            <w:r>
              <w:rPr>
                <w:rFonts w:hint="eastAsia" w:ascii="宋体" w:hAnsi="宋体"/>
                <w:sz w:val="28"/>
                <w:szCs w:val="28"/>
              </w:rPr>
              <w:t>2</w:t>
            </w:r>
          </w:p>
        </w:tc>
        <w:tc>
          <w:tcPr>
            <w:tcW w:w="2388" w:type="dxa"/>
            <w:vAlign w:val="center"/>
          </w:tcPr>
          <w:p>
            <w:pPr>
              <w:spacing w:line="360" w:lineRule="auto"/>
              <w:rPr>
                <w:rFonts w:ascii="宋体" w:hAnsi="宋体"/>
                <w:sz w:val="28"/>
                <w:szCs w:val="28"/>
              </w:rPr>
            </w:pPr>
            <w:r>
              <w:rPr>
                <w:rFonts w:hint="eastAsia" w:ascii="宋体" w:hAnsi="宋体"/>
                <w:sz w:val="28"/>
                <w:szCs w:val="28"/>
              </w:rPr>
              <w:t xml:space="preserve">   20KVA UPS</w:t>
            </w:r>
          </w:p>
        </w:tc>
        <w:tc>
          <w:tcPr>
            <w:tcW w:w="1781" w:type="dxa"/>
            <w:vAlign w:val="center"/>
          </w:tcPr>
          <w:p>
            <w:pPr>
              <w:spacing w:line="360" w:lineRule="auto"/>
              <w:jc w:val="center"/>
              <w:rPr>
                <w:rFonts w:ascii="宋体" w:hAnsi="宋体"/>
                <w:sz w:val="28"/>
                <w:szCs w:val="28"/>
              </w:rPr>
            </w:pPr>
            <w:r>
              <w:rPr>
                <w:rFonts w:hint="eastAsia" w:ascii="宋体" w:hAnsi="宋体"/>
                <w:sz w:val="28"/>
                <w:szCs w:val="28"/>
              </w:rPr>
              <w:t>详见技术要求</w:t>
            </w:r>
          </w:p>
        </w:tc>
        <w:tc>
          <w:tcPr>
            <w:tcW w:w="1725" w:type="dxa"/>
            <w:vAlign w:val="center"/>
          </w:tcPr>
          <w:p>
            <w:pPr>
              <w:spacing w:line="360" w:lineRule="auto"/>
              <w:jc w:val="center"/>
              <w:rPr>
                <w:rFonts w:ascii="宋体" w:hAnsi="宋体"/>
                <w:sz w:val="28"/>
                <w:szCs w:val="28"/>
              </w:rPr>
            </w:pPr>
            <w:r>
              <w:rPr>
                <w:rFonts w:hint="eastAsia" w:ascii="宋体" w:hAnsi="宋体"/>
                <w:sz w:val="28"/>
                <w:szCs w:val="28"/>
              </w:rPr>
              <w:t>2台</w:t>
            </w:r>
          </w:p>
        </w:tc>
        <w:tc>
          <w:tcPr>
            <w:tcW w:w="2106" w:type="dxa"/>
            <w:vAlign w:val="center"/>
          </w:tcPr>
          <w:p>
            <w:pPr>
              <w:spacing w:line="360" w:lineRule="auto"/>
              <w:jc w:val="center"/>
              <w:rPr>
                <w:rFonts w:ascii="宋体" w:hAnsi="宋体"/>
                <w:sz w:val="28"/>
                <w:szCs w:val="28"/>
              </w:rPr>
            </w:pPr>
            <w:r>
              <w:rPr>
                <w:rFonts w:hint="eastAsia" w:ascii="宋体" w:hAnsi="宋体"/>
                <w:sz w:val="28"/>
                <w:szCs w:val="28"/>
              </w:rPr>
              <w:t>塘朗山/坪山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trPr>
        <w:tc>
          <w:tcPr>
            <w:tcW w:w="744" w:type="dxa"/>
            <w:vAlign w:val="center"/>
          </w:tcPr>
          <w:p>
            <w:pPr>
              <w:spacing w:line="360" w:lineRule="auto"/>
              <w:jc w:val="center"/>
              <w:rPr>
                <w:rFonts w:ascii="宋体" w:hAnsi="宋体"/>
                <w:sz w:val="28"/>
                <w:szCs w:val="28"/>
              </w:rPr>
            </w:pPr>
            <w:r>
              <w:rPr>
                <w:rFonts w:hint="eastAsia" w:ascii="宋体" w:hAnsi="宋体"/>
                <w:sz w:val="28"/>
                <w:szCs w:val="28"/>
              </w:rPr>
              <w:t>3</w:t>
            </w:r>
          </w:p>
        </w:tc>
        <w:tc>
          <w:tcPr>
            <w:tcW w:w="2388" w:type="dxa"/>
            <w:vAlign w:val="center"/>
          </w:tcPr>
          <w:p>
            <w:pPr>
              <w:spacing w:line="360" w:lineRule="auto"/>
              <w:rPr>
                <w:rFonts w:ascii="宋体" w:hAnsi="宋体"/>
                <w:sz w:val="28"/>
                <w:szCs w:val="28"/>
              </w:rPr>
            </w:pPr>
            <w:r>
              <w:rPr>
                <w:rFonts w:hint="eastAsia" w:ascii="宋体" w:hAnsi="宋体"/>
                <w:sz w:val="28"/>
                <w:szCs w:val="28"/>
              </w:rPr>
              <w:t xml:space="preserve">    10KVA UPS</w:t>
            </w:r>
          </w:p>
        </w:tc>
        <w:tc>
          <w:tcPr>
            <w:tcW w:w="1781" w:type="dxa"/>
            <w:vAlign w:val="center"/>
          </w:tcPr>
          <w:p>
            <w:pPr>
              <w:spacing w:line="360" w:lineRule="auto"/>
              <w:jc w:val="center"/>
              <w:rPr>
                <w:rFonts w:ascii="宋体" w:hAnsi="宋体"/>
                <w:sz w:val="28"/>
                <w:szCs w:val="28"/>
              </w:rPr>
            </w:pPr>
            <w:r>
              <w:rPr>
                <w:rFonts w:hint="eastAsia" w:ascii="宋体" w:hAnsi="宋体"/>
                <w:sz w:val="28"/>
                <w:szCs w:val="28"/>
              </w:rPr>
              <w:t>详见技术要求</w:t>
            </w:r>
          </w:p>
        </w:tc>
        <w:tc>
          <w:tcPr>
            <w:tcW w:w="1725" w:type="dxa"/>
            <w:vAlign w:val="center"/>
          </w:tcPr>
          <w:p>
            <w:pPr>
              <w:spacing w:line="360" w:lineRule="auto"/>
              <w:jc w:val="center"/>
              <w:rPr>
                <w:rFonts w:ascii="宋体" w:hAnsi="宋体"/>
                <w:sz w:val="28"/>
                <w:szCs w:val="28"/>
              </w:rPr>
            </w:pPr>
            <w:r>
              <w:rPr>
                <w:rFonts w:hint="eastAsia" w:ascii="宋体" w:hAnsi="宋体"/>
                <w:sz w:val="28"/>
                <w:szCs w:val="28"/>
              </w:rPr>
              <w:t>1台</w:t>
            </w:r>
          </w:p>
        </w:tc>
        <w:tc>
          <w:tcPr>
            <w:tcW w:w="2106" w:type="dxa"/>
            <w:vAlign w:val="center"/>
          </w:tcPr>
          <w:p>
            <w:pPr>
              <w:spacing w:line="360" w:lineRule="auto"/>
              <w:jc w:val="center"/>
              <w:rPr>
                <w:rFonts w:ascii="宋体" w:hAnsi="宋体"/>
                <w:sz w:val="28"/>
                <w:szCs w:val="28"/>
              </w:rPr>
            </w:pPr>
            <w:r>
              <w:rPr>
                <w:rFonts w:hint="eastAsia" w:ascii="宋体" w:hAnsi="宋体"/>
                <w:sz w:val="28"/>
                <w:szCs w:val="28"/>
              </w:rPr>
              <w:t>桐基山</w:t>
            </w:r>
          </w:p>
        </w:tc>
      </w:tr>
    </w:tbl>
    <w:p>
      <w:pPr>
        <w:rPr>
          <w:rFonts w:hint="eastAsia"/>
        </w:rPr>
      </w:pPr>
    </w:p>
    <w:p>
      <w:pPr>
        <w:spacing w:line="360" w:lineRule="auto"/>
        <w:rPr>
          <w:szCs w:val="21"/>
        </w:rPr>
      </w:pPr>
      <w:r>
        <w:rPr>
          <w:rFonts w:hint="eastAsia" w:ascii="宋体" w:hAnsi="宋体"/>
          <w:b/>
          <w:bCs/>
          <w:sz w:val="32"/>
          <w:szCs w:val="32"/>
        </w:rPr>
        <w:t>五、项目要求：</w:t>
      </w:r>
    </w:p>
    <w:p>
      <w:pPr>
        <w:spacing w:line="360" w:lineRule="auto"/>
        <w:rPr>
          <w:rFonts w:ascii="宋体" w:hAnsi="宋体"/>
          <w:b/>
          <w:bCs/>
          <w:sz w:val="28"/>
          <w:szCs w:val="28"/>
        </w:rPr>
      </w:pPr>
      <w:r>
        <w:rPr>
          <w:rFonts w:hint="eastAsia" w:ascii="宋体" w:hAnsi="宋体"/>
          <w:b/>
          <w:bCs/>
          <w:sz w:val="28"/>
          <w:szCs w:val="28"/>
        </w:rPr>
        <w:t>1）设备一般要求</w:t>
      </w:r>
    </w:p>
    <w:p>
      <w:pPr>
        <w:numPr>
          <w:ilvl w:val="0"/>
          <w:numId w:val="1"/>
        </w:numPr>
        <w:spacing w:line="360" w:lineRule="auto"/>
        <w:rPr>
          <w:rFonts w:ascii="宋体" w:hAnsi="宋体"/>
          <w:sz w:val="28"/>
          <w:szCs w:val="28"/>
        </w:rPr>
      </w:pPr>
      <w:r>
        <w:rPr>
          <w:rFonts w:hint="eastAsia" w:ascii="宋体" w:hAnsi="宋体"/>
          <w:sz w:val="28"/>
          <w:szCs w:val="28"/>
        </w:rPr>
        <w:t>所供货物必须是已注册的市场成熟品牌产品，在中国市场有较为成熟用户且具有正式代理渠道的产品，无知识产权使用纠纷，质量要求和技术要求必须符合国家相关技术标准和有效质量检测部门出具的货物检验合格证明。</w:t>
      </w:r>
    </w:p>
    <w:p>
      <w:pPr>
        <w:numPr>
          <w:ilvl w:val="0"/>
          <w:numId w:val="1"/>
        </w:numPr>
        <w:spacing w:line="360" w:lineRule="auto"/>
        <w:rPr>
          <w:rFonts w:ascii="宋体" w:hAnsi="宋体"/>
          <w:sz w:val="28"/>
          <w:szCs w:val="28"/>
        </w:rPr>
      </w:pPr>
      <w:r>
        <w:rPr>
          <w:rFonts w:hint="eastAsia" w:ascii="宋体" w:hAnsi="宋体"/>
          <w:sz w:val="28"/>
          <w:szCs w:val="28"/>
        </w:rPr>
        <w:t>所供货物应是全新、未使用过的产品，标识明显，准确显示货物型号、规格、产品生产日期或批（编）号、产品注册证号、生产许可证号、产品标准编号、生产企业名称、注册地址、生产地址、联系方式；货物外观清洁、字迹清晰、明确，限期使用的产品应标明有效期。</w:t>
      </w:r>
    </w:p>
    <w:p>
      <w:pPr>
        <w:numPr>
          <w:ilvl w:val="0"/>
          <w:numId w:val="1"/>
        </w:numPr>
        <w:spacing w:line="360" w:lineRule="auto"/>
        <w:rPr>
          <w:rFonts w:ascii="宋体" w:hAnsi="宋体"/>
          <w:sz w:val="28"/>
          <w:szCs w:val="28"/>
        </w:rPr>
      </w:pPr>
      <w:r>
        <w:rPr>
          <w:rFonts w:hint="eastAsia" w:ascii="宋体" w:hAnsi="宋体"/>
          <w:sz w:val="28"/>
          <w:szCs w:val="28"/>
        </w:rPr>
        <w:t>所供货物技术规格、标准应符合用户需求书要求，技术参数须提供原厂技术参数文件为凭证。</w:t>
      </w:r>
    </w:p>
    <w:p>
      <w:pPr>
        <w:numPr>
          <w:ilvl w:val="0"/>
          <w:numId w:val="1"/>
        </w:numPr>
        <w:spacing w:line="360" w:lineRule="auto"/>
        <w:rPr>
          <w:rFonts w:hint="eastAsia" w:ascii="宋体" w:hAnsi="宋体"/>
          <w:sz w:val="28"/>
          <w:szCs w:val="28"/>
        </w:rPr>
      </w:pPr>
      <w:r>
        <w:rPr>
          <w:rFonts w:hint="eastAsia" w:ascii="宋体" w:hAnsi="宋体"/>
          <w:sz w:val="28"/>
          <w:szCs w:val="28"/>
        </w:rPr>
        <w:t>对于影响货物正常工作的必要组成部分，无论在技术规范中指出与否，报价人都应在报价文件中明确列出。</w:t>
      </w:r>
    </w:p>
    <w:p>
      <w:pPr>
        <w:pStyle w:val="15"/>
        <w:numPr>
          <w:ilvl w:val="0"/>
          <w:numId w:val="2"/>
        </w:numPr>
        <w:spacing w:line="360" w:lineRule="auto"/>
        <w:ind w:firstLineChars="0"/>
        <w:rPr>
          <w:rFonts w:ascii="宋体" w:hAnsi="宋体"/>
          <w:b/>
          <w:bCs/>
          <w:sz w:val="28"/>
          <w:szCs w:val="28"/>
        </w:rPr>
      </w:pPr>
      <w:r>
        <w:rPr>
          <w:rFonts w:hint="eastAsia" w:ascii="宋体" w:hAnsi="宋体"/>
          <w:b/>
          <w:bCs/>
          <w:sz w:val="28"/>
          <w:szCs w:val="28"/>
        </w:rPr>
        <w:t>技术指标要求</w:t>
      </w:r>
    </w:p>
    <w:p>
      <w:pPr>
        <w:pStyle w:val="3"/>
        <w:ind w:firstLine="560" w:firstLineChars="200"/>
        <w:jc w:val="left"/>
        <w:rPr>
          <w:rFonts w:ascii="宋体" w:hAnsi="宋体" w:eastAsia="宋体" w:cs="宋体"/>
          <w:b w:val="0"/>
          <w:bCs w:val="0"/>
          <w:sz w:val="28"/>
          <w:szCs w:val="28"/>
          <w:lang w:bidi="ar"/>
        </w:rPr>
      </w:pPr>
      <w:r>
        <w:rPr>
          <w:rFonts w:hint="eastAsia" w:ascii="宋体" w:hAnsi="宋体" w:eastAsia="宋体" w:cs="宋体"/>
          <w:b w:val="0"/>
          <w:bCs w:val="0"/>
          <w:sz w:val="28"/>
          <w:szCs w:val="28"/>
        </w:rPr>
        <w:t>1</w:t>
      </w:r>
      <w:r>
        <w:rPr>
          <w:rFonts w:hint="eastAsia" w:ascii="宋体" w:hAnsi="宋体" w:eastAsia="宋体" w:cs="宋体"/>
          <w:sz w:val="28"/>
          <w:szCs w:val="28"/>
        </w:rPr>
        <w:t>、</w:t>
      </w:r>
      <w:r>
        <w:rPr>
          <w:rFonts w:hint="eastAsia" w:ascii="宋体" w:hAnsi="宋体" w:eastAsia="宋体" w:cs="宋体"/>
          <w:b w:val="0"/>
          <w:bCs w:val="0"/>
          <w:sz w:val="28"/>
          <w:szCs w:val="28"/>
          <w:lang w:bidi="ar"/>
        </w:rPr>
        <w:t>主机工作方式：双变换在线式带静态旁路及输入，输出开关和手动维修旁路开关（无间隙切换方式）；</w:t>
      </w:r>
    </w:p>
    <w:p>
      <w:pPr>
        <w:pStyle w:val="3"/>
        <w:ind w:firstLine="560" w:firstLineChars="200"/>
        <w:jc w:val="left"/>
        <w:rPr>
          <w:rFonts w:ascii="宋体" w:hAnsi="宋体" w:eastAsia="宋体" w:cs="宋体"/>
          <w:b w:val="0"/>
          <w:bCs w:val="0"/>
          <w:sz w:val="28"/>
          <w:szCs w:val="28"/>
          <w:lang w:bidi="ar"/>
        </w:rPr>
      </w:pPr>
      <w:r>
        <w:rPr>
          <w:rFonts w:hint="eastAsia" w:ascii="宋体" w:hAnsi="宋体" w:eastAsia="宋体" w:cs="宋体"/>
          <w:b w:val="0"/>
          <w:bCs w:val="0"/>
          <w:sz w:val="28"/>
          <w:szCs w:val="28"/>
          <w:lang w:bidi="ar"/>
        </w:rPr>
        <w:t>2、系统运行方式：单机运行。</w:t>
      </w:r>
    </w:p>
    <w:p>
      <w:pPr>
        <w:pStyle w:val="3"/>
        <w:ind w:firstLine="560" w:firstLineChars="200"/>
        <w:jc w:val="left"/>
        <w:rPr>
          <w:rFonts w:ascii="宋体" w:hAnsi="宋体" w:eastAsia="宋体" w:cs="宋体"/>
          <w:b w:val="0"/>
          <w:bCs w:val="0"/>
          <w:sz w:val="28"/>
          <w:szCs w:val="28"/>
          <w:lang w:bidi="ar"/>
        </w:rPr>
      </w:pPr>
      <w:r>
        <w:rPr>
          <w:rFonts w:hint="eastAsia" w:ascii="宋体" w:hAnsi="宋体" w:eastAsia="宋体" w:cs="宋体"/>
          <w:b w:val="0"/>
          <w:bCs w:val="0"/>
          <w:sz w:val="28"/>
          <w:szCs w:val="28"/>
          <w:lang w:bidi="ar"/>
        </w:rPr>
        <w:t>3、 UPS输入、输出电源采用三进三出供电模式，输入电压： 400VAC±15％（主输入电源为三相）；频率范围：40-72HZ；输入电流谐波失真：THDi＜3%（线性满载）；输入功率因数：0.99。</w:t>
      </w:r>
    </w:p>
    <w:p>
      <w:pPr>
        <w:pStyle w:val="3"/>
        <w:ind w:firstLine="560" w:firstLineChars="200"/>
        <w:jc w:val="left"/>
        <w:rPr>
          <w:rFonts w:ascii="宋体" w:hAnsi="宋体" w:eastAsia="宋体" w:cs="宋体"/>
          <w:b w:val="0"/>
          <w:bCs w:val="0"/>
          <w:sz w:val="28"/>
          <w:szCs w:val="28"/>
          <w:lang w:bidi="ar"/>
        </w:rPr>
      </w:pPr>
      <w:r>
        <w:rPr>
          <w:rFonts w:hint="eastAsia" w:ascii="宋体" w:hAnsi="宋体" w:eastAsia="宋体" w:cs="宋体"/>
          <w:b w:val="0"/>
          <w:bCs w:val="0"/>
          <w:sz w:val="28"/>
          <w:szCs w:val="28"/>
          <w:lang w:bidi="ar"/>
        </w:rPr>
        <w:t>4、旁路的具体设置情况，每台单机设有自己的静态旁路和内置维修旁路系统；</w:t>
      </w:r>
    </w:p>
    <w:p>
      <w:pPr>
        <w:pStyle w:val="3"/>
        <w:ind w:firstLine="560" w:firstLineChars="200"/>
        <w:jc w:val="left"/>
        <w:rPr>
          <w:rFonts w:ascii="宋体" w:hAnsi="宋体" w:eastAsia="宋体" w:cs="宋体"/>
          <w:b w:val="0"/>
          <w:bCs w:val="0"/>
          <w:sz w:val="28"/>
          <w:szCs w:val="28"/>
          <w:lang w:bidi="ar"/>
        </w:rPr>
      </w:pPr>
      <w:r>
        <w:rPr>
          <w:rFonts w:hint="eastAsia" w:ascii="宋体" w:hAnsi="宋体" w:eastAsia="宋体" w:cs="宋体"/>
          <w:b w:val="0"/>
          <w:bCs w:val="0"/>
          <w:sz w:val="28"/>
          <w:szCs w:val="28"/>
          <w:lang w:bidi="ar"/>
        </w:rPr>
        <w:t>5、UPS具有输出端短路保护功能。</w:t>
      </w:r>
    </w:p>
    <w:p>
      <w:pPr>
        <w:pStyle w:val="3"/>
        <w:ind w:firstLine="560" w:firstLineChars="200"/>
        <w:jc w:val="left"/>
        <w:rPr>
          <w:rFonts w:ascii="宋体" w:hAnsi="宋体" w:eastAsia="宋体" w:cs="宋体"/>
          <w:b w:val="0"/>
          <w:bCs w:val="0"/>
          <w:sz w:val="28"/>
          <w:szCs w:val="28"/>
          <w:lang w:bidi="ar"/>
        </w:rPr>
      </w:pPr>
      <w:r>
        <w:rPr>
          <w:rFonts w:hint="eastAsia" w:ascii="宋体" w:hAnsi="宋体" w:eastAsia="宋体" w:cs="宋体"/>
          <w:b w:val="0"/>
          <w:bCs w:val="0"/>
          <w:sz w:val="28"/>
          <w:szCs w:val="28"/>
          <w:lang w:bidi="ar"/>
        </w:rPr>
        <w:t>6、逆变器：采用全数字DSP控制IGBT逆变技术。</w:t>
      </w:r>
    </w:p>
    <w:p>
      <w:pPr>
        <w:pStyle w:val="3"/>
        <w:ind w:firstLine="560" w:firstLineChars="200"/>
        <w:jc w:val="left"/>
        <w:rPr>
          <w:rFonts w:ascii="宋体" w:hAnsi="宋体" w:eastAsia="宋体" w:cs="宋体"/>
          <w:b w:val="0"/>
          <w:bCs w:val="0"/>
          <w:sz w:val="28"/>
          <w:szCs w:val="28"/>
          <w:lang w:bidi="ar"/>
        </w:rPr>
      </w:pPr>
      <w:r>
        <w:rPr>
          <w:rFonts w:hint="eastAsia" w:ascii="宋体" w:hAnsi="宋体" w:eastAsia="宋体" w:cs="宋体"/>
          <w:b w:val="0"/>
          <w:bCs w:val="0"/>
          <w:sz w:val="28"/>
          <w:szCs w:val="28"/>
          <w:lang w:bidi="ar"/>
        </w:rPr>
        <w:t>7、整流器要求：采用全数字控制IGBT高频整流技术</w:t>
      </w:r>
    </w:p>
    <w:p>
      <w:pPr>
        <w:pStyle w:val="3"/>
        <w:ind w:firstLine="560" w:firstLineChars="200"/>
        <w:jc w:val="left"/>
        <w:rPr>
          <w:rFonts w:ascii="宋体" w:hAnsi="宋体" w:eastAsia="宋体" w:cs="宋体"/>
          <w:b w:val="0"/>
          <w:bCs w:val="0"/>
          <w:sz w:val="28"/>
          <w:szCs w:val="28"/>
          <w:lang w:bidi="ar"/>
        </w:rPr>
      </w:pPr>
      <w:r>
        <w:rPr>
          <w:rFonts w:hint="eastAsia" w:ascii="宋体" w:hAnsi="宋体" w:eastAsia="宋体" w:cs="宋体"/>
          <w:b w:val="0"/>
          <w:bCs w:val="0"/>
          <w:sz w:val="28"/>
          <w:szCs w:val="28"/>
          <w:lang w:bidi="ar"/>
        </w:rPr>
        <w:t xml:space="preserve">8、电池数量32节。 </w:t>
      </w:r>
    </w:p>
    <w:p>
      <w:pPr>
        <w:pStyle w:val="3"/>
        <w:ind w:firstLine="560" w:firstLineChars="200"/>
        <w:jc w:val="left"/>
        <w:rPr>
          <w:rFonts w:ascii="宋体" w:hAnsi="宋体" w:eastAsia="宋体" w:cs="宋体"/>
          <w:b w:val="0"/>
          <w:bCs w:val="0"/>
          <w:sz w:val="28"/>
          <w:szCs w:val="28"/>
          <w:lang w:bidi="ar"/>
        </w:rPr>
      </w:pPr>
      <w:r>
        <w:rPr>
          <w:rFonts w:hint="eastAsia" w:ascii="宋体" w:hAnsi="宋体" w:eastAsia="宋体" w:cs="宋体"/>
          <w:b w:val="0"/>
          <w:bCs w:val="0"/>
          <w:sz w:val="28"/>
          <w:szCs w:val="28"/>
          <w:lang w:bidi="ar"/>
        </w:rPr>
        <w:t>9、输出要求：</w:t>
      </w:r>
    </w:p>
    <w:p>
      <w:pPr>
        <w:pStyle w:val="3"/>
        <w:ind w:firstLine="560" w:firstLineChars="200"/>
        <w:jc w:val="left"/>
        <w:rPr>
          <w:rFonts w:ascii="宋体" w:hAnsi="宋体" w:eastAsia="宋体" w:cs="宋体"/>
          <w:b w:val="0"/>
          <w:bCs w:val="0"/>
          <w:sz w:val="28"/>
          <w:szCs w:val="28"/>
          <w:lang w:bidi="ar"/>
        </w:rPr>
      </w:pPr>
      <w:r>
        <w:rPr>
          <w:rFonts w:hint="eastAsia" w:ascii="宋体" w:hAnsi="宋体" w:eastAsia="宋体" w:cs="宋体"/>
          <w:b w:val="0"/>
          <w:bCs w:val="0"/>
          <w:sz w:val="28"/>
          <w:szCs w:val="28"/>
          <w:lang w:bidi="ar"/>
        </w:rPr>
        <w:t>9.1、输出电压稳压精度：静态±1％，瞬态负载跳变（0-100％阶跃性负载）时≤±5％；</w:t>
      </w:r>
    </w:p>
    <w:p>
      <w:pPr>
        <w:pStyle w:val="3"/>
        <w:ind w:firstLine="560" w:firstLineChars="200"/>
        <w:jc w:val="left"/>
        <w:rPr>
          <w:rFonts w:ascii="宋体" w:hAnsi="宋体" w:eastAsia="宋体" w:cs="宋体"/>
          <w:b w:val="0"/>
          <w:bCs w:val="0"/>
          <w:sz w:val="28"/>
          <w:szCs w:val="28"/>
          <w:lang w:bidi="ar"/>
        </w:rPr>
      </w:pPr>
      <w:r>
        <w:rPr>
          <w:rFonts w:hint="eastAsia" w:ascii="宋体" w:hAnsi="宋体" w:eastAsia="宋体" w:cs="宋体"/>
          <w:b w:val="0"/>
          <w:bCs w:val="0"/>
          <w:sz w:val="28"/>
          <w:szCs w:val="28"/>
          <w:lang w:bidi="ar"/>
        </w:rPr>
        <w:t>9.2、瞬时恢复时间：在20ms内，恢复到±1％输出电压稳态值；</w:t>
      </w:r>
    </w:p>
    <w:p>
      <w:pPr>
        <w:pStyle w:val="3"/>
        <w:ind w:firstLine="560" w:firstLineChars="200"/>
        <w:jc w:val="left"/>
        <w:rPr>
          <w:rFonts w:ascii="宋体" w:hAnsi="宋体" w:eastAsia="宋体" w:cs="宋体"/>
          <w:b w:val="0"/>
          <w:bCs w:val="0"/>
          <w:sz w:val="28"/>
          <w:szCs w:val="28"/>
          <w:lang w:bidi="ar"/>
        </w:rPr>
      </w:pPr>
      <w:r>
        <w:rPr>
          <w:rFonts w:hint="eastAsia" w:ascii="宋体" w:hAnsi="宋体" w:eastAsia="宋体" w:cs="宋体"/>
          <w:b w:val="0"/>
          <w:bCs w:val="0"/>
          <w:sz w:val="28"/>
          <w:szCs w:val="28"/>
          <w:lang w:bidi="ar"/>
        </w:rPr>
        <w:t>9.3、输出电压失真度：</w:t>
      </w:r>
    </w:p>
    <w:p>
      <w:pPr>
        <w:pStyle w:val="3"/>
        <w:ind w:firstLine="560" w:firstLineChars="200"/>
        <w:jc w:val="left"/>
        <w:rPr>
          <w:rFonts w:ascii="宋体" w:hAnsi="宋体" w:eastAsia="宋体" w:cs="宋体"/>
          <w:b w:val="0"/>
          <w:bCs w:val="0"/>
          <w:sz w:val="28"/>
          <w:szCs w:val="28"/>
          <w:lang w:bidi="ar"/>
        </w:rPr>
      </w:pPr>
      <w:r>
        <w:rPr>
          <w:rFonts w:hint="eastAsia" w:ascii="宋体" w:hAnsi="宋体" w:eastAsia="宋体" w:cs="宋体"/>
          <w:b w:val="0"/>
          <w:bCs w:val="0"/>
          <w:sz w:val="28"/>
          <w:szCs w:val="28"/>
          <w:lang w:bidi="ar"/>
        </w:rPr>
        <w:t xml:space="preserve">     100％的线性负载≤2％；</w:t>
      </w:r>
    </w:p>
    <w:p>
      <w:pPr>
        <w:pStyle w:val="3"/>
        <w:ind w:firstLine="560" w:firstLineChars="200"/>
        <w:jc w:val="left"/>
        <w:rPr>
          <w:rFonts w:ascii="宋体" w:hAnsi="宋体" w:eastAsia="宋体" w:cs="宋体"/>
          <w:b w:val="0"/>
          <w:bCs w:val="0"/>
          <w:sz w:val="28"/>
          <w:szCs w:val="28"/>
          <w:lang w:bidi="ar"/>
        </w:rPr>
      </w:pPr>
      <w:r>
        <w:rPr>
          <w:rFonts w:hint="eastAsia" w:ascii="宋体" w:hAnsi="宋体" w:eastAsia="宋体" w:cs="宋体"/>
          <w:b w:val="0"/>
          <w:bCs w:val="0"/>
          <w:sz w:val="28"/>
          <w:szCs w:val="28"/>
          <w:lang w:bidi="ar"/>
        </w:rPr>
        <w:t>9.4、 峰值因数：≥3：1；</w:t>
      </w:r>
    </w:p>
    <w:p>
      <w:pPr>
        <w:pStyle w:val="3"/>
        <w:ind w:firstLine="560" w:firstLineChars="200"/>
        <w:jc w:val="left"/>
        <w:rPr>
          <w:rFonts w:ascii="宋体" w:hAnsi="宋体" w:eastAsia="宋体" w:cs="宋体"/>
          <w:b w:val="0"/>
          <w:bCs w:val="0"/>
          <w:sz w:val="28"/>
          <w:szCs w:val="28"/>
          <w:lang w:bidi="ar"/>
        </w:rPr>
      </w:pPr>
      <w:r>
        <w:rPr>
          <w:rFonts w:hint="eastAsia" w:ascii="宋体" w:hAnsi="宋体" w:eastAsia="宋体" w:cs="宋体"/>
          <w:b w:val="0"/>
          <w:bCs w:val="0"/>
          <w:sz w:val="28"/>
          <w:szCs w:val="28"/>
          <w:lang w:bidi="ar"/>
        </w:rPr>
        <w:t>10、系统效率：≥91％（双转换方式）</w:t>
      </w:r>
    </w:p>
    <w:p>
      <w:pPr>
        <w:pStyle w:val="3"/>
        <w:ind w:firstLine="560" w:firstLineChars="200"/>
        <w:jc w:val="left"/>
        <w:rPr>
          <w:rFonts w:ascii="宋体" w:hAnsi="宋体" w:eastAsia="宋体" w:cs="宋体"/>
          <w:b w:val="0"/>
          <w:bCs w:val="0"/>
          <w:sz w:val="28"/>
          <w:szCs w:val="28"/>
          <w:lang w:bidi="ar"/>
        </w:rPr>
      </w:pPr>
      <w:r>
        <w:rPr>
          <w:rFonts w:hint="eastAsia" w:ascii="宋体" w:hAnsi="宋体" w:eastAsia="宋体" w:cs="宋体"/>
          <w:b w:val="0"/>
          <w:bCs w:val="0"/>
          <w:sz w:val="28"/>
          <w:szCs w:val="28"/>
          <w:lang w:bidi="ar"/>
        </w:rPr>
        <w:t>11、过载能力：</w:t>
      </w:r>
    </w:p>
    <w:p>
      <w:pPr>
        <w:pStyle w:val="3"/>
        <w:ind w:firstLine="560" w:firstLineChars="200"/>
        <w:jc w:val="left"/>
        <w:rPr>
          <w:rFonts w:ascii="宋体" w:hAnsi="宋体" w:eastAsia="宋体" w:cs="宋体"/>
          <w:b w:val="0"/>
          <w:bCs w:val="0"/>
          <w:sz w:val="28"/>
          <w:szCs w:val="28"/>
          <w:lang w:bidi="ar"/>
        </w:rPr>
      </w:pPr>
      <w:r>
        <w:rPr>
          <w:rFonts w:hint="eastAsia" w:ascii="宋体" w:hAnsi="宋体" w:eastAsia="宋体" w:cs="宋体"/>
          <w:b w:val="0"/>
          <w:bCs w:val="0"/>
          <w:sz w:val="28"/>
          <w:szCs w:val="28"/>
          <w:lang w:bidi="ar"/>
        </w:rPr>
        <w:t>正常工作方式下，</w:t>
      </w:r>
    </w:p>
    <w:p>
      <w:pPr>
        <w:pStyle w:val="3"/>
        <w:ind w:firstLine="560" w:firstLineChars="200"/>
        <w:jc w:val="left"/>
        <w:rPr>
          <w:rFonts w:ascii="宋体" w:hAnsi="宋体" w:eastAsia="宋体" w:cs="宋体"/>
          <w:b w:val="0"/>
          <w:bCs w:val="0"/>
          <w:sz w:val="28"/>
          <w:szCs w:val="28"/>
          <w:lang w:bidi="ar"/>
        </w:rPr>
      </w:pPr>
      <w:r>
        <w:rPr>
          <w:rFonts w:hint="eastAsia" w:ascii="宋体" w:hAnsi="宋体" w:eastAsia="宋体" w:cs="宋体"/>
          <w:b w:val="0"/>
          <w:bCs w:val="0"/>
          <w:sz w:val="28"/>
          <w:szCs w:val="28"/>
          <w:lang w:bidi="ar"/>
        </w:rPr>
        <w:t>过载125％可以支持10分钟；</w:t>
      </w:r>
    </w:p>
    <w:p>
      <w:pPr>
        <w:pStyle w:val="3"/>
        <w:ind w:firstLine="560" w:firstLineChars="200"/>
        <w:jc w:val="left"/>
        <w:rPr>
          <w:rFonts w:ascii="宋体" w:hAnsi="宋体" w:eastAsia="宋体" w:cs="宋体"/>
          <w:b w:val="0"/>
          <w:bCs w:val="0"/>
          <w:sz w:val="28"/>
          <w:szCs w:val="28"/>
          <w:lang w:bidi="ar"/>
        </w:rPr>
      </w:pPr>
      <w:r>
        <w:rPr>
          <w:rFonts w:hint="eastAsia" w:ascii="宋体" w:hAnsi="宋体" w:eastAsia="宋体" w:cs="宋体"/>
          <w:b w:val="0"/>
          <w:bCs w:val="0"/>
          <w:sz w:val="28"/>
          <w:szCs w:val="28"/>
          <w:lang w:bidi="ar"/>
        </w:rPr>
        <w:t>12、工作噪音≤65dB（距离1米）（提供自身产品的具体数值）；</w:t>
      </w:r>
    </w:p>
    <w:p>
      <w:pPr>
        <w:pStyle w:val="3"/>
        <w:ind w:firstLine="560" w:firstLineChars="200"/>
        <w:jc w:val="left"/>
        <w:rPr>
          <w:rFonts w:ascii="宋体" w:hAnsi="宋体" w:eastAsia="宋体" w:cs="宋体"/>
          <w:b w:val="0"/>
          <w:bCs w:val="0"/>
          <w:sz w:val="28"/>
          <w:szCs w:val="28"/>
          <w:lang w:bidi="ar"/>
        </w:rPr>
      </w:pPr>
      <w:r>
        <w:rPr>
          <w:rFonts w:hint="eastAsia" w:ascii="宋体" w:hAnsi="宋体" w:eastAsia="宋体" w:cs="宋体"/>
          <w:b w:val="0"/>
          <w:bCs w:val="0"/>
          <w:sz w:val="28"/>
          <w:szCs w:val="28"/>
          <w:lang w:bidi="ar"/>
        </w:rPr>
        <w:t>13、进出线方式：采用前进出线或后进出线方式</w:t>
      </w:r>
    </w:p>
    <w:p>
      <w:pPr>
        <w:pStyle w:val="3"/>
        <w:ind w:firstLine="560" w:firstLineChars="200"/>
        <w:jc w:val="left"/>
        <w:rPr>
          <w:rFonts w:ascii="宋体" w:hAnsi="宋体" w:eastAsia="宋体" w:cs="宋体"/>
          <w:b w:val="0"/>
          <w:bCs w:val="0"/>
          <w:sz w:val="28"/>
          <w:szCs w:val="28"/>
          <w:lang w:bidi="ar"/>
        </w:rPr>
      </w:pPr>
      <w:r>
        <w:rPr>
          <w:rFonts w:hint="eastAsia" w:ascii="宋体" w:hAnsi="宋体" w:eastAsia="宋体" w:cs="宋体"/>
          <w:b w:val="0"/>
          <w:bCs w:val="0"/>
          <w:sz w:val="28"/>
          <w:szCs w:val="28"/>
          <w:lang w:bidi="ar"/>
        </w:rPr>
        <w:t>14、在后备油机供电时，UPS能正常工作；</w:t>
      </w:r>
    </w:p>
    <w:p>
      <w:pPr>
        <w:pStyle w:val="3"/>
        <w:ind w:firstLine="560" w:firstLineChars="200"/>
        <w:jc w:val="left"/>
        <w:rPr>
          <w:rFonts w:ascii="宋体" w:hAnsi="宋体" w:eastAsia="宋体" w:cs="宋体"/>
          <w:b w:val="0"/>
          <w:bCs w:val="0"/>
          <w:sz w:val="28"/>
          <w:szCs w:val="28"/>
          <w:lang w:bidi="ar"/>
        </w:rPr>
      </w:pPr>
      <w:r>
        <w:rPr>
          <w:rFonts w:hint="eastAsia" w:ascii="宋体" w:hAnsi="宋体" w:eastAsia="宋体" w:cs="宋体"/>
          <w:b w:val="0"/>
          <w:bCs w:val="0"/>
          <w:sz w:val="28"/>
          <w:szCs w:val="28"/>
          <w:lang w:bidi="ar"/>
        </w:rPr>
        <w:t>15、操作面板：要求具有LCD显示面板，要求LCD显示屏具有以下功能:可显示状态信息,方便操作维护。（请详细说明其易操作性）；（20KVA和30KVA要求）</w:t>
      </w:r>
    </w:p>
    <w:p>
      <w:pPr>
        <w:pStyle w:val="3"/>
        <w:ind w:firstLine="560" w:firstLineChars="200"/>
        <w:jc w:val="left"/>
        <w:rPr>
          <w:rFonts w:ascii="宋体" w:hAnsi="宋体" w:eastAsia="宋体" w:cs="宋体"/>
          <w:b w:val="0"/>
          <w:bCs w:val="0"/>
          <w:sz w:val="28"/>
          <w:szCs w:val="28"/>
          <w:lang w:bidi="ar"/>
        </w:rPr>
      </w:pPr>
      <w:r>
        <w:rPr>
          <w:rFonts w:hint="eastAsia" w:ascii="宋体" w:hAnsi="宋体" w:eastAsia="宋体" w:cs="宋体"/>
          <w:b w:val="0"/>
          <w:bCs w:val="0"/>
          <w:sz w:val="28"/>
          <w:szCs w:val="28"/>
          <w:lang w:bidi="ar"/>
        </w:rPr>
        <w:t>16、通讯能力：支持串行通讯协议、SNMP通讯协议及干触点信号。</w:t>
      </w:r>
    </w:p>
    <w:p>
      <w:pPr>
        <w:pStyle w:val="3"/>
        <w:ind w:firstLine="560" w:firstLineChars="200"/>
        <w:jc w:val="left"/>
        <w:rPr>
          <w:rFonts w:ascii="宋体" w:hAnsi="宋体" w:eastAsia="宋体" w:cs="宋体"/>
          <w:b w:val="0"/>
          <w:bCs w:val="0"/>
          <w:sz w:val="28"/>
          <w:szCs w:val="28"/>
          <w:lang w:bidi="ar"/>
        </w:rPr>
      </w:pPr>
      <w:r>
        <w:rPr>
          <w:rFonts w:hint="eastAsia" w:ascii="宋体" w:hAnsi="宋体" w:eastAsia="宋体" w:cs="宋体"/>
          <w:b w:val="0"/>
          <w:bCs w:val="0"/>
          <w:sz w:val="28"/>
          <w:szCs w:val="28"/>
          <w:lang w:bidi="ar"/>
        </w:rPr>
        <w:t>17、声光告警功能：</w:t>
      </w:r>
    </w:p>
    <w:p>
      <w:pPr>
        <w:pStyle w:val="3"/>
        <w:ind w:firstLine="560" w:firstLineChars="200"/>
        <w:jc w:val="left"/>
        <w:rPr>
          <w:rFonts w:ascii="宋体" w:hAnsi="宋体" w:eastAsia="宋体" w:cs="宋体"/>
          <w:b w:val="0"/>
          <w:bCs w:val="0"/>
          <w:sz w:val="28"/>
          <w:szCs w:val="28"/>
          <w:lang w:bidi="ar"/>
        </w:rPr>
      </w:pPr>
      <w:r>
        <w:rPr>
          <w:rFonts w:hint="eastAsia" w:ascii="宋体" w:hAnsi="宋体" w:eastAsia="宋体" w:cs="宋体"/>
          <w:b w:val="0"/>
          <w:bCs w:val="0"/>
          <w:sz w:val="28"/>
          <w:szCs w:val="28"/>
          <w:lang w:bidi="ar"/>
        </w:rPr>
        <w:t>18、应具备至少以下几种情况下具有声光告警功能：</w:t>
      </w:r>
    </w:p>
    <w:p>
      <w:pPr>
        <w:pStyle w:val="3"/>
        <w:ind w:firstLine="560" w:firstLineChars="200"/>
        <w:jc w:val="left"/>
        <w:rPr>
          <w:rFonts w:ascii="宋体" w:hAnsi="宋体" w:eastAsia="宋体" w:cs="宋体"/>
          <w:b w:val="0"/>
          <w:bCs w:val="0"/>
          <w:sz w:val="28"/>
          <w:szCs w:val="28"/>
          <w:lang w:bidi="ar"/>
        </w:rPr>
      </w:pPr>
      <w:r>
        <w:rPr>
          <w:rFonts w:hint="eastAsia" w:ascii="宋体" w:hAnsi="宋体" w:eastAsia="宋体" w:cs="宋体"/>
          <w:b w:val="0"/>
          <w:bCs w:val="0"/>
          <w:sz w:val="28"/>
          <w:szCs w:val="28"/>
          <w:lang w:bidi="ar"/>
        </w:rPr>
        <w:t>1）输出负载短路时，UPS应立即自动关闭输出，同时发出声光警告，应使用旁路供电。</w:t>
      </w:r>
    </w:p>
    <w:p>
      <w:pPr>
        <w:pStyle w:val="3"/>
        <w:ind w:firstLine="560" w:firstLineChars="200"/>
        <w:jc w:val="left"/>
        <w:rPr>
          <w:rFonts w:ascii="宋体" w:hAnsi="宋体" w:eastAsia="宋体" w:cs="宋体"/>
          <w:b w:val="0"/>
          <w:bCs w:val="0"/>
          <w:sz w:val="28"/>
          <w:szCs w:val="28"/>
          <w:lang w:bidi="ar"/>
        </w:rPr>
      </w:pPr>
      <w:r>
        <w:rPr>
          <w:rFonts w:hint="eastAsia" w:ascii="宋体" w:hAnsi="宋体" w:eastAsia="宋体" w:cs="宋体"/>
          <w:b w:val="0"/>
          <w:bCs w:val="0"/>
          <w:sz w:val="28"/>
          <w:szCs w:val="28"/>
          <w:lang w:bidi="ar"/>
        </w:rPr>
        <w:t>2）输出负载超过UPS额定负载时，应发出声光告警；超出过载能力时，应使用旁路供电。</w:t>
      </w:r>
    </w:p>
    <w:p>
      <w:pPr>
        <w:pStyle w:val="3"/>
        <w:ind w:firstLine="560" w:firstLineChars="200"/>
        <w:jc w:val="left"/>
        <w:rPr>
          <w:rFonts w:ascii="宋体" w:hAnsi="宋体" w:eastAsia="宋体" w:cs="宋体"/>
          <w:b w:val="0"/>
          <w:bCs w:val="0"/>
          <w:sz w:val="28"/>
          <w:szCs w:val="28"/>
          <w:lang w:bidi="ar"/>
        </w:rPr>
      </w:pPr>
      <w:r>
        <w:rPr>
          <w:rFonts w:hint="eastAsia" w:ascii="宋体" w:hAnsi="宋体" w:eastAsia="宋体" w:cs="宋体"/>
          <w:b w:val="0"/>
          <w:bCs w:val="0"/>
          <w:sz w:val="28"/>
          <w:szCs w:val="28"/>
          <w:lang w:bidi="ar"/>
        </w:rPr>
        <w:t>3）UPS机内运行温度过高时，应发出声光告警并自动转为旁路供电。</w:t>
      </w:r>
    </w:p>
    <w:p>
      <w:pPr>
        <w:pStyle w:val="3"/>
        <w:ind w:firstLine="560" w:firstLineChars="200"/>
        <w:jc w:val="left"/>
        <w:rPr>
          <w:rFonts w:ascii="宋体" w:hAnsi="宋体" w:eastAsia="宋体" w:cs="宋体"/>
          <w:b w:val="0"/>
          <w:bCs w:val="0"/>
          <w:sz w:val="28"/>
          <w:szCs w:val="28"/>
          <w:lang w:bidi="ar"/>
        </w:rPr>
      </w:pPr>
      <w:r>
        <w:rPr>
          <w:rFonts w:hint="eastAsia" w:ascii="宋体" w:hAnsi="宋体" w:eastAsia="宋体" w:cs="宋体"/>
          <w:b w:val="0"/>
          <w:bCs w:val="0"/>
          <w:sz w:val="28"/>
          <w:szCs w:val="28"/>
          <w:lang w:bidi="ar"/>
        </w:rPr>
        <w:t>4）UPS在电池逆变工作方式时，电池电压降至保护点时，发出声光告警，停止供电。</w:t>
      </w:r>
    </w:p>
    <w:p>
      <w:pPr>
        <w:pStyle w:val="3"/>
        <w:ind w:firstLine="560" w:firstLineChars="200"/>
        <w:jc w:val="left"/>
        <w:rPr>
          <w:rFonts w:ascii="宋体" w:hAnsi="宋体" w:eastAsia="宋体" w:cs="宋体"/>
          <w:b w:val="0"/>
          <w:bCs w:val="0"/>
          <w:sz w:val="28"/>
          <w:szCs w:val="28"/>
          <w:lang w:bidi="ar"/>
        </w:rPr>
      </w:pPr>
      <w:r>
        <w:rPr>
          <w:rFonts w:hint="eastAsia" w:ascii="宋体" w:hAnsi="宋体" w:eastAsia="宋体" w:cs="宋体"/>
          <w:b w:val="0"/>
          <w:bCs w:val="0"/>
          <w:sz w:val="28"/>
          <w:szCs w:val="28"/>
          <w:lang w:bidi="ar"/>
        </w:rPr>
        <w:t>5）UPS输出电压超过设定过、欠电压值时，发出声光告警并转为旁路供电。</w:t>
      </w:r>
    </w:p>
    <w:p>
      <w:pPr>
        <w:pStyle w:val="3"/>
        <w:ind w:firstLine="560" w:firstLineChars="200"/>
        <w:jc w:val="left"/>
        <w:rPr>
          <w:rFonts w:ascii="宋体" w:hAnsi="宋体" w:eastAsia="宋体" w:cs="宋体"/>
          <w:b w:val="0"/>
          <w:bCs w:val="0"/>
          <w:sz w:val="28"/>
          <w:szCs w:val="28"/>
          <w:lang w:bidi="ar"/>
        </w:rPr>
      </w:pPr>
      <w:r>
        <w:rPr>
          <w:rFonts w:hint="eastAsia" w:ascii="宋体" w:hAnsi="宋体" w:eastAsia="宋体" w:cs="宋体"/>
          <w:b w:val="0"/>
          <w:bCs w:val="0"/>
          <w:sz w:val="28"/>
          <w:szCs w:val="28"/>
          <w:lang w:bidi="ar"/>
        </w:rPr>
        <w:t>19、电池自动管理功能：具有根据用户要求设定参数，定期对电池进行周期性充放电的性能，并具有深度放电保护功能；</w:t>
      </w:r>
    </w:p>
    <w:p>
      <w:pPr>
        <w:pStyle w:val="3"/>
        <w:ind w:firstLine="560" w:firstLineChars="200"/>
        <w:jc w:val="left"/>
        <w:rPr>
          <w:rFonts w:ascii="宋体" w:hAnsi="宋体" w:eastAsia="宋体" w:cs="宋体"/>
          <w:b w:val="0"/>
          <w:bCs w:val="0"/>
          <w:sz w:val="28"/>
          <w:szCs w:val="28"/>
          <w:lang w:bidi="ar"/>
        </w:rPr>
      </w:pPr>
      <w:r>
        <w:rPr>
          <w:rFonts w:hint="eastAsia" w:ascii="宋体" w:hAnsi="宋体" w:eastAsia="宋体" w:cs="宋体"/>
          <w:b w:val="0"/>
          <w:bCs w:val="0"/>
          <w:sz w:val="28"/>
          <w:szCs w:val="28"/>
          <w:lang w:bidi="ar"/>
        </w:rPr>
        <w:t>20、 远程监控功能：UPS具有标准RS232或RS485/422、或RJ45标准通讯接口，采用国际标准通讯协议，并免费提供通讯协议，具有良好的开放性，以及提供以太网监控软件和相应的硬件，须详述软件及硬件的具体功能。该监控软件和相应的硬件应包含于本次投标报价中；提供与通讯接口配套使用的通讯线缆 ，各种告警信号输出端子。</w:t>
      </w:r>
    </w:p>
    <w:p>
      <w:pPr>
        <w:pStyle w:val="3"/>
        <w:ind w:firstLine="560" w:firstLineChars="200"/>
        <w:jc w:val="left"/>
        <w:rPr>
          <w:rFonts w:ascii="宋体" w:hAnsi="宋体" w:eastAsia="宋体" w:cs="宋体"/>
          <w:b w:val="0"/>
          <w:bCs w:val="0"/>
          <w:sz w:val="28"/>
          <w:szCs w:val="28"/>
          <w:lang w:bidi="ar"/>
        </w:rPr>
      </w:pPr>
      <w:r>
        <w:rPr>
          <w:rFonts w:hint="eastAsia" w:ascii="宋体" w:hAnsi="宋体" w:eastAsia="宋体" w:cs="宋体"/>
          <w:b w:val="0"/>
          <w:bCs w:val="0"/>
          <w:sz w:val="28"/>
          <w:szCs w:val="28"/>
          <w:lang w:bidi="ar"/>
        </w:rPr>
        <w:t>21、扩容功能：能够在不停电的状态下方便对设备进行升级或维修（请详细说明）；</w:t>
      </w:r>
    </w:p>
    <w:p>
      <w:pPr>
        <w:pStyle w:val="3"/>
        <w:ind w:firstLine="560" w:firstLineChars="200"/>
        <w:jc w:val="left"/>
        <w:rPr>
          <w:rFonts w:ascii="宋体" w:hAnsi="宋体" w:eastAsia="宋体" w:cs="宋体"/>
          <w:b w:val="0"/>
          <w:bCs w:val="0"/>
          <w:sz w:val="28"/>
          <w:szCs w:val="28"/>
          <w:lang w:bidi="ar"/>
        </w:rPr>
      </w:pPr>
      <w:r>
        <w:rPr>
          <w:rFonts w:hint="eastAsia" w:ascii="宋体" w:hAnsi="宋体" w:eastAsia="宋体" w:cs="宋体"/>
          <w:b w:val="0"/>
          <w:bCs w:val="0"/>
          <w:sz w:val="28"/>
          <w:szCs w:val="28"/>
          <w:lang w:bidi="ar"/>
        </w:rPr>
        <w:t>22、维护功能：能够在不停电的状态下方便对设备进行维修；</w:t>
      </w:r>
    </w:p>
    <w:p>
      <w:pPr>
        <w:pStyle w:val="15"/>
        <w:numPr>
          <w:ilvl w:val="0"/>
          <w:numId w:val="2"/>
        </w:numPr>
        <w:spacing w:line="360" w:lineRule="auto"/>
        <w:ind w:firstLineChars="0"/>
        <w:rPr>
          <w:rFonts w:ascii="宋体" w:hAnsi="宋体"/>
          <w:b/>
          <w:bCs/>
          <w:sz w:val="28"/>
          <w:szCs w:val="28"/>
        </w:rPr>
      </w:pPr>
      <w:r>
        <w:rPr>
          <w:rFonts w:hint="eastAsia" w:ascii="宋体" w:hAnsi="宋体"/>
          <w:b/>
          <w:bCs/>
          <w:sz w:val="28"/>
          <w:szCs w:val="28"/>
        </w:rPr>
        <w:t>技术文件要求</w:t>
      </w:r>
    </w:p>
    <w:p>
      <w:pPr>
        <w:pStyle w:val="3"/>
        <w:ind w:firstLine="560" w:firstLineChars="200"/>
        <w:jc w:val="left"/>
        <w:rPr>
          <w:rFonts w:ascii="宋体" w:hAnsi="宋体" w:eastAsia="宋体" w:cs="宋体"/>
          <w:b w:val="0"/>
          <w:bCs w:val="0"/>
          <w:sz w:val="28"/>
          <w:szCs w:val="28"/>
          <w:lang w:bidi="ar"/>
        </w:rPr>
      </w:pPr>
      <w:r>
        <w:rPr>
          <w:rFonts w:hint="eastAsia" w:ascii="宋体" w:hAnsi="宋体" w:eastAsia="宋体" w:cs="宋体"/>
          <w:b w:val="0"/>
          <w:bCs w:val="0"/>
          <w:sz w:val="28"/>
          <w:szCs w:val="28"/>
          <w:lang w:bidi="ar"/>
        </w:rPr>
        <w:t>应提供如下种类的技术文件（所有技术资料应以中文表达）：</w:t>
      </w:r>
    </w:p>
    <w:p>
      <w:pPr>
        <w:pStyle w:val="3"/>
        <w:ind w:firstLine="560" w:firstLineChars="200"/>
        <w:jc w:val="left"/>
        <w:rPr>
          <w:rFonts w:ascii="宋体" w:hAnsi="宋体" w:eastAsia="宋体" w:cs="宋体"/>
          <w:b w:val="0"/>
          <w:bCs w:val="0"/>
          <w:sz w:val="28"/>
          <w:szCs w:val="28"/>
          <w:lang w:bidi="ar"/>
        </w:rPr>
      </w:pPr>
      <w:r>
        <w:rPr>
          <w:rFonts w:hint="eastAsia" w:ascii="宋体" w:hAnsi="宋体" w:eastAsia="宋体" w:cs="宋体"/>
          <w:b w:val="0"/>
          <w:bCs w:val="0"/>
          <w:sz w:val="28"/>
          <w:szCs w:val="28"/>
          <w:lang w:bidi="ar"/>
        </w:rPr>
        <w:t>1.   提供产品出厂测试项目及具体数据资料（复印件）</w:t>
      </w:r>
    </w:p>
    <w:p>
      <w:pPr>
        <w:pStyle w:val="3"/>
        <w:ind w:firstLine="560" w:firstLineChars="200"/>
        <w:jc w:val="left"/>
        <w:rPr>
          <w:rFonts w:ascii="宋体" w:hAnsi="宋体" w:eastAsia="宋体" w:cs="宋体"/>
          <w:b w:val="0"/>
          <w:bCs w:val="0"/>
          <w:sz w:val="28"/>
          <w:szCs w:val="28"/>
          <w:lang w:bidi="ar"/>
        </w:rPr>
      </w:pPr>
      <w:r>
        <w:rPr>
          <w:rFonts w:hint="eastAsia" w:ascii="宋体" w:hAnsi="宋体" w:eastAsia="宋体" w:cs="宋体"/>
          <w:b w:val="0"/>
          <w:bCs w:val="0"/>
          <w:sz w:val="28"/>
          <w:szCs w:val="28"/>
          <w:lang w:bidi="ar"/>
        </w:rPr>
        <w:t>2.   提供产品使用说明书；</w:t>
      </w:r>
    </w:p>
    <w:p>
      <w:pPr>
        <w:pStyle w:val="3"/>
        <w:ind w:firstLine="560" w:firstLineChars="200"/>
        <w:jc w:val="left"/>
        <w:rPr>
          <w:rFonts w:ascii="宋体" w:hAnsi="宋体" w:eastAsia="宋体" w:cs="宋体"/>
          <w:b w:val="0"/>
          <w:bCs w:val="0"/>
          <w:sz w:val="28"/>
          <w:szCs w:val="28"/>
          <w:lang w:bidi="ar"/>
        </w:rPr>
      </w:pPr>
      <w:r>
        <w:rPr>
          <w:rFonts w:hint="eastAsia" w:ascii="宋体" w:hAnsi="宋体" w:eastAsia="宋体" w:cs="宋体"/>
          <w:b w:val="0"/>
          <w:bCs w:val="0"/>
          <w:sz w:val="28"/>
          <w:szCs w:val="28"/>
          <w:lang w:bidi="ar"/>
        </w:rPr>
        <w:t>3.   安装、使用、维修手册；</w:t>
      </w:r>
    </w:p>
    <w:p>
      <w:pPr>
        <w:pStyle w:val="3"/>
        <w:ind w:firstLine="560" w:firstLineChars="200"/>
        <w:jc w:val="left"/>
        <w:rPr>
          <w:rFonts w:ascii="宋体" w:hAnsi="宋体" w:eastAsia="宋体" w:cs="宋体"/>
          <w:b w:val="0"/>
          <w:bCs w:val="0"/>
          <w:sz w:val="28"/>
          <w:szCs w:val="28"/>
          <w:lang w:bidi="ar"/>
        </w:rPr>
      </w:pPr>
      <w:r>
        <w:rPr>
          <w:rFonts w:hint="eastAsia" w:ascii="宋体" w:hAnsi="宋体" w:eastAsia="宋体" w:cs="宋体"/>
          <w:b w:val="0"/>
          <w:bCs w:val="0"/>
          <w:sz w:val="28"/>
          <w:szCs w:val="28"/>
          <w:lang w:bidi="ar"/>
        </w:rPr>
        <w:t>4.   电气接线图、安装基础图、调试验收资料；</w:t>
      </w:r>
    </w:p>
    <w:p>
      <w:pPr>
        <w:pStyle w:val="3"/>
        <w:ind w:firstLine="560" w:firstLineChars="200"/>
        <w:jc w:val="left"/>
        <w:rPr>
          <w:rFonts w:ascii="宋体" w:hAnsi="宋体" w:eastAsia="宋体" w:cs="宋体"/>
          <w:b w:val="0"/>
          <w:bCs w:val="0"/>
          <w:sz w:val="28"/>
          <w:szCs w:val="28"/>
          <w:lang w:bidi="ar"/>
        </w:rPr>
      </w:pPr>
      <w:r>
        <w:rPr>
          <w:rFonts w:hint="eastAsia" w:ascii="宋体" w:hAnsi="宋体" w:eastAsia="宋体" w:cs="宋体"/>
          <w:b w:val="0"/>
          <w:bCs w:val="0"/>
          <w:sz w:val="28"/>
          <w:szCs w:val="28"/>
          <w:lang w:bidi="ar"/>
        </w:rPr>
        <w:t>5. 主要元器件一览表。</w:t>
      </w:r>
    </w:p>
    <w:p>
      <w:pPr>
        <w:pStyle w:val="3"/>
        <w:ind w:firstLine="560" w:firstLineChars="200"/>
        <w:jc w:val="left"/>
        <w:rPr>
          <w:rFonts w:ascii="宋体" w:hAnsi="宋体" w:eastAsia="宋体" w:cs="宋体"/>
          <w:b w:val="0"/>
          <w:bCs w:val="0"/>
          <w:sz w:val="28"/>
          <w:szCs w:val="28"/>
          <w:lang w:bidi="ar"/>
        </w:rPr>
      </w:pPr>
      <w:r>
        <w:rPr>
          <w:rFonts w:hint="eastAsia" w:ascii="宋体" w:hAnsi="宋体" w:eastAsia="宋体" w:cs="宋体"/>
          <w:b w:val="0"/>
          <w:bCs w:val="0"/>
          <w:sz w:val="28"/>
          <w:szCs w:val="28"/>
          <w:lang w:bidi="ar"/>
        </w:rPr>
        <w:t>6. 设备安装资料（包括设备的结构图、输入输出保险的位置、电池接入的位置、设备加固的位置、安装基础图、交流电缆引入及各种地线的位置）。</w:t>
      </w:r>
    </w:p>
    <w:p>
      <w:pPr>
        <w:pStyle w:val="3"/>
        <w:ind w:firstLine="560" w:firstLineChars="200"/>
        <w:jc w:val="left"/>
        <w:rPr>
          <w:rFonts w:hint="eastAsia" w:ascii="宋体" w:hAnsi="宋体" w:eastAsia="宋体" w:cs="宋体"/>
          <w:b w:val="0"/>
          <w:bCs w:val="0"/>
          <w:sz w:val="28"/>
          <w:szCs w:val="28"/>
          <w:lang w:bidi="ar"/>
        </w:rPr>
      </w:pPr>
      <w:r>
        <w:rPr>
          <w:rFonts w:hint="eastAsia" w:ascii="宋体" w:hAnsi="宋体" w:eastAsia="宋体" w:cs="宋体"/>
          <w:b w:val="0"/>
          <w:bCs w:val="0"/>
          <w:sz w:val="28"/>
          <w:szCs w:val="28"/>
          <w:lang w:bidi="ar"/>
        </w:rPr>
        <w:t>7. 随机安装、使用、维修手册。</w:t>
      </w:r>
    </w:p>
    <w:p>
      <w:pPr>
        <w:spacing w:line="360" w:lineRule="auto"/>
        <w:rPr>
          <w:rFonts w:ascii="宋体" w:hAnsi="宋体"/>
          <w:sz w:val="28"/>
          <w:szCs w:val="28"/>
        </w:rPr>
      </w:pPr>
      <w:r>
        <w:rPr>
          <w:rFonts w:hint="eastAsia" w:ascii="宋体" w:hAnsi="宋体"/>
          <w:b/>
          <w:bCs/>
          <w:sz w:val="28"/>
          <w:szCs w:val="28"/>
        </w:rPr>
        <w:t>六、其它：</w:t>
      </w:r>
    </w:p>
    <w:p>
      <w:pPr>
        <w:numPr>
          <w:ilvl w:val="0"/>
          <w:numId w:val="3"/>
        </w:numPr>
        <w:spacing w:line="360" w:lineRule="auto"/>
        <w:rPr>
          <w:rFonts w:ascii="宋体" w:hAnsi="宋体"/>
          <w:b/>
          <w:bCs/>
          <w:sz w:val="28"/>
          <w:szCs w:val="28"/>
        </w:rPr>
      </w:pPr>
      <w:bookmarkStart w:id="1" w:name="_Toc8294"/>
      <w:r>
        <w:rPr>
          <w:rFonts w:hint="eastAsia" w:ascii="宋体" w:hAnsi="宋体"/>
          <w:b/>
          <w:bCs/>
          <w:sz w:val="28"/>
          <w:szCs w:val="28"/>
        </w:rPr>
        <w:t>合同签订及付款方式：</w:t>
      </w:r>
      <w:bookmarkEnd w:id="1"/>
    </w:p>
    <w:p>
      <w:pPr>
        <w:spacing w:line="360" w:lineRule="auto"/>
        <w:ind w:firstLine="560" w:firstLineChars="200"/>
        <w:rPr>
          <w:rFonts w:ascii="宋体" w:hAnsi="宋体"/>
          <w:sz w:val="28"/>
          <w:szCs w:val="28"/>
        </w:rPr>
      </w:pPr>
      <w:r>
        <w:rPr>
          <w:rFonts w:hint="eastAsia" w:ascii="宋体" w:hAnsi="宋体"/>
          <w:sz w:val="28"/>
          <w:szCs w:val="28"/>
        </w:rPr>
        <w:t>合同签署生效后，中标人安装完成验收后，出具合法发票，合同款项一次性支付。</w:t>
      </w:r>
    </w:p>
    <w:p>
      <w:pPr>
        <w:numPr>
          <w:ilvl w:val="0"/>
          <w:numId w:val="3"/>
        </w:numPr>
        <w:spacing w:line="360" w:lineRule="auto"/>
        <w:rPr>
          <w:rFonts w:ascii="宋体" w:hAnsi="宋体"/>
          <w:b/>
          <w:bCs/>
          <w:sz w:val="28"/>
          <w:szCs w:val="28"/>
        </w:rPr>
      </w:pPr>
      <w:r>
        <w:rPr>
          <w:rFonts w:hint="eastAsia" w:ascii="宋体" w:hAnsi="宋体"/>
          <w:b/>
          <w:bCs/>
          <w:sz w:val="28"/>
          <w:szCs w:val="28"/>
        </w:rPr>
        <w:t>包装发运以及回收</w:t>
      </w:r>
    </w:p>
    <w:p>
      <w:pPr>
        <w:spacing w:line="360" w:lineRule="auto"/>
        <w:ind w:firstLine="560" w:firstLineChars="200"/>
        <w:rPr>
          <w:rFonts w:ascii="宋体" w:hAnsi="宋体"/>
          <w:sz w:val="28"/>
          <w:szCs w:val="28"/>
        </w:rPr>
      </w:pPr>
      <w:r>
        <w:rPr>
          <w:rFonts w:hint="eastAsia" w:ascii="宋体" w:hAnsi="宋体"/>
          <w:sz w:val="28"/>
          <w:szCs w:val="28"/>
        </w:rPr>
        <w:t>1）应按出厂标准及国家有关要求进行包装；</w:t>
      </w:r>
    </w:p>
    <w:p>
      <w:pPr>
        <w:spacing w:line="360" w:lineRule="auto"/>
        <w:ind w:firstLine="560" w:firstLineChars="200"/>
        <w:rPr>
          <w:rFonts w:ascii="宋体" w:hAnsi="宋体"/>
          <w:sz w:val="28"/>
          <w:szCs w:val="28"/>
        </w:rPr>
      </w:pPr>
      <w:r>
        <w:rPr>
          <w:rFonts w:hint="eastAsia" w:ascii="宋体" w:hAnsi="宋体"/>
          <w:sz w:val="28"/>
          <w:szCs w:val="28"/>
        </w:rPr>
        <w:t>2）运输方式：送货上门，费用由中标方负担；</w:t>
      </w:r>
    </w:p>
    <w:p>
      <w:pPr>
        <w:spacing w:line="360" w:lineRule="auto"/>
        <w:ind w:firstLine="560" w:firstLineChars="200"/>
        <w:rPr>
          <w:rFonts w:ascii="宋体" w:hAnsi="宋体"/>
          <w:sz w:val="28"/>
          <w:szCs w:val="28"/>
        </w:rPr>
      </w:pPr>
      <w:r>
        <w:rPr>
          <w:rFonts w:hint="eastAsia" w:ascii="宋体" w:hAnsi="宋体"/>
          <w:sz w:val="28"/>
          <w:szCs w:val="28"/>
        </w:rPr>
        <w:t>3）运输风险负担：在运输过程中造成的产品灭失或损坏由中标方负担；</w:t>
      </w:r>
    </w:p>
    <w:p>
      <w:pPr>
        <w:spacing w:line="360" w:lineRule="auto"/>
        <w:ind w:firstLine="560" w:firstLineChars="200"/>
        <w:rPr>
          <w:rFonts w:ascii="宋体" w:hAnsi="宋体"/>
          <w:sz w:val="28"/>
          <w:szCs w:val="28"/>
        </w:rPr>
      </w:pPr>
      <w:r>
        <w:rPr>
          <w:rFonts w:hint="eastAsia" w:ascii="宋体" w:hAnsi="宋体"/>
          <w:sz w:val="28"/>
          <w:szCs w:val="28"/>
        </w:rPr>
        <w:t>4）包装要求：设备产品的包装均应有良好的防湿、防锈、防潮、防腐及防碰撞的措施。凡由于包装不良造成的损失和由此产生的费用均由中标方承担。包装不回收。</w:t>
      </w:r>
    </w:p>
    <w:p>
      <w:pPr>
        <w:pStyle w:val="4"/>
        <w:rPr>
          <w:rFonts w:ascii="宋体" w:hAnsi="宋体"/>
          <w:sz w:val="28"/>
          <w:szCs w:val="28"/>
        </w:rPr>
      </w:pPr>
      <w:r>
        <w:rPr>
          <w:rFonts w:hint="eastAsia" w:ascii="宋体" w:hAnsi="宋体"/>
          <w:sz w:val="28"/>
          <w:szCs w:val="28"/>
        </w:rPr>
        <w:t xml:space="preserve">   5）原有旧UPS设备以及电池等相关设备要做好处置，其中相关UPS主机及电池设备运回梧桐山电视塔，待后续处理。</w:t>
      </w:r>
    </w:p>
    <w:p>
      <w:pPr>
        <w:numPr>
          <w:ilvl w:val="0"/>
          <w:numId w:val="3"/>
        </w:numPr>
        <w:spacing w:line="360" w:lineRule="auto"/>
        <w:rPr>
          <w:rFonts w:ascii="宋体" w:hAnsi="宋体"/>
          <w:b/>
          <w:bCs/>
          <w:sz w:val="28"/>
          <w:szCs w:val="28"/>
        </w:rPr>
      </w:pPr>
      <w:r>
        <w:rPr>
          <w:rFonts w:hint="eastAsia" w:ascii="宋体" w:hAnsi="宋体"/>
          <w:b/>
          <w:bCs/>
          <w:sz w:val="28"/>
          <w:szCs w:val="28"/>
        </w:rPr>
        <w:t xml:space="preserve">交付使用时间  </w:t>
      </w:r>
    </w:p>
    <w:p>
      <w:pPr>
        <w:spacing w:line="360" w:lineRule="auto"/>
        <w:ind w:left="210" w:firstLine="560" w:firstLineChars="200"/>
        <w:rPr>
          <w:rFonts w:ascii="宋体" w:hAnsi="宋体"/>
          <w:sz w:val="28"/>
          <w:szCs w:val="28"/>
        </w:rPr>
      </w:pPr>
      <w:r>
        <w:rPr>
          <w:rFonts w:hint="eastAsia" w:ascii="宋体" w:hAnsi="宋体"/>
          <w:sz w:val="28"/>
          <w:szCs w:val="28"/>
        </w:rPr>
        <w:t xml:space="preserve">合同签订后 </w:t>
      </w:r>
      <w:r>
        <w:rPr>
          <w:rFonts w:hint="eastAsia" w:ascii="宋体" w:hAnsi="宋体"/>
          <w:sz w:val="28"/>
          <w:szCs w:val="28"/>
          <w:u w:val="single"/>
        </w:rPr>
        <w:t xml:space="preserve"> 60  </w:t>
      </w:r>
      <w:r>
        <w:rPr>
          <w:rFonts w:hint="eastAsia" w:ascii="宋体" w:hAnsi="宋体"/>
          <w:sz w:val="28"/>
          <w:szCs w:val="28"/>
        </w:rPr>
        <w:t>天内完成所有采购货物的供货和验收，并交付给采购人正常使用。</w:t>
      </w:r>
    </w:p>
    <w:p>
      <w:pPr>
        <w:pStyle w:val="15"/>
        <w:numPr>
          <w:ilvl w:val="0"/>
          <w:numId w:val="3"/>
        </w:numPr>
        <w:spacing w:line="360" w:lineRule="auto"/>
        <w:ind w:firstLineChars="0"/>
        <w:rPr>
          <w:rFonts w:ascii="宋体" w:hAnsi="宋体"/>
          <w:b/>
          <w:bCs/>
          <w:sz w:val="28"/>
          <w:szCs w:val="28"/>
        </w:rPr>
      </w:pPr>
      <w:r>
        <w:rPr>
          <w:rFonts w:hint="eastAsia" w:ascii="宋体" w:hAnsi="宋体"/>
          <w:b/>
          <w:bCs/>
          <w:sz w:val="28"/>
          <w:szCs w:val="28"/>
        </w:rPr>
        <w:t>交货地点及方式</w:t>
      </w:r>
    </w:p>
    <w:p>
      <w:pPr>
        <w:spacing w:line="360" w:lineRule="auto"/>
        <w:ind w:firstLine="840" w:firstLineChars="300"/>
        <w:rPr>
          <w:rFonts w:hint="eastAsia" w:ascii="宋体" w:hAnsi="宋体" w:eastAsia="宋体"/>
          <w:sz w:val="28"/>
          <w:szCs w:val="28"/>
          <w:u w:val="single"/>
          <w:lang w:eastAsia="zh-CN"/>
        </w:rPr>
      </w:pPr>
      <w:r>
        <w:rPr>
          <w:rFonts w:hint="eastAsia" w:ascii="宋体" w:hAnsi="宋体"/>
          <w:sz w:val="28"/>
          <w:szCs w:val="28"/>
        </w:rPr>
        <w:t>交货地点：深圳国标数字电视单频网相应站点</w:t>
      </w:r>
      <w:r>
        <w:rPr>
          <w:rFonts w:hint="eastAsia" w:ascii="宋体" w:hAnsi="宋体"/>
          <w:sz w:val="28"/>
          <w:szCs w:val="28"/>
          <w:lang w:eastAsia="zh-CN"/>
        </w:rPr>
        <w:t>。</w:t>
      </w:r>
    </w:p>
    <w:p>
      <w:pPr>
        <w:spacing w:line="360" w:lineRule="auto"/>
        <w:ind w:firstLine="840" w:firstLineChars="300"/>
        <w:rPr>
          <w:rFonts w:ascii="宋体" w:hAnsi="宋体"/>
          <w:sz w:val="28"/>
          <w:szCs w:val="28"/>
        </w:rPr>
      </w:pPr>
      <w:r>
        <w:rPr>
          <w:rFonts w:hint="eastAsia" w:ascii="宋体" w:hAnsi="宋体"/>
          <w:sz w:val="28"/>
          <w:szCs w:val="28"/>
        </w:rPr>
        <w:t>交货方式：本项目采用一次性供货方式。</w:t>
      </w:r>
    </w:p>
    <w:p>
      <w:pPr>
        <w:numPr>
          <w:ilvl w:val="0"/>
          <w:numId w:val="3"/>
        </w:numPr>
        <w:spacing w:line="360" w:lineRule="auto"/>
        <w:rPr>
          <w:rFonts w:ascii="宋体" w:hAnsi="宋体"/>
          <w:b/>
          <w:bCs/>
          <w:sz w:val="28"/>
          <w:szCs w:val="28"/>
        </w:rPr>
      </w:pPr>
      <w:r>
        <w:rPr>
          <w:rFonts w:hint="eastAsia" w:ascii="宋体" w:hAnsi="宋体"/>
          <w:b/>
          <w:bCs/>
          <w:sz w:val="28"/>
          <w:szCs w:val="28"/>
        </w:rPr>
        <w:t>验收</w:t>
      </w:r>
    </w:p>
    <w:p>
      <w:pPr>
        <w:spacing w:line="360" w:lineRule="auto"/>
        <w:ind w:firstLine="560" w:firstLineChars="200"/>
        <w:rPr>
          <w:rFonts w:ascii="宋体" w:hAnsi="宋体"/>
          <w:sz w:val="28"/>
          <w:szCs w:val="28"/>
        </w:rPr>
      </w:pPr>
      <w:r>
        <w:rPr>
          <w:rFonts w:hint="eastAsia" w:ascii="宋体" w:hAnsi="宋体"/>
          <w:sz w:val="28"/>
          <w:szCs w:val="28"/>
        </w:rPr>
        <w:t>1）供货商负责设备产品的运送，到货后，由中标单位负责对照招标文件要求，逐一检验各项技术性能是否达到招标文件要求，期间产生的费用由中标方负责。如设备产品的各项指标均能达到中标方报价文件要求，视为验收合格；如有部分指标未能达到中标方报价文件要求，视为验收不合格。</w:t>
      </w:r>
    </w:p>
    <w:p>
      <w:pPr>
        <w:spacing w:line="360" w:lineRule="auto"/>
        <w:ind w:firstLine="560" w:firstLineChars="200"/>
        <w:rPr>
          <w:rFonts w:ascii="宋体" w:hAnsi="宋体"/>
          <w:sz w:val="28"/>
          <w:szCs w:val="28"/>
        </w:rPr>
      </w:pPr>
      <w:r>
        <w:rPr>
          <w:rFonts w:hint="eastAsia" w:ascii="宋体" w:hAnsi="宋体"/>
          <w:sz w:val="28"/>
          <w:szCs w:val="28"/>
        </w:rPr>
        <w:t>2）验收标准：按国家相关技术标准或企业标准验收，经检定或校准合格。</w:t>
      </w:r>
    </w:p>
    <w:p>
      <w:pPr>
        <w:spacing w:line="360" w:lineRule="auto"/>
        <w:ind w:firstLine="560" w:firstLineChars="200"/>
        <w:rPr>
          <w:rFonts w:ascii="宋体" w:hAnsi="宋体"/>
          <w:sz w:val="28"/>
          <w:szCs w:val="28"/>
        </w:rPr>
      </w:pPr>
      <w:r>
        <w:rPr>
          <w:rFonts w:hint="eastAsia" w:ascii="宋体" w:hAnsi="宋体"/>
          <w:sz w:val="28"/>
          <w:szCs w:val="28"/>
        </w:rPr>
        <w:t>3）验收方式：</w:t>
      </w:r>
    </w:p>
    <w:p>
      <w:pPr>
        <w:spacing w:line="360" w:lineRule="auto"/>
        <w:ind w:firstLine="560" w:firstLineChars="200"/>
        <w:rPr>
          <w:rFonts w:ascii="宋体" w:hAnsi="宋体"/>
          <w:sz w:val="28"/>
          <w:szCs w:val="28"/>
        </w:rPr>
      </w:pPr>
      <w:r>
        <w:rPr>
          <w:rFonts w:hint="eastAsia" w:ascii="宋体" w:hAnsi="宋体"/>
          <w:sz w:val="28"/>
          <w:szCs w:val="28"/>
        </w:rPr>
        <w:t>验收标准：</w:t>
      </w:r>
    </w:p>
    <w:p>
      <w:pPr>
        <w:spacing w:line="360" w:lineRule="auto"/>
        <w:ind w:firstLine="560" w:firstLineChars="200"/>
        <w:rPr>
          <w:rFonts w:ascii="宋体" w:hAnsi="宋体"/>
          <w:sz w:val="28"/>
          <w:szCs w:val="28"/>
        </w:rPr>
      </w:pPr>
      <w:r>
        <w:rPr>
          <w:rFonts w:hint="eastAsia" w:ascii="宋体" w:hAnsi="宋体"/>
          <w:sz w:val="28"/>
          <w:szCs w:val="28"/>
        </w:rPr>
        <w:t>数量验收方式：按合同规定即装箱清单、设备配置清单与设备组件三者一致；</w:t>
      </w:r>
    </w:p>
    <w:p>
      <w:pPr>
        <w:spacing w:line="360" w:lineRule="auto"/>
        <w:ind w:firstLine="560" w:firstLineChars="200"/>
        <w:rPr>
          <w:rFonts w:ascii="宋体" w:hAnsi="宋体"/>
          <w:sz w:val="28"/>
          <w:szCs w:val="28"/>
        </w:rPr>
      </w:pPr>
      <w:r>
        <w:rPr>
          <w:rFonts w:hint="eastAsia" w:ascii="宋体" w:hAnsi="宋体"/>
          <w:sz w:val="28"/>
          <w:szCs w:val="28"/>
        </w:rPr>
        <w:t>质量验收方式：按照产品说明书以及采购方要求的应用技术测试进行产品验收。</w:t>
      </w:r>
    </w:p>
    <w:p>
      <w:pPr>
        <w:spacing w:line="360" w:lineRule="auto"/>
        <w:ind w:firstLine="560" w:firstLineChars="200"/>
        <w:rPr>
          <w:rFonts w:ascii="宋体" w:hAnsi="宋体"/>
          <w:sz w:val="28"/>
          <w:szCs w:val="28"/>
        </w:rPr>
      </w:pPr>
      <w:r>
        <w:rPr>
          <w:rFonts w:hint="eastAsia" w:ascii="宋体" w:hAnsi="宋体"/>
          <w:sz w:val="28"/>
          <w:szCs w:val="28"/>
        </w:rPr>
        <w:t>设备产品出现异议应按下列办法处理：</w:t>
      </w:r>
    </w:p>
    <w:p>
      <w:pPr>
        <w:spacing w:line="360" w:lineRule="auto"/>
        <w:ind w:firstLine="560" w:firstLineChars="200"/>
        <w:rPr>
          <w:rFonts w:ascii="宋体" w:hAnsi="宋体"/>
          <w:sz w:val="28"/>
          <w:szCs w:val="28"/>
        </w:rPr>
      </w:pPr>
      <w:r>
        <w:rPr>
          <w:rFonts w:hint="eastAsia" w:ascii="宋体" w:hAnsi="宋体"/>
          <w:sz w:val="28"/>
          <w:szCs w:val="28"/>
        </w:rPr>
        <w:t>设备产品组件的数量与合同、装箱清单不符,中标方应督促设备产品的供货厂家及时给予补齐。</w:t>
      </w:r>
    </w:p>
    <w:p>
      <w:pPr>
        <w:numPr>
          <w:ilvl w:val="0"/>
          <w:numId w:val="3"/>
        </w:numPr>
        <w:spacing w:line="360" w:lineRule="auto"/>
        <w:rPr>
          <w:rFonts w:ascii="宋体" w:hAnsi="宋体"/>
          <w:b/>
          <w:bCs/>
          <w:sz w:val="28"/>
          <w:szCs w:val="28"/>
        </w:rPr>
      </w:pPr>
      <w:r>
        <w:rPr>
          <w:rFonts w:hint="eastAsia" w:ascii="宋体" w:hAnsi="宋体"/>
          <w:b/>
          <w:bCs/>
          <w:sz w:val="28"/>
          <w:szCs w:val="28"/>
        </w:rPr>
        <w:t>质量保证与售后服务</w:t>
      </w:r>
    </w:p>
    <w:p>
      <w:pPr>
        <w:spacing w:line="360" w:lineRule="auto"/>
        <w:ind w:firstLine="560" w:firstLineChars="200"/>
        <w:rPr>
          <w:rFonts w:ascii="宋体" w:hAnsi="宋体"/>
          <w:sz w:val="28"/>
          <w:szCs w:val="28"/>
        </w:rPr>
      </w:pPr>
      <w:r>
        <w:rPr>
          <w:rFonts w:hint="eastAsia" w:ascii="宋体" w:hAnsi="宋体"/>
          <w:sz w:val="28"/>
          <w:szCs w:val="28"/>
        </w:rPr>
        <w:t>1）免费质保期期限：</w:t>
      </w:r>
      <w:r>
        <w:rPr>
          <w:rFonts w:hint="eastAsia" w:ascii="宋体" w:hAnsi="宋体"/>
          <w:sz w:val="28"/>
          <w:szCs w:val="28"/>
          <w:u w:val="single"/>
        </w:rPr>
        <w:t xml:space="preserve"> 1  </w:t>
      </w:r>
      <w:r>
        <w:rPr>
          <w:rFonts w:hint="eastAsia" w:ascii="宋体" w:hAnsi="宋体"/>
          <w:sz w:val="28"/>
          <w:szCs w:val="28"/>
        </w:rPr>
        <w:t>年，自设备产品验收合格并签字之日起计算。</w:t>
      </w:r>
    </w:p>
    <w:p>
      <w:pPr>
        <w:spacing w:line="360" w:lineRule="auto"/>
        <w:ind w:firstLine="560" w:firstLineChars="200"/>
        <w:rPr>
          <w:rFonts w:ascii="宋体" w:hAnsi="宋体"/>
          <w:sz w:val="28"/>
          <w:szCs w:val="28"/>
        </w:rPr>
      </w:pPr>
      <w:r>
        <w:rPr>
          <w:rFonts w:hint="eastAsia" w:ascii="宋体" w:hAnsi="宋体"/>
          <w:sz w:val="28"/>
          <w:szCs w:val="28"/>
        </w:rPr>
        <w:t>2） 提供相应的维修保养期，对设备产品进行定期保养服务，保养期内非因需方的人为原因而出现质量问题，由供方负责包换、包修或包退，并承担修理、调换或退货的实际费用。供方不能修理或不能调换，按不能交货处理。</w:t>
      </w:r>
    </w:p>
    <w:p>
      <w:pPr>
        <w:spacing w:line="360" w:lineRule="auto"/>
        <w:ind w:firstLine="560" w:firstLineChars="200"/>
        <w:rPr>
          <w:rFonts w:ascii="宋体" w:hAnsi="宋体"/>
          <w:sz w:val="28"/>
          <w:szCs w:val="28"/>
        </w:rPr>
      </w:pPr>
      <w:r>
        <w:rPr>
          <w:rFonts w:hint="eastAsia" w:ascii="宋体" w:hAnsi="宋体"/>
          <w:sz w:val="28"/>
          <w:szCs w:val="28"/>
        </w:rPr>
        <w:t>3）售后服务</w:t>
      </w:r>
    </w:p>
    <w:p>
      <w:pPr>
        <w:spacing w:line="360" w:lineRule="auto"/>
        <w:ind w:left="1260" w:leftChars="200" w:hanging="840" w:hangingChars="300"/>
        <w:rPr>
          <w:rFonts w:ascii="宋体" w:hAnsi="宋体"/>
          <w:sz w:val="28"/>
          <w:szCs w:val="28"/>
        </w:rPr>
      </w:pPr>
      <w:r>
        <w:rPr>
          <w:rFonts w:hint="eastAsia" w:ascii="宋体" w:hAnsi="宋体"/>
          <w:sz w:val="28"/>
          <w:szCs w:val="28"/>
        </w:rPr>
        <w:t>售后维修服务机构应拥有良好和稳定的售后服务体系，技术问题在线响应时间不大于4个小时。</w:t>
      </w:r>
    </w:p>
    <w:p>
      <w:pPr>
        <w:spacing w:line="360" w:lineRule="auto"/>
        <w:ind w:firstLine="560" w:firstLineChars="200"/>
        <w:rPr>
          <w:rFonts w:ascii="宋体" w:hAnsi="宋体"/>
          <w:sz w:val="28"/>
          <w:szCs w:val="28"/>
        </w:rPr>
      </w:pPr>
      <w:r>
        <w:rPr>
          <w:rFonts w:hint="eastAsia" w:ascii="宋体" w:hAnsi="宋体"/>
          <w:sz w:val="28"/>
          <w:szCs w:val="28"/>
        </w:rPr>
        <w:t>4）技术服务：检测及人员培训工作应在设备产品验收时完成。</w:t>
      </w:r>
    </w:p>
    <w:p>
      <w:pPr>
        <w:spacing w:line="360" w:lineRule="auto"/>
        <w:ind w:firstLine="560" w:firstLineChars="200"/>
        <w:rPr>
          <w:szCs w:val="21"/>
        </w:rPr>
      </w:pPr>
      <w:r>
        <w:rPr>
          <w:rFonts w:hint="eastAsia" w:ascii="宋体" w:hAnsi="宋体"/>
          <w:sz w:val="28"/>
          <w:szCs w:val="28"/>
        </w:rPr>
        <w:t>投标人应提供按投标人格式填写“售后服务承诺“并列出“售后服务主要技术人员的情况”。</w:t>
      </w:r>
    </w:p>
    <w:p>
      <w:pPr>
        <w:spacing w:line="360" w:lineRule="auto"/>
        <w:rPr>
          <w:rFonts w:ascii="宋体" w:hAnsi="宋体"/>
          <w:b/>
          <w:bCs/>
          <w:sz w:val="32"/>
          <w:szCs w:val="32"/>
        </w:rPr>
      </w:pPr>
      <w:r>
        <w:rPr>
          <w:rFonts w:hint="eastAsia" w:ascii="宋体" w:hAnsi="宋体"/>
          <w:b/>
          <w:bCs/>
          <w:sz w:val="32"/>
          <w:szCs w:val="32"/>
        </w:rPr>
        <w:t>七、评标方法：</w:t>
      </w:r>
    </w:p>
    <w:p>
      <w:pPr>
        <w:spacing w:line="360" w:lineRule="auto"/>
        <w:ind w:firstLine="560" w:firstLineChars="200"/>
        <w:rPr>
          <w:rFonts w:ascii="宋体" w:hAnsi="宋体"/>
          <w:sz w:val="28"/>
          <w:szCs w:val="28"/>
        </w:rPr>
      </w:pPr>
      <w:r>
        <w:rPr>
          <w:rFonts w:hint="eastAsia" w:ascii="宋体" w:hAnsi="宋体"/>
          <w:sz w:val="28"/>
          <w:szCs w:val="28"/>
        </w:rPr>
        <w:t>本次评标采用“综合评标法”。评审委员会对每个通过资格性检查和符合性检查且报价不超过预算控制金额的投标供应商按照招标文件中规定的各项因素进行评审、打分，然后汇总每项评分因素的评分得出各投标供应商的综合得分。</w:t>
      </w:r>
    </w:p>
    <w:tbl>
      <w:tblPr>
        <w:tblStyle w:val="8"/>
        <w:tblpPr w:leftFromText="180" w:rightFromText="180" w:vertAnchor="text" w:horzAnchor="page" w:tblpX="1839" w:tblpY="139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903"/>
        <w:gridCol w:w="1276"/>
        <w:gridCol w:w="4961"/>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blHeader/>
        </w:trPr>
        <w:tc>
          <w:tcPr>
            <w:tcW w:w="427" w:type="dxa"/>
            <w:noWrap w:val="0"/>
            <w:vAlign w:val="center"/>
          </w:tcPr>
          <w:p>
            <w:pPr>
              <w:jc w:val="center"/>
              <w:rPr>
                <w:rFonts w:hint="eastAsia" w:ascii="宋体" w:hAnsi="宋体" w:eastAsia="宋体" w:cs="宋体"/>
                <w:b/>
                <w:snapToGrid w:val="0"/>
                <w:color w:val="auto"/>
                <w:kern w:val="0"/>
                <w:sz w:val="28"/>
                <w:szCs w:val="28"/>
              </w:rPr>
            </w:pPr>
            <w:bookmarkStart w:id="2" w:name="_GoBack"/>
            <w:bookmarkEnd w:id="2"/>
            <w:r>
              <w:rPr>
                <w:rFonts w:hint="eastAsia" w:ascii="宋体" w:hAnsi="宋体" w:eastAsia="宋体" w:cs="宋体"/>
                <w:b/>
                <w:snapToGrid w:val="0"/>
                <w:color w:val="auto"/>
                <w:kern w:val="0"/>
                <w:sz w:val="28"/>
                <w:szCs w:val="28"/>
              </w:rPr>
              <w:t>序号</w:t>
            </w:r>
          </w:p>
        </w:tc>
        <w:tc>
          <w:tcPr>
            <w:tcW w:w="903" w:type="dxa"/>
            <w:noWrap w:val="0"/>
            <w:vAlign w:val="center"/>
          </w:tcPr>
          <w:p>
            <w:pPr>
              <w:jc w:val="center"/>
              <w:rPr>
                <w:rFonts w:hint="eastAsia" w:ascii="宋体" w:hAnsi="宋体" w:eastAsia="宋体" w:cs="宋体"/>
                <w:b/>
                <w:snapToGrid w:val="0"/>
                <w:color w:val="auto"/>
                <w:kern w:val="0"/>
                <w:sz w:val="28"/>
                <w:szCs w:val="28"/>
              </w:rPr>
            </w:pPr>
            <w:r>
              <w:rPr>
                <w:rFonts w:hint="eastAsia" w:ascii="宋体" w:hAnsi="宋体" w:eastAsia="宋体" w:cs="宋体"/>
                <w:b/>
                <w:snapToGrid w:val="0"/>
                <w:color w:val="auto"/>
                <w:kern w:val="0"/>
                <w:sz w:val="28"/>
                <w:szCs w:val="28"/>
              </w:rPr>
              <w:t>评分</w:t>
            </w:r>
          </w:p>
          <w:p>
            <w:pPr>
              <w:jc w:val="center"/>
              <w:rPr>
                <w:rFonts w:hint="eastAsia" w:ascii="宋体" w:hAnsi="宋体" w:eastAsia="宋体" w:cs="宋体"/>
                <w:b/>
                <w:snapToGrid w:val="0"/>
                <w:color w:val="auto"/>
                <w:kern w:val="0"/>
                <w:sz w:val="28"/>
                <w:szCs w:val="28"/>
              </w:rPr>
            </w:pPr>
            <w:r>
              <w:rPr>
                <w:rFonts w:hint="eastAsia" w:ascii="宋体" w:hAnsi="宋体" w:eastAsia="宋体" w:cs="宋体"/>
                <w:b/>
                <w:snapToGrid w:val="0"/>
                <w:color w:val="auto"/>
                <w:kern w:val="0"/>
                <w:sz w:val="28"/>
                <w:szCs w:val="28"/>
              </w:rPr>
              <w:t>项目</w:t>
            </w:r>
          </w:p>
        </w:tc>
        <w:tc>
          <w:tcPr>
            <w:tcW w:w="6237" w:type="dxa"/>
            <w:gridSpan w:val="2"/>
            <w:noWrap w:val="0"/>
            <w:vAlign w:val="center"/>
          </w:tcPr>
          <w:p>
            <w:pPr>
              <w:jc w:val="center"/>
              <w:rPr>
                <w:rFonts w:hint="eastAsia" w:ascii="宋体" w:hAnsi="宋体" w:eastAsia="宋体" w:cs="宋体"/>
                <w:b/>
                <w:snapToGrid w:val="0"/>
                <w:color w:val="auto"/>
                <w:kern w:val="0"/>
                <w:sz w:val="28"/>
                <w:szCs w:val="28"/>
              </w:rPr>
            </w:pPr>
            <w:r>
              <w:rPr>
                <w:rFonts w:hint="eastAsia" w:ascii="宋体" w:hAnsi="宋体" w:eastAsia="宋体" w:cs="宋体"/>
                <w:b/>
                <w:snapToGrid w:val="0"/>
                <w:color w:val="auto"/>
                <w:kern w:val="0"/>
                <w:sz w:val="28"/>
                <w:szCs w:val="28"/>
              </w:rPr>
              <w:t>评分细则</w:t>
            </w:r>
          </w:p>
        </w:tc>
        <w:tc>
          <w:tcPr>
            <w:tcW w:w="853" w:type="dxa"/>
            <w:noWrap w:val="0"/>
            <w:vAlign w:val="center"/>
          </w:tcPr>
          <w:p>
            <w:pPr>
              <w:jc w:val="center"/>
              <w:rPr>
                <w:rFonts w:hint="eastAsia" w:ascii="宋体" w:hAnsi="宋体" w:eastAsia="宋体" w:cs="宋体"/>
                <w:b/>
                <w:snapToGrid w:val="0"/>
                <w:color w:val="auto"/>
                <w:kern w:val="0"/>
                <w:sz w:val="28"/>
                <w:szCs w:val="28"/>
              </w:rPr>
            </w:pPr>
            <w:r>
              <w:rPr>
                <w:rFonts w:hint="eastAsia" w:ascii="宋体" w:hAnsi="宋体" w:eastAsia="宋体" w:cs="宋体"/>
                <w:b/>
                <w:snapToGrid w:val="0"/>
                <w:color w:val="auto"/>
                <w:kern w:val="0"/>
                <w:sz w:val="28"/>
                <w:szCs w:val="28"/>
              </w:rPr>
              <w:t>最高</w:t>
            </w:r>
          </w:p>
          <w:p>
            <w:pPr>
              <w:jc w:val="center"/>
              <w:rPr>
                <w:rFonts w:hint="eastAsia" w:ascii="宋体" w:hAnsi="宋体" w:eastAsia="宋体" w:cs="宋体"/>
                <w:b/>
                <w:snapToGrid w:val="0"/>
                <w:color w:val="auto"/>
                <w:kern w:val="0"/>
                <w:sz w:val="28"/>
                <w:szCs w:val="28"/>
              </w:rPr>
            </w:pPr>
            <w:r>
              <w:rPr>
                <w:rFonts w:hint="eastAsia" w:ascii="宋体" w:hAnsi="宋体" w:eastAsia="宋体" w:cs="宋体"/>
                <w:b/>
                <w:snapToGrid w:val="0"/>
                <w:color w:val="auto"/>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27" w:type="dxa"/>
            <w:noWrap w:val="0"/>
            <w:vAlign w:val="center"/>
          </w:tcPr>
          <w:p>
            <w:pPr>
              <w:jc w:val="center"/>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1</w:t>
            </w:r>
          </w:p>
        </w:tc>
        <w:tc>
          <w:tcPr>
            <w:tcW w:w="903" w:type="dxa"/>
            <w:noWrap w:val="0"/>
            <w:vAlign w:val="center"/>
          </w:tcPr>
          <w:p>
            <w:pPr>
              <w:jc w:val="center"/>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价格</w:t>
            </w:r>
          </w:p>
        </w:tc>
        <w:tc>
          <w:tcPr>
            <w:tcW w:w="6237" w:type="dxa"/>
            <w:gridSpan w:val="2"/>
            <w:noWrap w:val="0"/>
            <w:vAlign w:val="center"/>
          </w:tcPr>
          <w:p>
            <w:pPr>
              <w:spacing w:line="360" w:lineRule="auto"/>
              <w:ind w:firstLine="560" w:firstLineChars="200"/>
              <w:rPr>
                <w:rFonts w:ascii="宋体" w:hAnsi="宋体"/>
                <w:sz w:val="28"/>
                <w:szCs w:val="28"/>
              </w:rPr>
            </w:pPr>
            <w:r>
              <w:rPr>
                <w:rFonts w:hint="eastAsia" w:ascii="宋体" w:hAnsi="宋体"/>
                <w:sz w:val="28"/>
                <w:szCs w:val="28"/>
              </w:rPr>
              <w:t>在价格评分时，有效报价最低的为评标基准价，其价格分为满分30分，其他投标人报价得分按以下公式计算：投标报价得分=（评标基准价/投标报价）*30）。</w:t>
            </w:r>
          </w:p>
          <w:p>
            <w:pPr>
              <w:jc w:val="left"/>
              <w:rPr>
                <w:rFonts w:hint="eastAsia" w:ascii="宋体" w:hAnsi="宋体" w:eastAsia="宋体" w:cs="宋体"/>
                <w:snapToGrid w:val="0"/>
                <w:color w:val="auto"/>
                <w:kern w:val="0"/>
                <w:sz w:val="28"/>
                <w:szCs w:val="28"/>
              </w:rPr>
            </w:pPr>
            <w:r>
              <w:rPr>
                <w:rFonts w:hint="eastAsia" w:ascii="宋体" w:hAnsi="宋体"/>
                <w:sz w:val="28"/>
                <w:szCs w:val="28"/>
              </w:rPr>
              <w:t>注：中华人民共和国财政部令第87号《政府采购货物和服务招标投标管理办法》第六十条规定，评标委员会认为投标人的报价明显低于其他通过符合性审查投标人的报价,有可能影响产品质量或者不能征信履约的,应当要求其在评标现场合理的时间内提供书面说明,必要时提交相关证明材料;投标人不能证明其报价合理性的,评标委员会应当将其作为无效投标处理。</w:t>
            </w:r>
          </w:p>
        </w:tc>
        <w:tc>
          <w:tcPr>
            <w:tcW w:w="853" w:type="dxa"/>
            <w:noWrap w:val="0"/>
            <w:vAlign w:val="center"/>
          </w:tcPr>
          <w:p>
            <w:pPr>
              <w:jc w:val="center"/>
              <w:rPr>
                <w:rFonts w:hint="eastAsia" w:ascii="宋体" w:hAnsi="宋体" w:eastAsia="宋体" w:cs="宋体"/>
                <w:snapToGrid w:val="0"/>
                <w:color w:val="auto"/>
                <w:kern w:val="0"/>
                <w:sz w:val="28"/>
                <w:szCs w:val="28"/>
              </w:rPr>
            </w:pPr>
            <w:r>
              <w:rPr>
                <w:rFonts w:hint="eastAsia" w:ascii="宋体" w:hAnsi="宋体" w:cs="宋体"/>
                <w:snapToGrid w:val="0"/>
                <w:color w:val="auto"/>
                <w:kern w:val="0"/>
                <w:sz w:val="28"/>
                <w:szCs w:val="28"/>
                <w:lang w:val="en-US" w:eastAsia="zh-CN"/>
              </w:rPr>
              <w:t>3</w:t>
            </w:r>
            <w:r>
              <w:rPr>
                <w:rFonts w:hint="eastAsia" w:ascii="宋体" w:hAnsi="宋体" w:eastAsia="宋体" w:cs="宋体"/>
                <w:snapToGrid w:val="0"/>
                <w:color w:val="auto"/>
                <w:kern w:val="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27" w:type="dxa"/>
            <w:noWrap w:val="0"/>
            <w:vAlign w:val="center"/>
          </w:tcPr>
          <w:p>
            <w:pPr>
              <w:jc w:val="center"/>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2</w:t>
            </w:r>
          </w:p>
        </w:tc>
        <w:tc>
          <w:tcPr>
            <w:tcW w:w="903" w:type="dxa"/>
            <w:noWrap w:val="0"/>
            <w:vAlign w:val="center"/>
          </w:tcPr>
          <w:p>
            <w:pPr>
              <w:jc w:val="center"/>
              <w:rPr>
                <w:rFonts w:hint="eastAsia" w:ascii="宋体" w:hAnsi="宋体" w:eastAsia="宋体" w:cs="宋体"/>
                <w:snapToGrid w:val="0"/>
                <w:color w:val="auto"/>
                <w:kern w:val="0"/>
                <w:sz w:val="28"/>
                <w:szCs w:val="28"/>
              </w:rPr>
            </w:pPr>
            <w:r>
              <w:rPr>
                <w:rFonts w:hint="eastAsia" w:ascii="宋体" w:hAnsi="宋体" w:eastAsia="宋体" w:cs="宋体"/>
                <w:color w:val="auto"/>
                <w:sz w:val="28"/>
                <w:szCs w:val="28"/>
              </w:rPr>
              <w:t>业绩</w:t>
            </w:r>
          </w:p>
        </w:tc>
        <w:tc>
          <w:tcPr>
            <w:tcW w:w="6237" w:type="dxa"/>
            <w:gridSpan w:val="2"/>
            <w:noWrap w:val="0"/>
            <w:vAlign w:val="center"/>
          </w:tcPr>
          <w:p>
            <w:pPr>
              <w:spacing w:after="120"/>
              <w:jc w:val="left"/>
              <w:rPr>
                <w:rFonts w:hint="eastAsia" w:ascii="宋体" w:hAnsi="宋体" w:eastAsia="宋体" w:cs="宋体"/>
                <w:color w:val="auto"/>
                <w:sz w:val="28"/>
                <w:szCs w:val="28"/>
              </w:rPr>
            </w:pPr>
            <w:r>
              <w:rPr>
                <w:rFonts w:hint="eastAsia" w:ascii="宋体" w:hAnsi="宋体" w:eastAsia="宋体" w:cs="宋体"/>
                <w:color w:val="auto"/>
                <w:sz w:val="28"/>
                <w:szCs w:val="28"/>
              </w:rPr>
              <w:t>投标人提供近两年同类业绩（提供合同关键页复印件，包括合同首页、合同货物清单、签字盖章页），按优</w:t>
            </w:r>
            <w:r>
              <w:rPr>
                <w:rFonts w:hint="eastAsia" w:ascii="宋体" w:hAnsi="宋体" w:cs="宋体"/>
                <w:color w:val="auto"/>
                <w:sz w:val="28"/>
                <w:szCs w:val="28"/>
                <w:lang w:val="en-US" w:eastAsia="zh-CN"/>
              </w:rPr>
              <w:t>8--10</w:t>
            </w:r>
            <w:r>
              <w:rPr>
                <w:rFonts w:hint="eastAsia" w:ascii="宋体" w:hAnsi="宋体" w:eastAsia="宋体" w:cs="宋体"/>
                <w:color w:val="auto"/>
                <w:sz w:val="28"/>
                <w:szCs w:val="28"/>
              </w:rPr>
              <w:t>分，良</w:t>
            </w:r>
            <w:r>
              <w:rPr>
                <w:rFonts w:hint="eastAsia" w:ascii="宋体" w:hAnsi="宋体" w:cs="宋体"/>
                <w:color w:val="auto"/>
                <w:sz w:val="28"/>
                <w:szCs w:val="28"/>
                <w:lang w:val="en-US" w:eastAsia="zh-CN"/>
              </w:rPr>
              <w:t>5--7</w:t>
            </w:r>
            <w:r>
              <w:rPr>
                <w:rFonts w:hint="eastAsia" w:ascii="宋体" w:hAnsi="宋体" w:eastAsia="宋体" w:cs="宋体"/>
                <w:color w:val="auto"/>
                <w:sz w:val="28"/>
                <w:szCs w:val="28"/>
              </w:rPr>
              <w:t>分，差</w:t>
            </w:r>
            <w:r>
              <w:rPr>
                <w:rFonts w:hint="eastAsia" w:ascii="宋体" w:hAnsi="宋体" w:cs="宋体"/>
                <w:color w:val="auto"/>
                <w:sz w:val="28"/>
                <w:szCs w:val="28"/>
                <w:lang w:val="en-US" w:eastAsia="zh-CN"/>
              </w:rPr>
              <w:t>0--4</w:t>
            </w:r>
            <w:r>
              <w:rPr>
                <w:rFonts w:hint="eastAsia" w:ascii="宋体" w:hAnsi="宋体" w:eastAsia="宋体" w:cs="宋体"/>
                <w:color w:val="auto"/>
                <w:sz w:val="28"/>
                <w:szCs w:val="28"/>
              </w:rPr>
              <w:t>分打分。</w:t>
            </w:r>
          </w:p>
        </w:tc>
        <w:tc>
          <w:tcPr>
            <w:tcW w:w="853" w:type="dxa"/>
            <w:noWrap w:val="0"/>
            <w:vAlign w:val="center"/>
          </w:tcPr>
          <w:p>
            <w:pPr>
              <w:jc w:val="center"/>
              <w:rPr>
                <w:rFonts w:hint="default" w:ascii="宋体" w:hAnsi="宋体" w:eastAsia="宋体" w:cs="宋体"/>
                <w:snapToGrid w:val="0"/>
                <w:color w:val="auto"/>
                <w:kern w:val="0"/>
                <w:sz w:val="28"/>
                <w:szCs w:val="28"/>
                <w:lang w:val="en-US" w:eastAsia="zh-CN"/>
              </w:rPr>
            </w:pPr>
            <w:r>
              <w:rPr>
                <w:rFonts w:hint="eastAsia" w:ascii="宋体" w:hAnsi="宋体" w:cs="宋体"/>
                <w:snapToGrid w:val="0"/>
                <w:color w:val="auto"/>
                <w:kern w:val="0"/>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427" w:type="dxa"/>
            <w:noWrap w:val="0"/>
            <w:vAlign w:val="center"/>
          </w:tcPr>
          <w:p>
            <w:pPr>
              <w:jc w:val="center"/>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3</w:t>
            </w:r>
          </w:p>
        </w:tc>
        <w:tc>
          <w:tcPr>
            <w:tcW w:w="903" w:type="dxa"/>
            <w:vMerge w:val="restart"/>
            <w:noWrap w:val="0"/>
            <w:vAlign w:val="center"/>
          </w:tcPr>
          <w:p>
            <w:pPr>
              <w:jc w:val="center"/>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技术及</w:t>
            </w:r>
          </w:p>
          <w:p>
            <w:pPr>
              <w:jc w:val="center"/>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服务</w:t>
            </w:r>
          </w:p>
        </w:tc>
        <w:tc>
          <w:tcPr>
            <w:tcW w:w="1276" w:type="dxa"/>
            <w:noWrap w:val="0"/>
            <w:vAlign w:val="center"/>
          </w:tcPr>
          <w:p>
            <w:pPr>
              <w:jc w:val="left"/>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技术指标响应情况</w:t>
            </w:r>
          </w:p>
        </w:tc>
        <w:tc>
          <w:tcPr>
            <w:tcW w:w="4961" w:type="dxa"/>
            <w:noWrap w:val="0"/>
            <w:vAlign w:val="center"/>
          </w:tcPr>
          <w:p>
            <w:pPr>
              <w:jc w:val="left"/>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投标人根据项目需求中的技术要求条款进行响应，如实填写《技术响应偏离表》，可偏离项每负偏离一条扣2分，扣完为止。</w:t>
            </w:r>
          </w:p>
        </w:tc>
        <w:tc>
          <w:tcPr>
            <w:tcW w:w="853" w:type="dxa"/>
            <w:noWrap w:val="0"/>
            <w:vAlign w:val="center"/>
          </w:tcPr>
          <w:p>
            <w:pPr>
              <w:jc w:val="center"/>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427" w:type="dxa"/>
            <w:noWrap w:val="0"/>
            <w:vAlign w:val="center"/>
          </w:tcPr>
          <w:p>
            <w:pPr>
              <w:jc w:val="center"/>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4</w:t>
            </w:r>
          </w:p>
        </w:tc>
        <w:tc>
          <w:tcPr>
            <w:tcW w:w="903" w:type="dxa"/>
            <w:vMerge w:val="continue"/>
            <w:noWrap w:val="0"/>
            <w:vAlign w:val="center"/>
          </w:tcPr>
          <w:p>
            <w:pPr>
              <w:jc w:val="center"/>
              <w:rPr>
                <w:rFonts w:hint="eastAsia" w:ascii="宋体" w:hAnsi="宋体" w:eastAsia="宋体" w:cs="宋体"/>
                <w:snapToGrid w:val="0"/>
                <w:color w:val="auto"/>
                <w:kern w:val="0"/>
                <w:sz w:val="28"/>
                <w:szCs w:val="28"/>
              </w:rPr>
            </w:pPr>
          </w:p>
        </w:tc>
        <w:tc>
          <w:tcPr>
            <w:tcW w:w="1276" w:type="dxa"/>
            <w:noWrap w:val="0"/>
            <w:vAlign w:val="center"/>
          </w:tcPr>
          <w:p>
            <w:pPr>
              <w:jc w:val="left"/>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技术优势</w:t>
            </w:r>
          </w:p>
        </w:tc>
        <w:tc>
          <w:tcPr>
            <w:tcW w:w="4961" w:type="dxa"/>
            <w:noWrap w:val="0"/>
            <w:vAlign w:val="center"/>
          </w:tcPr>
          <w:p>
            <w:pPr>
              <w:jc w:val="left"/>
              <w:rPr>
                <w:rFonts w:hint="eastAsia" w:ascii="宋体" w:hAnsi="宋体" w:eastAsia="宋体" w:cs="宋体"/>
                <w:snapToGrid w:val="0"/>
                <w:color w:val="auto"/>
                <w:kern w:val="0"/>
                <w:sz w:val="28"/>
                <w:szCs w:val="28"/>
              </w:rPr>
            </w:pPr>
            <w:r>
              <w:rPr>
                <w:rFonts w:hint="eastAsia" w:ascii="宋体" w:hAnsi="宋体" w:eastAsia="宋体" w:cs="宋体"/>
                <w:color w:val="auto"/>
                <w:sz w:val="28"/>
                <w:szCs w:val="28"/>
              </w:rPr>
              <w:t>投标人在招标文件技术要求的基础上，详细阐述或承诺所投产品的技术优势，评标委员会根据各产品的技术</w:t>
            </w:r>
            <w:r>
              <w:rPr>
                <w:rFonts w:hint="eastAsia" w:ascii="宋体" w:hAnsi="宋体" w:cs="宋体"/>
                <w:color w:val="auto"/>
                <w:sz w:val="28"/>
                <w:szCs w:val="28"/>
                <w:lang w:val="en-US" w:eastAsia="zh-CN"/>
              </w:rPr>
              <w:t>指标，</w:t>
            </w:r>
            <w:r>
              <w:rPr>
                <w:rFonts w:hint="eastAsia" w:ascii="宋体" w:hAnsi="宋体" w:eastAsia="宋体" w:cs="宋体"/>
                <w:color w:val="auto"/>
                <w:sz w:val="28"/>
                <w:szCs w:val="28"/>
              </w:rPr>
              <w:t>按优</w:t>
            </w:r>
            <w:r>
              <w:rPr>
                <w:rFonts w:hint="eastAsia" w:ascii="宋体" w:hAnsi="宋体" w:cs="宋体"/>
                <w:color w:val="auto"/>
                <w:sz w:val="28"/>
                <w:szCs w:val="28"/>
                <w:lang w:val="en-US" w:eastAsia="zh-CN"/>
              </w:rPr>
              <w:t>15--20</w:t>
            </w:r>
            <w:r>
              <w:rPr>
                <w:rFonts w:hint="eastAsia" w:ascii="宋体" w:hAnsi="宋体" w:eastAsia="宋体" w:cs="宋体"/>
                <w:color w:val="auto"/>
                <w:sz w:val="28"/>
                <w:szCs w:val="28"/>
              </w:rPr>
              <w:t>分，良</w:t>
            </w:r>
            <w:r>
              <w:rPr>
                <w:rFonts w:hint="eastAsia" w:ascii="宋体" w:hAnsi="宋体" w:cs="宋体"/>
                <w:color w:val="auto"/>
                <w:sz w:val="28"/>
                <w:szCs w:val="28"/>
                <w:lang w:val="en-US" w:eastAsia="zh-CN"/>
              </w:rPr>
              <w:t>8--14</w:t>
            </w:r>
            <w:r>
              <w:rPr>
                <w:rFonts w:hint="eastAsia" w:ascii="宋体" w:hAnsi="宋体" w:eastAsia="宋体" w:cs="宋体"/>
                <w:color w:val="auto"/>
                <w:sz w:val="28"/>
                <w:szCs w:val="28"/>
              </w:rPr>
              <w:t>分，差</w:t>
            </w:r>
            <w:r>
              <w:rPr>
                <w:rFonts w:hint="eastAsia" w:ascii="宋体" w:hAnsi="宋体" w:cs="宋体"/>
                <w:color w:val="auto"/>
                <w:sz w:val="28"/>
                <w:szCs w:val="28"/>
                <w:lang w:val="en-US" w:eastAsia="zh-CN"/>
              </w:rPr>
              <w:t>0--7</w:t>
            </w:r>
            <w:r>
              <w:rPr>
                <w:rFonts w:hint="eastAsia" w:ascii="宋体" w:hAnsi="宋体" w:eastAsia="宋体" w:cs="宋体"/>
                <w:color w:val="auto"/>
                <w:sz w:val="28"/>
                <w:szCs w:val="28"/>
              </w:rPr>
              <w:t>分打分。</w:t>
            </w:r>
          </w:p>
        </w:tc>
        <w:tc>
          <w:tcPr>
            <w:tcW w:w="853" w:type="dxa"/>
            <w:noWrap w:val="0"/>
            <w:vAlign w:val="center"/>
          </w:tcPr>
          <w:p>
            <w:pPr>
              <w:jc w:val="center"/>
              <w:rPr>
                <w:rFonts w:hint="default" w:ascii="宋体" w:hAnsi="宋体" w:eastAsia="宋体" w:cs="宋体"/>
                <w:snapToGrid w:val="0"/>
                <w:color w:val="auto"/>
                <w:kern w:val="0"/>
                <w:sz w:val="28"/>
                <w:szCs w:val="28"/>
                <w:lang w:val="en-US" w:eastAsia="zh-CN"/>
              </w:rPr>
            </w:pPr>
            <w:r>
              <w:rPr>
                <w:rFonts w:hint="eastAsia" w:ascii="宋体" w:hAnsi="宋体" w:cs="宋体"/>
                <w:snapToGrid w:val="0"/>
                <w:color w:val="auto"/>
                <w:kern w:val="0"/>
                <w:sz w:val="28"/>
                <w:szCs w:val="2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427" w:type="dxa"/>
            <w:noWrap w:val="0"/>
            <w:vAlign w:val="center"/>
          </w:tcPr>
          <w:p>
            <w:pPr>
              <w:jc w:val="center"/>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5</w:t>
            </w:r>
          </w:p>
        </w:tc>
        <w:tc>
          <w:tcPr>
            <w:tcW w:w="903" w:type="dxa"/>
            <w:vMerge w:val="continue"/>
            <w:noWrap w:val="0"/>
            <w:vAlign w:val="center"/>
          </w:tcPr>
          <w:p>
            <w:pPr>
              <w:jc w:val="center"/>
              <w:rPr>
                <w:rFonts w:hint="eastAsia" w:ascii="宋体" w:hAnsi="宋体" w:eastAsia="宋体" w:cs="宋体"/>
                <w:snapToGrid w:val="0"/>
                <w:color w:val="auto"/>
                <w:kern w:val="0"/>
                <w:sz w:val="28"/>
                <w:szCs w:val="28"/>
              </w:rPr>
            </w:pPr>
          </w:p>
        </w:tc>
        <w:tc>
          <w:tcPr>
            <w:tcW w:w="1276" w:type="dxa"/>
            <w:noWrap w:val="0"/>
            <w:vAlign w:val="center"/>
          </w:tcPr>
          <w:p>
            <w:pPr>
              <w:jc w:val="left"/>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产品质量</w:t>
            </w:r>
          </w:p>
        </w:tc>
        <w:tc>
          <w:tcPr>
            <w:tcW w:w="4961" w:type="dxa"/>
            <w:noWrap w:val="0"/>
            <w:vAlign w:val="center"/>
          </w:tcPr>
          <w:p>
            <w:pPr>
              <w:jc w:val="left"/>
              <w:rPr>
                <w:rFonts w:hint="eastAsia" w:ascii="宋体" w:hAnsi="宋体" w:eastAsia="宋体" w:cs="宋体"/>
                <w:snapToGrid w:val="0"/>
                <w:color w:val="auto"/>
                <w:kern w:val="0"/>
                <w:sz w:val="28"/>
                <w:szCs w:val="28"/>
              </w:rPr>
            </w:pPr>
            <w:r>
              <w:rPr>
                <w:rFonts w:hint="eastAsia" w:ascii="宋体" w:hAnsi="宋体" w:eastAsia="宋体" w:cs="宋体"/>
                <w:color w:val="auto"/>
                <w:sz w:val="28"/>
                <w:szCs w:val="28"/>
              </w:rPr>
              <w:t>投标人如实阐述产品质量及质量保障方案，按优10-7分，良6-3分，差2-0分打分。</w:t>
            </w:r>
          </w:p>
        </w:tc>
        <w:tc>
          <w:tcPr>
            <w:tcW w:w="853" w:type="dxa"/>
            <w:noWrap w:val="0"/>
            <w:vAlign w:val="center"/>
          </w:tcPr>
          <w:p>
            <w:pPr>
              <w:jc w:val="center"/>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atLeast"/>
        </w:trPr>
        <w:tc>
          <w:tcPr>
            <w:tcW w:w="427" w:type="dxa"/>
            <w:noWrap w:val="0"/>
            <w:vAlign w:val="center"/>
          </w:tcPr>
          <w:p>
            <w:pPr>
              <w:jc w:val="center"/>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6</w:t>
            </w:r>
          </w:p>
        </w:tc>
        <w:tc>
          <w:tcPr>
            <w:tcW w:w="903" w:type="dxa"/>
            <w:vMerge w:val="continue"/>
            <w:noWrap w:val="0"/>
            <w:vAlign w:val="center"/>
          </w:tcPr>
          <w:p>
            <w:pPr>
              <w:jc w:val="center"/>
              <w:rPr>
                <w:rFonts w:hint="eastAsia" w:ascii="宋体" w:hAnsi="宋体" w:eastAsia="宋体" w:cs="宋体"/>
                <w:snapToGrid w:val="0"/>
                <w:color w:val="auto"/>
                <w:kern w:val="0"/>
                <w:sz w:val="28"/>
                <w:szCs w:val="28"/>
              </w:rPr>
            </w:pPr>
          </w:p>
        </w:tc>
        <w:tc>
          <w:tcPr>
            <w:tcW w:w="1276" w:type="dxa"/>
            <w:noWrap w:val="0"/>
            <w:vAlign w:val="center"/>
          </w:tcPr>
          <w:p>
            <w:pPr>
              <w:jc w:val="center"/>
              <w:rPr>
                <w:rFonts w:hint="eastAsia" w:ascii="宋体" w:hAnsi="宋体" w:eastAsia="宋体" w:cs="宋体"/>
                <w:snapToGrid w:val="0"/>
                <w:color w:val="auto"/>
                <w:kern w:val="0"/>
                <w:sz w:val="28"/>
                <w:szCs w:val="28"/>
              </w:rPr>
            </w:pPr>
            <w:r>
              <w:rPr>
                <w:rFonts w:hint="eastAsia" w:ascii="宋体" w:hAnsi="宋体" w:eastAsia="宋体" w:cs="宋体"/>
                <w:color w:val="auto"/>
                <w:sz w:val="28"/>
                <w:szCs w:val="28"/>
              </w:rPr>
              <w:t>服务</w:t>
            </w:r>
          </w:p>
        </w:tc>
        <w:tc>
          <w:tcPr>
            <w:tcW w:w="4961" w:type="dxa"/>
            <w:noWrap w:val="0"/>
            <w:vAlign w:val="center"/>
          </w:tcPr>
          <w:p>
            <w:pPr>
              <w:spacing w:line="276" w:lineRule="auto"/>
              <w:rPr>
                <w:rFonts w:hint="eastAsia" w:ascii="宋体" w:hAnsi="宋体" w:eastAsia="宋体" w:cs="宋体"/>
                <w:b/>
                <w:color w:val="auto"/>
                <w:sz w:val="28"/>
                <w:szCs w:val="28"/>
              </w:rPr>
            </w:pPr>
            <w:r>
              <w:rPr>
                <w:rFonts w:hint="eastAsia" w:ascii="宋体" w:hAnsi="宋体" w:eastAsia="宋体" w:cs="宋体"/>
                <w:color w:val="auto"/>
                <w:sz w:val="28"/>
                <w:szCs w:val="28"/>
              </w:rPr>
              <w:t>投标人须落实并提供针对本项目产品的售后服务方案，内容包括巡检制度、响应时间、人员安排、本地专门的技术支持团队和当地备件库情况等，根据投标人提供的资料，</w:t>
            </w:r>
            <w:r>
              <w:rPr>
                <w:rFonts w:hint="eastAsia" w:ascii="宋体" w:hAnsi="宋体" w:cs="宋体"/>
                <w:color w:val="auto"/>
                <w:sz w:val="28"/>
                <w:szCs w:val="28"/>
                <w:lang w:val="en-US" w:eastAsia="zh-CN"/>
              </w:rPr>
              <w:t>满足5项（包括5项）及以上，</w:t>
            </w:r>
            <w:r>
              <w:rPr>
                <w:rFonts w:hint="eastAsia" w:ascii="宋体" w:hAnsi="宋体" w:eastAsia="宋体" w:cs="宋体"/>
                <w:color w:val="auto"/>
                <w:sz w:val="28"/>
                <w:szCs w:val="28"/>
              </w:rPr>
              <w:t>优</w:t>
            </w:r>
            <w:r>
              <w:rPr>
                <w:rFonts w:hint="eastAsia" w:ascii="宋体" w:hAnsi="宋体" w:cs="宋体"/>
                <w:color w:val="auto"/>
                <w:sz w:val="28"/>
                <w:szCs w:val="28"/>
                <w:lang w:val="en-US" w:eastAsia="zh-CN"/>
              </w:rPr>
              <w:t>15--20</w:t>
            </w:r>
            <w:r>
              <w:rPr>
                <w:rFonts w:hint="eastAsia" w:ascii="宋体" w:hAnsi="宋体" w:eastAsia="宋体" w:cs="宋体"/>
                <w:color w:val="auto"/>
                <w:sz w:val="28"/>
                <w:szCs w:val="28"/>
              </w:rPr>
              <w:t>分，</w:t>
            </w:r>
            <w:r>
              <w:rPr>
                <w:rFonts w:hint="eastAsia" w:ascii="宋体" w:hAnsi="宋体" w:cs="宋体"/>
                <w:color w:val="auto"/>
                <w:sz w:val="28"/>
                <w:szCs w:val="28"/>
                <w:lang w:val="en-US" w:eastAsia="zh-CN"/>
              </w:rPr>
              <w:t>满足3项（包括3）以上，</w:t>
            </w:r>
            <w:r>
              <w:rPr>
                <w:rFonts w:hint="eastAsia" w:ascii="宋体" w:hAnsi="宋体" w:eastAsia="宋体" w:cs="宋体"/>
                <w:color w:val="auto"/>
                <w:sz w:val="28"/>
                <w:szCs w:val="28"/>
              </w:rPr>
              <w:t>良</w:t>
            </w:r>
            <w:r>
              <w:rPr>
                <w:rFonts w:hint="eastAsia" w:ascii="宋体" w:hAnsi="宋体" w:cs="宋体"/>
                <w:color w:val="auto"/>
                <w:sz w:val="28"/>
                <w:szCs w:val="28"/>
                <w:lang w:val="en-US" w:eastAsia="zh-CN"/>
              </w:rPr>
              <w:t>8--14</w:t>
            </w:r>
            <w:r>
              <w:rPr>
                <w:rFonts w:hint="eastAsia" w:ascii="宋体" w:hAnsi="宋体" w:eastAsia="宋体" w:cs="宋体"/>
                <w:color w:val="auto"/>
                <w:sz w:val="28"/>
                <w:szCs w:val="28"/>
              </w:rPr>
              <w:t>分，差</w:t>
            </w:r>
            <w:r>
              <w:rPr>
                <w:rFonts w:hint="eastAsia" w:ascii="宋体" w:hAnsi="宋体" w:cs="宋体"/>
                <w:color w:val="auto"/>
                <w:sz w:val="28"/>
                <w:szCs w:val="28"/>
                <w:lang w:val="en-US" w:eastAsia="zh-CN"/>
              </w:rPr>
              <w:t>0--7</w:t>
            </w:r>
            <w:r>
              <w:rPr>
                <w:rFonts w:hint="eastAsia" w:ascii="宋体" w:hAnsi="宋体" w:eastAsia="宋体" w:cs="宋体"/>
                <w:color w:val="auto"/>
                <w:sz w:val="28"/>
                <w:szCs w:val="28"/>
              </w:rPr>
              <w:t>分打分。</w:t>
            </w:r>
          </w:p>
        </w:tc>
        <w:tc>
          <w:tcPr>
            <w:tcW w:w="853" w:type="dxa"/>
            <w:noWrap w:val="0"/>
            <w:vAlign w:val="center"/>
          </w:tcPr>
          <w:p>
            <w:pPr>
              <w:jc w:val="center"/>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8"/>
                <w:szCs w:val="28"/>
              </w:rPr>
              <w:t>20</w:t>
            </w:r>
          </w:p>
        </w:tc>
      </w:tr>
    </w:tbl>
    <w:p>
      <w:pPr>
        <w:spacing w:line="360" w:lineRule="auto"/>
        <w:ind w:firstLine="560" w:firstLineChars="200"/>
        <w:rPr>
          <w:rFonts w:hint="eastAsia" w:ascii="宋体" w:hAnsi="宋体"/>
          <w:sz w:val="28"/>
          <w:szCs w:val="28"/>
        </w:rPr>
      </w:pPr>
      <w:r>
        <w:rPr>
          <w:rFonts w:hint="eastAsia" w:ascii="宋体" w:hAnsi="宋体"/>
          <w:sz w:val="28"/>
          <w:szCs w:val="28"/>
        </w:rPr>
        <w:t>综合得分最高者为中标候选人。得分相同的，按技术指标和服务方案优劣顺序排列。</w:t>
      </w:r>
    </w:p>
    <w:p>
      <w:pPr>
        <w:pStyle w:val="4"/>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lvlText w:val="%1."/>
      <w:lvlJc w:val="left"/>
      <w:pPr>
        <w:ind w:left="440" w:hanging="440"/>
      </w:pPr>
      <w:rPr>
        <w:rFonts w:hint="eastAsia"/>
      </w:rPr>
    </w:lvl>
  </w:abstractNum>
  <w:abstractNum w:abstractNumId="1">
    <w:nsid w:val="00000003"/>
    <w:multiLevelType w:val="singleLevel"/>
    <w:tmpl w:val="00000003"/>
    <w:lvl w:ilvl="0" w:tentative="0">
      <w:start w:val="1"/>
      <w:numFmt w:val="decimal"/>
      <w:suff w:val="nothing"/>
      <w:lvlText w:val="%1、"/>
      <w:lvlJc w:val="left"/>
    </w:lvl>
  </w:abstractNum>
  <w:abstractNum w:abstractNumId="2">
    <w:nsid w:val="39B80E1E"/>
    <w:multiLevelType w:val="multilevel"/>
    <w:tmpl w:val="39B80E1E"/>
    <w:lvl w:ilvl="0" w:tentative="0">
      <w:start w:val="2"/>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0MTE0ZDE3YmI0NGE2NzZkNzEwZWVjNjAwNWU3MmUifQ=="/>
  </w:docVars>
  <w:rsids>
    <w:rsidRoot w:val="007A6567"/>
    <w:rsid w:val="001D2DEB"/>
    <w:rsid w:val="001F54F0"/>
    <w:rsid w:val="00294498"/>
    <w:rsid w:val="002D481A"/>
    <w:rsid w:val="003377A6"/>
    <w:rsid w:val="00342EF6"/>
    <w:rsid w:val="00354E07"/>
    <w:rsid w:val="00412B40"/>
    <w:rsid w:val="004619B1"/>
    <w:rsid w:val="004A5EA7"/>
    <w:rsid w:val="004F05B8"/>
    <w:rsid w:val="006611C6"/>
    <w:rsid w:val="0075798D"/>
    <w:rsid w:val="0076082C"/>
    <w:rsid w:val="007676A3"/>
    <w:rsid w:val="007A6567"/>
    <w:rsid w:val="007F3162"/>
    <w:rsid w:val="008B0819"/>
    <w:rsid w:val="00916E70"/>
    <w:rsid w:val="00950D23"/>
    <w:rsid w:val="009D5122"/>
    <w:rsid w:val="009F2507"/>
    <w:rsid w:val="00A41208"/>
    <w:rsid w:val="00A51C20"/>
    <w:rsid w:val="00AF66B6"/>
    <w:rsid w:val="00C10896"/>
    <w:rsid w:val="00D0249A"/>
    <w:rsid w:val="00D121B8"/>
    <w:rsid w:val="00DC6AEF"/>
    <w:rsid w:val="00F615D8"/>
    <w:rsid w:val="00FE6307"/>
    <w:rsid w:val="01552953"/>
    <w:rsid w:val="0E7A6728"/>
    <w:rsid w:val="1C2F4228"/>
    <w:rsid w:val="3DCA4696"/>
    <w:rsid w:val="44D93D12"/>
    <w:rsid w:val="4F4257E2"/>
    <w:rsid w:val="5039708E"/>
    <w:rsid w:val="55C03EBD"/>
    <w:rsid w:val="57307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link w:val="12"/>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next w:val="1"/>
    <w:autoRedefine/>
    <w:qFormat/>
    <w:uiPriority w:val="0"/>
    <w:pPr>
      <w:adjustRightInd w:val="0"/>
      <w:spacing w:line="360" w:lineRule="atLeast"/>
      <w:jc w:val="left"/>
      <w:textAlignment w:val="baseline"/>
    </w:pPr>
    <w:rPr>
      <w:sz w:val="24"/>
      <w:szCs w:val="22"/>
    </w:rPr>
  </w:style>
  <w:style w:type="paragraph" w:styleId="5">
    <w:name w:val="footer"/>
    <w:basedOn w:val="1"/>
    <w:link w:val="16"/>
    <w:autoRedefine/>
    <w:unhideWhenUsed/>
    <w:qFormat/>
    <w:uiPriority w:val="99"/>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toc 2"/>
    <w:basedOn w:val="1"/>
    <w:next w:val="1"/>
    <w:autoRedefine/>
    <w:unhideWhenUsed/>
    <w:qFormat/>
    <w:uiPriority w:val="39"/>
    <w:pPr>
      <w:ind w:left="420" w:leftChars="200"/>
    </w:pPr>
    <w:rPr>
      <w:rFonts w:asciiTheme="minorHAnsi" w:hAnsiTheme="minorHAnsi" w:eastAsiaTheme="minorEastAsia" w:cstheme="minorBidi"/>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TOC 标题1"/>
    <w:basedOn w:val="2"/>
    <w:next w:val="1"/>
    <w:autoRedefine/>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12">
    <w:name w:val="标题 1 字符"/>
    <w:basedOn w:val="10"/>
    <w:link w:val="2"/>
    <w:autoRedefine/>
    <w:qFormat/>
    <w:uiPriority w:val="9"/>
    <w:rPr>
      <w:b/>
      <w:bCs/>
      <w:kern w:val="44"/>
      <w:sz w:val="44"/>
      <w:szCs w:val="44"/>
    </w:rPr>
  </w:style>
  <w:style w:type="character" w:customStyle="1" w:styleId="13">
    <w:name w:val="标题 2 字符"/>
    <w:basedOn w:val="10"/>
    <w:link w:val="3"/>
    <w:autoRedefine/>
    <w:qFormat/>
    <w:uiPriority w:val="9"/>
    <w:rPr>
      <w:rFonts w:asciiTheme="majorHAnsi" w:hAnsiTheme="majorHAnsi" w:eastAsiaTheme="majorEastAsia" w:cstheme="majorBidi"/>
      <w:b/>
      <w:bCs/>
      <w:kern w:val="2"/>
      <w:sz w:val="32"/>
      <w:szCs w:val="32"/>
    </w:rPr>
  </w:style>
  <w:style w:type="paragraph" w:customStyle="1" w:styleId="14">
    <w:name w:val="_Style 3"/>
    <w:basedOn w:val="1"/>
    <w:autoRedefine/>
    <w:qFormat/>
    <w:uiPriority w:val="0"/>
    <w:pPr>
      <w:ind w:firstLine="420" w:firstLineChars="200"/>
    </w:pPr>
    <w:rPr>
      <w:rFonts w:ascii="Times New Roman" w:hAnsi="Times New Roman" w:cs="Times New Roman"/>
      <w:sz w:val="20"/>
    </w:rPr>
  </w:style>
  <w:style w:type="paragraph" w:styleId="15">
    <w:name w:val="List Paragraph"/>
    <w:basedOn w:val="1"/>
    <w:autoRedefine/>
    <w:qFormat/>
    <w:uiPriority w:val="34"/>
    <w:pPr>
      <w:ind w:firstLine="420" w:firstLineChars="200"/>
    </w:pPr>
  </w:style>
  <w:style w:type="character" w:customStyle="1" w:styleId="16">
    <w:name w:val="页脚 字符"/>
    <w:basedOn w:val="10"/>
    <w:link w:val="5"/>
    <w:autoRedefine/>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C1BF39-E7D6-429E-8EBB-FFCDA1C78CF3}">
  <ds:schemaRefs/>
</ds:datastoreItem>
</file>

<file path=docProps/app.xml><?xml version="1.0" encoding="utf-8"?>
<Properties xmlns="http://schemas.openxmlformats.org/officeDocument/2006/extended-properties" xmlns:vt="http://schemas.openxmlformats.org/officeDocument/2006/docPropsVTypes">
  <Template>Normal</Template>
  <Pages>12</Pages>
  <Words>652</Words>
  <Characters>3721</Characters>
  <Lines>31</Lines>
  <Paragraphs>8</Paragraphs>
  <TotalTime>1</TotalTime>
  <ScaleCrop>false</ScaleCrop>
  <LinksUpToDate>false</LinksUpToDate>
  <CharactersWithSpaces>4365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2022-04-07T02:55:00Z</dcterms:created>
  <dc:creator>jiang</dc:creator>
  <cp:lastModifiedBy>谢永峰</cp:lastModifiedBy>
  <cp:lastPrinted>2022-04-07T06:26:00Z</cp:lastPrinted>
  <dcterms:modified xsi:type="dcterms:W3CDTF">2024-03-26T01:08:25Z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9421252284274D4DBA3B04CF5BB0092B</vt:lpwstr>
  </property>
  <property fmtid="{D5CDD505-2E9C-101B-9397-08002B2CF9AE}" pid="4" name="MSIP_Label_ff418558-72e5-4d8e-958f-cfe0e73e210d_Enabled">
    <vt:lpwstr>true</vt:lpwstr>
  </property>
  <property fmtid="{D5CDD505-2E9C-101B-9397-08002B2CF9AE}" pid="5" name="MSIP_Label_ff418558-72e5-4d8e-958f-cfe0e73e210d_SetDate">
    <vt:lpwstr>2024-03-05T13:34:13Z</vt:lpwstr>
  </property>
  <property fmtid="{D5CDD505-2E9C-101B-9397-08002B2CF9AE}" pid="6" name="MSIP_Label_ff418558-72e5-4d8e-958f-cfe0e73e210d_Method">
    <vt:lpwstr>Standard</vt:lpwstr>
  </property>
  <property fmtid="{D5CDD505-2E9C-101B-9397-08002B2CF9AE}" pid="7" name="MSIP_Label_ff418558-72e5-4d8e-958f-cfe0e73e210d_Name">
    <vt:lpwstr>Eaton Internal Only (IP2)</vt:lpwstr>
  </property>
  <property fmtid="{D5CDD505-2E9C-101B-9397-08002B2CF9AE}" pid="8" name="MSIP_Label_ff418558-72e5-4d8e-958f-cfe0e73e210d_SiteId">
    <vt:lpwstr>d6525c95-b906-431a-b926-e9b51ba43cc4</vt:lpwstr>
  </property>
  <property fmtid="{D5CDD505-2E9C-101B-9397-08002B2CF9AE}" pid="9" name="MSIP_Label_ff418558-72e5-4d8e-958f-cfe0e73e210d_ActionId">
    <vt:lpwstr>dd8191bd-2dff-443d-aba8-b60dbf5ea730</vt:lpwstr>
  </property>
  <property fmtid="{D5CDD505-2E9C-101B-9397-08002B2CF9AE}" pid="10" name="MSIP_Label_ff418558-72e5-4d8e-958f-cfe0e73e210d_ContentBits">
    <vt:lpwstr>0</vt:lpwstr>
  </property>
</Properties>
</file>