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7DEB9">
      <w:pPr>
        <w:jc w:val="center"/>
        <w:rPr>
          <w:rFonts w:ascii="仿宋" w:hAnsi="仿宋" w:eastAsia="仿宋" w:cs="仿宋"/>
          <w:b/>
          <w:kern w:val="0"/>
          <w:sz w:val="44"/>
          <w:szCs w:val="44"/>
        </w:rPr>
      </w:pPr>
      <w:r>
        <w:rPr>
          <w:rFonts w:hint="eastAsia" w:ascii="仿宋" w:hAnsi="仿宋" w:eastAsia="仿宋" w:cs="仿宋"/>
          <w:b/>
          <w:kern w:val="0"/>
          <w:sz w:val="44"/>
          <w:szCs w:val="44"/>
        </w:rPr>
        <w:t>深圳市广播电视技术中心</w:t>
      </w:r>
    </w:p>
    <w:p w14:paraId="00B570B6">
      <w:pPr>
        <w:jc w:val="center"/>
        <w:rPr>
          <w:rFonts w:ascii="仿宋" w:hAnsi="仿宋" w:eastAsia="仿宋" w:cs="仿宋"/>
          <w:b/>
          <w:kern w:val="0"/>
          <w:sz w:val="44"/>
          <w:szCs w:val="44"/>
        </w:rPr>
      </w:pPr>
      <w:r>
        <w:rPr>
          <w:rFonts w:hint="eastAsia" w:ascii="仿宋" w:hAnsi="仿宋" w:eastAsia="仿宋" w:cs="仿宋"/>
          <w:b/>
          <w:kern w:val="0"/>
          <w:sz w:val="44"/>
          <w:szCs w:val="44"/>
          <w:lang w:val="en-US" w:eastAsia="zh-CN"/>
        </w:rPr>
        <w:t>石岩</w:t>
      </w:r>
      <w:r>
        <w:rPr>
          <w:rFonts w:hint="eastAsia" w:ascii="仿宋" w:hAnsi="仿宋" w:eastAsia="仿宋" w:cs="仿宋"/>
          <w:b/>
          <w:kern w:val="0"/>
          <w:sz w:val="44"/>
          <w:szCs w:val="44"/>
        </w:rPr>
        <w:t>发射基地</w:t>
      </w:r>
      <w:r>
        <w:rPr>
          <w:rFonts w:hint="eastAsia" w:ascii="仿宋" w:hAnsi="仿宋" w:eastAsia="仿宋" w:cs="仿宋"/>
          <w:b/>
          <w:kern w:val="0"/>
          <w:sz w:val="44"/>
          <w:szCs w:val="44"/>
          <w:lang w:val="en-US" w:eastAsia="zh-CN"/>
        </w:rPr>
        <w:t>食材配送</w:t>
      </w:r>
      <w:r>
        <w:rPr>
          <w:rFonts w:hint="eastAsia" w:ascii="仿宋" w:hAnsi="仿宋" w:eastAsia="仿宋" w:cs="仿宋"/>
          <w:b/>
          <w:kern w:val="0"/>
          <w:sz w:val="44"/>
          <w:szCs w:val="44"/>
        </w:rPr>
        <w:t>项目招标文件</w:t>
      </w:r>
    </w:p>
    <w:p w14:paraId="405D0640">
      <w:pPr>
        <w:jc w:val="center"/>
        <w:rPr>
          <w:rFonts w:ascii="仿宋" w:hAnsi="仿宋" w:eastAsia="仿宋" w:cs="仿宋"/>
          <w:b/>
          <w:kern w:val="0"/>
          <w:sz w:val="28"/>
          <w:szCs w:val="28"/>
        </w:rPr>
      </w:pPr>
    </w:p>
    <w:p w14:paraId="29216F43">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14:paraId="0C93B05A">
      <w:pPr>
        <w:tabs>
          <w:tab w:val="left" w:pos="7740"/>
        </w:tabs>
        <w:autoSpaceDE w:val="0"/>
        <w:autoSpaceDN w:val="0"/>
        <w:spacing w:line="20" w:lineRule="atLeast"/>
        <w:ind w:firstLine="560" w:firstLineChars="200"/>
        <w:rPr>
          <w:rFonts w:ascii="仿宋" w:hAnsi="仿宋" w:eastAsia="仿宋" w:cs="仿宋"/>
          <w:b/>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b/>
          <w:sz w:val="28"/>
          <w:szCs w:val="28"/>
        </w:rPr>
        <w:t>项目简介</w:t>
      </w:r>
    </w:p>
    <w:p w14:paraId="107882C4">
      <w:pPr>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本项目为</w:t>
      </w:r>
      <w:r>
        <w:rPr>
          <w:rFonts w:hint="eastAsia" w:ascii="仿宋" w:hAnsi="仿宋" w:eastAsia="仿宋" w:cs="仿宋"/>
          <w:sz w:val="28"/>
          <w:szCs w:val="28"/>
          <w:lang w:val="en-US" w:eastAsia="zh-CN"/>
        </w:rPr>
        <w:t>深圳市广播电视技术中心石岩</w:t>
      </w:r>
      <w:r>
        <w:rPr>
          <w:rFonts w:hint="eastAsia" w:ascii="仿宋" w:hAnsi="仿宋" w:eastAsia="仿宋" w:cs="仿宋"/>
          <w:sz w:val="28"/>
          <w:szCs w:val="28"/>
        </w:rPr>
        <w:t>发射基地</w:t>
      </w:r>
      <w:r>
        <w:rPr>
          <w:rFonts w:hint="eastAsia" w:ascii="仿宋" w:hAnsi="仿宋" w:eastAsia="仿宋" w:cs="仿宋"/>
          <w:sz w:val="28"/>
          <w:szCs w:val="28"/>
          <w:lang w:val="en-US" w:eastAsia="zh-CN"/>
        </w:rPr>
        <w:t>食材配送项目</w:t>
      </w:r>
      <w:r>
        <w:rPr>
          <w:rFonts w:hint="eastAsia" w:ascii="仿宋" w:hAnsi="仿宋" w:eastAsia="仿宋" w:cs="仿宋"/>
          <w:sz w:val="28"/>
          <w:szCs w:val="28"/>
        </w:rPr>
        <w:t>，主要内容为保证</w:t>
      </w:r>
      <w:r>
        <w:rPr>
          <w:rFonts w:hint="eastAsia" w:ascii="仿宋" w:hAnsi="仿宋" w:eastAsia="仿宋" w:cs="仿宋"/>
          <w:sz w:val="28"/>
          <w:szCs w:val="28"/>
          <w:lang w:val="en-US" w:eastAsia="zh-CN"/>
        </w:rPr>
        <w:t>基地</w:t>
      </w:r>
      <w:r>
        <w:rPr>
          <w:rFonts w:hint="eastAsia" w:ascii="仿宋" w:hAnsi="仿宋" w:eastAsia="仿宋" w:cs="仿宋"/>
          <w:sz w:val="28"/>
          <w:szCs w:val="28"/>
        </w:rPr>
        <w:t>食堂的食品安全和</w:t>
      </w:r>
      <w:r>
        <w:rPr>
          <w:rFonts w:hint="eastAsia" w:ascii="仿宋" w:hAnsi="仿宋" w:eastAsia="仿宋" w:cs="仿宋"/>
          <w:sz w:val="28"/>
          <w:szCs w:val="28"/>
          <w:lang w:val="en-US" w:eastAsia="zh-CN"/>
        </w:rPr>
        <w:t>卫生</w:t>
      </w:r>
      <w:r>
        <w:rPr>
          <w:rFonts w:hint="eastAsia" w:ascii="仿宋" w:hAnsi="仿宋" w:eastAsia="仿宋" w:cs="仿宋"/>
          <w:sz w:val="28"/>
          <w:szCs w:val="28"/>
        </w:rPr>
        <w:t>，解决职工就餐问题。详细要求请见文件第二部分内容。</w:t>
      </w:r>
    </w:p>
    <w:p w14:paraId="6A43B7E0">
      <w:pPr>
        <w:tabs>
          <w:tab w:val="left" w:pos="7740"/>
        </w:tabs>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采购单位：</w:t>
      </w:r>
      <w:r>
        <w:rPr>
          <w:rFonts w:hint="eastAsia" w:ascii="仿宋" w:hAnsi="仿宋" w:eastAsia="仿宋" w:cs="仿宋"/>
          <w:sz w:val="28"/>
          <w:szCs w:val="28"/>
          <w:u w:val="single"/>
        </w:rPr>
        <w:t>深圳市广播电视技术中心</w:t>
      </w:r>
    </w:p>
    <w:p w14:paraId="189F4390">
      <w:pPr>
        <w:tabs>
          <w:tab w:val="left" w:pos="7740"/>
        </w:tabs>
        <w:autoSpaceDE w:val="0"/>
        <w:autoSpaceDN w:val="0"/>
        <w:spacing w:line="20" w:lineRule="atLeas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val="en-US" w:eastAsia="zh-CN"/>
        </w:rPr>
        <w:t>石岩发射基地食材配送</w:t>
      </w:r>
    </w:p>
    <w:p w14:paraId="12189CFB">
      <w:pPr>
        <w:pStyle w:val="6"/>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配送</w:t>
      </w:r>
      <w:r>
        <w:rPr>
          <w:rFonts w:hint="eastAsia" w:ascii="仿宋" w:hAnsi="仿宋" w:eastAsia="仿宋" w:cs="仿宋"/>
          <w:sz w:val="28"/>
          <w:szCs w:val="28"/>
        </w:rPr>
        <w:t>地点：</w:t>
      </w:r>
      <w:r>
        <w:rPr>
          <w:rFonts w:hint="eastAsia" w:ascii="仿宋" w:hAnsi="仿宋" w:eastAsia="仿宋" w:cs="仿宋"/>
          <w:sz w:val="28"/>
          <w:szCs w:val="28"/>
          <w:u w:val="single"/>
        </w:rPr>
        <w:t>深圳市</w:t>
      </w:r>
      <w:r>
        <w:rPr>
          <w:rFonts w:hint="eastAsia" w:ascii="仿宋" w:hAnsi="仿宋" w:eastAsia="仿宋" w:cs="仿宋"/>
          <w:sz w:val="28"/>
          <w:szCs w:val="28"/>
          <w:u w:val="single"/>
          <w:lang w:val="en-US" w:eastAsia="zh-CN"/>
        </w:rPr>
        <w:t>宝安区深圳市广播电视技术中心</w:t>
      </w:r>
      <w:r>
        <w:rPr>
          <w:rFonts w:hint="eastAsia" w:ascii="仿宋" w:hAnsi="仿宋" w:eastAsia="仿宋" w:cs="仿宋"/>
          <w:sz w:val="28"/>
          <w:szCs w:val="28"/>
          <w:u w:val="single"/>
          <w:lang w:eastAsia="zh-CN"/>
        </w:rPr>
        <w:t>石岩</w:t>
      </w:r>
      <w:r>
        <w:rPr>
          <w:rFonts w:hint="eastAsia" w:ascii="仿宋" w:hAnsi="仿宋" w:eastAsia="仿宋" w:cs="仿宋"/>
          <w:sz w:val="28"/>
          <w:szCs w:val="28"/>
          <w:u w:val="single"/>
        </w:rPr>
        <w:t>发射基地</w:t>
      </w:r>
    </w:p>
    <w:p w14:paraId="047AB2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项目预算：本项目最高限价为人民币</w:t>
      </w:r>
      <w:r>
        <w:rPr>
          <w:rFonts w:hint="eastAsia" w:ascii="仿宋" w:hAnsi="仿宋" w:eastAsia="仿宋" w:cs="仿宋"/>
          <w:sz w:val="28"/>
          <w:szCs w:val="28"/>
          <w:u w:val="single"/>
          <w:lang w:val="en-US" w:eastAsia="zh-CN"/>
        </w:rPr>
        <w:t>85</w:t>
      </w:r>
      <w:r>
        <w:rPr>
          <w:rFonts w:hint="eastAsia" w:ascii="仿宋" w:hAnsi="仿宋" w:eastAsia="仿宋" w:cs="仿宋"/>
          <w:sz w:val="28"/>
          <w:szCs w:val="28"/>
        </w:rPr>
        <w:t>万元，报价人所报总价不能高于最高限价，若高于最高限价将导致报价无效。</w:t>
      </w:r>
    </w:p>
    <w:p w14:paraId="774B59F0">
      <w:pPr>
        <w:pStyle w:val="6"/>
        <w:rPr>
          <w:rFonts w:ascii="仿宋" w:hAnsi="仿宋" w:eastAsia="仿宋" w:cs="仿宋"/>
          <w:sz w:val="28"/>
          <w:szCs w:val="28"/>
        </w:rPr>
      </w:pPr>
      <w:r>
        <w:rPr>
          <w:rFonts w:hint="eastAsia" w:ascii="仿宋" w:hAnsi="仿宋" w:eastAsia="仿宋" w:cs="仿宋"/>
          <w:sz w:val="28"/>
          <w:szCs w:val="28"/>
        </w:rPr>
        <w:t xml:space="preserve">    二、</w:t>
      </w:r>
      <w:r>
        <w:rPr>
          <w:rFonts w:hint="eastAsia" w:ascii="仿宋" w:hAnsi="仿宋" w:eastAsia="仿宋" w:cs="仿宋"/>
          <w:b/>
          <w:sz w:val="28"/>
          <w:szCs w:val="28"/>
        </w:rPr>
        <w:t>投标人资质：</w:t>
      </w:r>
    </w:p>
    <w:p w14:paraId="668CEC54">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应具备《政府采购法》第二十二条规定的条件：</w:t>
      </w:r>
    </w:p>
    <w:p w14:paraId="02EE1054">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14:paraId="6470AA1F">
      <w:pPr>
        <w:tabs>
          <w:tab w:val="left" w:pos="7740"/>
        </w:tabs>
        <w:autoSpaceDE w:val="0"/>
        <w:autoSpaceDN w:val="0"/>
        <w:spacing w:line="20" w:lineRule="atLeast"/>
        <w:ind w:firstLine="560" w:firstLineChars="200"/>
        <w:rPr>
          <w:rFonts w:ascii="仿宋" w:hAnsi="仿宋" w:eastAsia="仿宋" w:cs="仿宋"/>
          <w:sz w:val="28"/>
          <w:szCs w:val="28"/>
          <w:lang w:val="hr-HR"/>
        </w:rPr>
      </w:pPr>
      <w:bookmarkStart w:id="0" w:name="_Hlk107511169"/>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bookmarkEnd w:id="0"/>
      <w:r>
        <w:rPr>
          <w:rFonts w:hint="eastAsia" w:ascii="仿宋" w:hAnsi="仿宋" w:eastAsia="仿宋" w:cs="仿宋"/>
          <w:sz w:val="28"/>
          <w:szCs w:val="28"/>
          <w:lang w:val="hr-HR"/>
        </w:rPr>
        <w:t>;</w:t>
      </w:r>
    </w:p>
    <w:p w14:paraId="6CF8F226">
      <w:pPr>
        <w:tabs>
          <w:tab w:val="left" w:pos="7740"/>
        </w:tabs>
        <w:autoSpaceDE w:val="0"/>
        <w:autoSpaceDN w:val="0"/>
        <w:spacing w:line="20" w:lineRule="atLeast"/>
        <w:ind w:firstLine="420" w:firstLineChars="200"/>
        <w:rPr>
          <w:rFonts w:ascii="仿宋" w:hAnsi="仿宋" w:eastAsia="仿宋" w:cs="仿宋"/>
          <w:sz w:val="28"/>
          <w:szCs w:val="28"/>
          <w:lang w:val="hr-HR"/>
        </w:rPr>
      </w:pPr>
      <w:r>
        <w:rPr>
          <w:rFonts w:hint="eastAsia"/>
          <w:lang w:val="hr-HR"/>
        </w:rPr>
        <w:t xml:space="preserve"> </w:t>
      </w:r>
      <w:r>
        <w:rPr>
          <w:rFonts w:hint="eastAsia" w:ascii="仿宋" w:hAnsi="仿宋" w:eastAsia="仿宋" w:cs="仿宋"/>
          <w:sz w:val="28"/>
          <w:szCs w:val="28"/>
        </w:rPr>
        <w:t>1.</w:t>
      </w:r>
      <w:r>
        <w:rPr>
          <w:rFonts w:ascii="仿宋" w:hAnsi="仿宋" w:eastAsia="仿宋" w:cs="仿宋"/>
          <w:sz w:val="28"/>
          <w:szCs w:val="28"/>
        </w:rPr>
        <w:t xml:space="preserve">3 </w:t>
      </w:r>
      <w:r>
        <w:rPr>
          <w:rFonts w:hint="eastAsia" w:ascii="仿宋" w:hAnsi="仿宋" w:eastAsia="仿宋" w:cs="仿宋"/>
          <w:sz w:val="28"/>
          <w:szCs w:val="28"/>
          <w:lang w:val="hr-HR"/>
        </w:rPr>
        <w:t>具有履行合同所必需的设备和专业技术能力;</w:t>
      </w:r>
    </w:p>
    <w:p w14:paraId="15A9A48C">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 xml:space="preserve"> 有依法缴纳税收和社会保障资金的良好记录;</w:t>
      </w:r>
    </w:p>
    <w:p w14:paraId="6A72FA30">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5</w:t>
      </w:r>
      <w:r>
        <w:rPr>
          <w:rFonts w:hint="eastAsia" w:ascii="仿宋" w:hAnsi="仿宋" w:eastAsia="仿宋" w:cs="仿宋"/>
          <w:sz w:val="28"/>
          <w:szCs w:val="28"/>
        </w:rPr>
        <w:t xml:space="preserve"> 参加政府采购活动前三年内，在经营活动中没有重大违法记</w:t>
      </w:r>
      <w:r>
        <w:rPr>
          <w:rFonts w:hint="eastAsia" w:ascii="仿宋" w:hAnsi="仿宋" w:eastAsia="仿宋" w:cs="仿宋"/>
          <w:sz w:val="28"/>
          <w:szCs w:val="28"/>
          <w:lang w:val="hr-HR"/>
        </w:rPr>
        <w:t>录;</w:t>
      </w:r>
    </w:p>
    <w:p w14:paraId="2041B972">
      <w:pPr>
        <w:tabs>
          <w:tab w:val="left" w:pos="7740"/>
        </w:tabs>
        <w:autoSpaceDE w:val="0"/>
        <w:autoSpaceDN w:val="0"/>
        <w:spacing w:line="20" w:lineRule="atLeast"/>
        <w:ind w:firstLine="560" w:firstLineChars="200"/>
        <w:rPr>
          <w:rFonts w:hint="eastAsia" w:ascii="仿宋" w:hAnsi="仿宋" w:eastAsia="仿宋" w:cs="仿宋"/>
          <w:color w:val="FF0000"/>
          <w:sz w:val="28"/>
          <w:szCs w:val="28"/>
          <w:lang w:val="hr-HR"/>
        </w:rPr>
      </w:pPr>
      <w:r>
        <w:rPr>
          <w:rFonts w:hint="eastAsia" w:ascii="仿宋" w:hAnsi="仿宋" w:eastAsia="仿宋" w:cs="仿宋"/>
          <w:color w:val="FF0000"/>
          <w:sz w:val="28"/>
          <w:szCs w:val="28"/>
          <w:lang w:val="hr-HR"/>
        </w:rPr>
        <w:t>*</w:t>
      </w:r>
      <w:r>
        <w:rPr>
          <w:rFonts w:hint="eastAsia" w:ascii="仿宋" w:hAnsi="仿宋" w:eastAsia="仿宋" w:cs="仿宋"/>
          <w:color w:val="FF0000"/>
          <w:sz w:val="28"/>
          <w:szCs w:val="28"/>
        </w:rPr>
        <w:t>1.</w:t>
      </w:r>
      <w:r>
        <w:rPr>
          <w:rFonts w:ascii="仿宋" w:hAnsi="仿宋" w:eastAsia="仿宋" w:cs="仿宋"/>
          <w:color w:val="FF0000"/>
          <w:sz w:val="28"/>
          <w:szCs w:val="28"/>
        </w:rPr>
        <w:t>6</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rPr>
        <w:t>本项目属于专门面向中小微企业采购：根据《财政部 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做资格审查不通过处理）。</w:t>
      </w:r>
    </w:p>
    <w:p w14:paraId="06EB0D0B">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ascii="仿宋" w:hAnsi="仿宋" w:eastAsia="仿宋" w:cs="仿宋"/>
          <w:sz w:val="28"/>
          <w:szCs w:val="28"/>
        </w:rPr>
        <w:t xml:space="preserve"> </w:t>
      </w:r>
      <w:r>
        <w:rPr>
          <w:rFonts w:hint="eastAsia" w:ascii="仿宋" w:hAnsi="仿宋" w:eastAsia="仿宋" w:cs="仿宋"/>
          <w:sz w:val="28"/>
          <w:szCs w:val="28"/>
          <w:lang w:val="hr-HR"/>
        </w:rPr>
        <w:t>法律、行政法规规定的其他条件。</w:t>
      </w:r>
    </w:p>
    <w:p w14:paraId="5EF3BB24">
      <w:pPr>
        <w:tabs>
          <w:tab w:val="left" w:pos="7740"/>
        </w:tabs>
        <w:autoSpaceDE w:val="0"/>
        <w:autoSpaceDN w:val="0"/>
        <w:spacing w:line="20" w:lineRule="atLeast"/>
        <w:ind w:firstLine="560" w:firstLineChars="200"/>
        <w:rPr>
          <w:rFonts w:hint="eastAsia" w:ascii="仿宋" w:hAnsi="仿宋" w:eastAsia="仿宋" w:cs="仿宋"/>
          <w:sz w:val="28"/>
          <w:szCs w:val="28"/>
          <w:lang w:eastAsia="zh-CN"/>
        </w:rPr>
      </w:pPr>
      <w:r>
        <w:rPr>
          <w:rFonts w:hint="eastAsia" w:ascii="仿宋" w:hAnsi="仿宋" w:eastAsia="仿宋" w:cs="仿宋"/>
          <w:color w:val="FF0000"/>
          <w:sz w:val="28"/>
          <w:szCs w:val="28"/>
          <w:lang w:val="hr-HR"/>
        </w:rPr>
        <w:t>加注 “*”号的条款为不可偏离项，对这些条款的不满足将导致废标</w:t>
      </w:r>
      <w:r>
        <w:rPr>
          <w:rFonts w:hint="eastAsia" w:ascii="仿宋" w:hAnsi="仿宋" w:eastAsia="仿宋" w:cs="仿宋"/>
          <w:color w:val="FF0000"/>
          <w:sz w:val="28"/>
          <w:szCs w:val="28"/>
          <w:lang w:val="hr-HR" w:eastAsia="zh-CN"/>
        </w:rPr>
        <w:t>。</w:t>
      </w:r>
    </w:p>
    <w:p w14:paraId="46A362A5">
      <w:pPr>
        <w:pStyle w:val="6"/>
        <w:rPr>
          <w:lang w:val="hr-HR"/>
        </w:rPr>
      </w:pPr>
    </w:p>
    <w:p w14:paraId="011BCD1E">
      <w:pPr>
        <w:tabs>
          <w:tab w:val="left" w:pos="7740"/>
        </w:tabs>
        <w:spacing w:line="20" w:lineRule="atLeast"/>
        <w:ind w:left="141" w:leftChars="67" w:firstLine="448" w:firstLineChars="160"/>
        <w:rPr>
          <w:rFonts w:ascii="仿宋" w:hAnsi="仿宋" w:eastAsia="仿宋" w:cs="仿宋"/>
          <w:sz w:val="28"/>
          <w:szCs w:val="28"/>
        </w:rPr>
      </w:pPr>
      <w:r>
        <w:rPr>
          <w:rFonts w:hint="eastAsia" w:ascii="仿宋" w:hAnsi="仿宋" w:eastAsia="仿宋" w:cs="仿宋"/>
          <w:sz w:val="28"/>
          <w:szCs w:val="28"/>
          <w:lang w:val="zh-CN"/>
        </w:rPr>
        <w:t>符合</w:t>
      </w:r>
      <w:r>
        <w:rPr>
          <w:rFonts w:hint="eastAsia" w:ascii="仿宋" w:hAnsi="仿宋" w:eastAsia="仿宋" w:cs="仿宋"/>
          <w:sz w:val="28"/>
          <w:szCs w:val="28"/>
        </w:rPr>
        <w:t>以上</w:t>
      </w:r>
      <w:r>
        <w:rPr>
          <w:rFonts w:hint="eastAsia" w:ascii="仿宋" w:hAnsi="仿宋" w:eastAsia="仿宋" w:cs="仿宋"/>
          <w:sz w:val="28"/>
          <w:szCs w:val="28"/>
          <w:lang w:val="zh-CN"/>
        </w:rPr>
        <w:t>资格的投标人</w:t>
      </w:r>
      <w:r>
        <w:rPr>
          <w:rFonts w:hint="eastAsia" w:ascii="仿宋" w:hAnsi="仿宋" w:eastAsia="仿宋" w:cs="仿宋"/>
          <w:sz w:val="28"/>
          <w:szCs w:val="28"/>
        </w:rPr>
        <w:t>须提供以下资料：</w:t>
      </w:r>
    </w:p>
    <w:p w14:paraId="68D1D918">
      <w:pPr>
        <w:tabs>
          <w:tab w:val="left" w:pos="7740"/>
        </w:tabs>
        <w:spacing w:line="20" w:lineRule="atLeast"/>
        <w:ind w:firstLine="590" w:firstLineChars="210"/>
        <w:rPr>
          <w:rFonts w:ascii="仿宋" w:hAnsi="仿宋" w:eastAsia="仿宋" w:cs="仿宋"/>
          <w:b/>
          <w:bCs/>
          <w:sz w:val="28"/>
          <w:szCs w:val="28"/>
        </w:rPr>
      </w:pPr>
      <w:r>
        <w:rPr>
          <w:rFonts w:hint="eastAsia" w:ascii="仿宋" w:hAnsi="仿宋" w:eastAsia="仿宋" w:cs="仿宋"/>
          <w:b/>
          <w:bCs/>
          <w:sz w:val="28"/>
          <w:szCs w:val="28"/>
        </w:rPr>
        <w:t>营业执照副本、纳税证明（复印件加盖公章）；</w:t>
      </w:r>
    </w:p>
    <w:p w14:paraId="3D2BD191">
      <w:pPr>
        <w:numPr>
          <w:ilvl w:val="0"/>
          <w:numId w:val="2"/>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14:paraId="7353430D">
      <w:pPr>
        <w:numPr>
          <w:ilvl w:val="0"/>
          <w:numId w:val="2"/>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本项目不接受联合体投标，投标人中标后不允许分包、转包。</w:t>
      </w:r>
    </w:p>
    <w:p w14:paraId="607556BE">
      <w:pPr>
        <w:tabs>
          <w:tab w:val="left" w:pos="7740"/>
        </w:tabs>
        <w:autoSpaceDE w:val="0"/>
        <w:autoSpaceDN w:val="0"/>
        <w:spacing w:line="2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w:t>
      </w:r>
      <w:r>
        <w:rPr>
          <w:rFonts w:hint="eastAsia" w:ascii="仿宋" w:hAnsi="仿宋" w:eastAsia="仿宋" w:cs="仿宋"/>
          <w:b/>
          <w:sz w:val="28"/>
          <w:szCs w:val="28"/>
          <w:lang w:val="zh-CN"/>
        </w:rPr>
        <w:t>现场踏勘(答疑会)时间、地点</w:t>
      </w:r>
      <w:r>
        <w:rPr>
          <w:rFonts w:hint="eastAsia" w:ascii="仿宋" w:hAnsi="仿宋" w:eastAsia="仿宋" w:cs="仿宋"/>
          <w:sz w:val="28"/>
          <w:szCs w:val="28"/>
          <w:lang w:val="zh-CN"/>
        </w:rPr>
        <w:t>：不组织踏勘现场，投标人可以</w:t>
      </w:r>
      <w:r>
        <w:rPr>
          <w:rFonts w:hint="eastAsia" w:ascii="仿宋" w:hAnsi="仿宋" w:eastAsia="仿宋" w:cs="仿宋"/>
          <w:sz w:val="28"/>
          <w:szCs w:val="28"/>
        </w:rPr>
        <w:t>联系采购单位安排</w:t>
      </w:r>
      <w:r>
        <w:rPr>
          <w:rFonts w:hint="eastAsia" w:ascii="仿宋" w:hAnsi="仿宋" w:eastAsia="仿宋" w:cs="仿宋"/>
          <w:sz w:val="28"/>
          <w:szCs w:val="28"/>
          <w:lang w:val="zh-CN"/>
        </w:rPr>
        <w:t>对工作现场进行考察。</w:t>
      </w:r>
    </w:p>
    <w:p w14:paraId="73028B2B">
      <w:pPr>
        <w:tabs>
          <w:tab w:val="left" w:pos="7740"/>
        </w:tabs>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zh-CN"/>
        </w:rPr>
        <w:t>、</w:t>
      </w:r>
      <w:r>
        <w:rPr>
          <w:rFonts w:hint="eastAsia" w:ascii="仿宋" w:hAnsi="仿宋" w:eastAsia="仿宋" w:cs="仿宋"/>
          <w:b/>
          <w:sz w:val="28"/>
          <w:szCs w:val="28"/>
        </w:rPr>
        <w:t>评标方法</w:t>
      </w:r>
      <w:r>
        <w:rPr>
          <w:rFonts w:hint="eastAsia" w:ascii="仿宋" w:hAnsi="仿宋" w:eastAsia="仿宋" w:cs="仿宋"/>
          <w:sz w:val="28"/>
          <w:szCs w:val="28"/>
        </w:rPr>
        <w:t>：</w:t>
      </w:r>
      <w:r>
        <w:rPr>
          <w:rFonts w:hint="eastAsia" w:ascii="仿宋" w:hAnsi="仿宋" w:eastAsia="仿宋" w:cs="仿宋"/>
          <w:color w:val="auto"/>
          <w:sz w:val="28"/>
          <w:szCs w:val="28"/>
        </w:rPr>
        <w:t>综合评分法</w:t>
      </w:r>
    </w:p>
    <w:p w14:paraId="52758891">
      <w:pPr>
        <w:pStyle w:val="6"/>
      </w:pPr>
    </w:p>
    <w:p w14:paraId="298A5EA6">
      <w:pPr>
        <w:numPr>
          <w:ilvl w:val="0"/>
          <w:numId w:val="3"/>
        </w:numPr>
        <w:jc w:val="center"/>
        <w:rPr>
          <w:rFonts w:ascii="仿宋" w:hAnsi="仿宋" w:eastAsia="仿宋" w:cs="仿宋"/>
          <w:b/>
          <w:sz w:val="28"/>
          <w:szCs w:val="28"/>
        </w:rPr>
      </w:pPr>
      <w:r>
        <w:rPr>
          <w:rFonts w:hint="eastAsia" w:ascii="仿宋" w:hAnsi="仿宋" w:eastAsia="仿宋" w:cs="仿宋"/>
          <w:b/>
          <w:sz w:val="28"/>
          <w:szCs w:val="28"/>
          <w:lang w:val="en-US" w:eastAsia="zh-CN"/>
        </w:rPr>
        <w:t xml:space="preserve">  项目概况和要求</w:t>
      </w:r>
    </w:p>
    <w:p w14:paraId="3EE990BD">
      <w:pPr>
        <w:pStyle w:val="6"/>
        <w:numPr>
          <w:ilvl w:val="0"/>
          <w:numId w:val="4"/>
        </w:numPr>
        <w:rPr>
          <w:rFonts w:hint="eastAsia" w:ascii="仿宋" w:hAnsi="仿宋" w:eastAsia="仿宋" w:cs="仿宋"/>
          <w:b/>
          <w:sz w:val="28"/>
          <w:szCs w:val="28"/>
          <w:lang w:val="en-US" w:eastAsia="zh-CN"/>
        </w:rPr>
      </w:pPr>
      <w:r>
        <w:rPr>
          <w:rFonts w:hint="eastAsia" w:ascii="仿宋" w:hAnsi="仿宋" w:eastAsia="仿宋" w:cs="仿宋"/>
          <w:b/>
          <w:sz w:val="28"/>
          <w:szCs w:val="28"/>
        </w:rPr>
        <w:t>项</w:t>
      </w:r>
      <w:r>
        <w:rPr>
          <w:rFonts w:hint="eastAsia" w:ascii="仿宋" w:hAnsi="仿宋" w:eastAsia="仿宋" w:cs="仿宋"/>
          <w:b/>
          <w:sz w:val="28"/>
          <w:szCs w:val="28"/>
          <w:lang w:val="en-US" w:eastAsia="zh-CN"/>
        </w:rPr>
        <w:t>目概况</w:t>
      </w:r>
    </w:p>
    <w:p w14:paraId="666F0F25">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1、为保证</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en-US" w:eastAsia="zh-CN"/>
        </w:rPr>
        <w:t>石岩发射基地</w:t>
      </w:r>
      <w:r>
        <w:rPr>
          <w:rFonts w:hint="eastAsia" w:ascii="仿宋" w:hAnsi="仿宋" w:eastAsia="仿宋" w:cs="仿宋"/>
          <w:sz w:val="28"/>
          <w:szCs w:val="28"/>
          <w:lang w:val="hr-HR"/>
        </w:rPr>
        <w:t>食堂的食品安全和卫生，解决职工就餐问题，现向社会公开招标，选择优秀的公司承担</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hr-HR"/>
        </w:rPr>
        <w:t>食堂的物资采购及配送服务。</w:t>
      </w:r>
    </w:p>
    <w:p w14:paraId="2E27557F">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2、项目采购范围：蔬菜、水果、鲜肉、冻品、水产品、副食品、干货、杂货、调料、粮油、洗洁等食堂日用品等。</w:t>
      </w:r>
    </w:p>
    <w:p w14:paraId="7E3C43E7">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3、项目依据及标准：《中华人民共和国食品安全法》、《餐饮业和集体用餐配送单位卫生规范》、产品国家标准等。</w:t>
      </w:r>
    </w:p>
    <w:p w14:paraId="23162C05">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4、食堂地址及就餐人数：</w:t>
      </w:r>
      <w:r>
        <w:rPr>
          <w:rFonts w:hint="eastAsia" w:ascii="仿宋" w:hAnsi="仿宋" w:eastAsia="仿宋" w:cs="仿宋"/>
          <w:sz w:val="28"/>
          <w:szCs w:val="28"/>
          <w:lang w:val="en-US" w:eastAsia="zh-CN"/>
        </w:rPr>
        <w:t>宝安区石岩街道</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en-US" w:eastAsia="zh-CN"/>
        </w:rPr>
        <w:t>石岩发射基地</w:t>
      </w:r>
      <w:r>
        <w:rPr>
          <w:rFonts w:hint="eastAsia" w:ascii="仿宋" w:hAnsi="仿宋" w:eastAsia="仿宋" w:cs="仿宋"/>
          <w:sz w:val="28"/>
          <w:szCs w:val="28"/>
          <w:lang w:val="hr-HR"/>
        </w:rPr>
        <w:t>，就餐人数约</w:t>
      </w:r>
      <w:r>
        <w:rPr>
          <w:rFonts w:hint="eastAsia" w:ascii="仿宋" w:hAnsi="仿宋" w:eastAsia="仿宋" w:cs="仿宋"/>
          <w:sz w:val="28"/>
          <w:szCs w:val="28"/>
          <w:lang w:val="en-US" w:eastAsia="zh-CN"/>
        </w:rPr>
        <w:t>35</w:t>
      </w:r>
      <w:r>
        <w:rPr>
          <w:rFonts w:hint="eastAsia" w:ascii="仿宋" w:hAnsi="仿宋" w:eastAsia="仿宋" w:cs="仿宋"/>
          <w:sz w:val="28"/>
          <w:szCs w:val="28"/>
          <w:lang w:val="hr-HR"/>
        </w:rPr>
        <w:t>人。</w:t>
      </w:r>
    </w:p>
    <w:p w14:paraId="0B3F87B7">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5、本项目配送地址：</w:t>
      </w:r>
      <w:r>
        <w:rPr>
          <w:rFonts w:hint="eastAsia" w:ascii="仿宋" w:hAnsi="仿宋" w:eastAsia="仿宋" w:cs="仿宋"/>
          <w:sz w:val="28"/>
          <w:szCs w:val="28"/>
          <w:lang w:val="en-US" w:eastAsia="zh-CN"/>
        </w:rPr>
        <w:t>宝安区石岩街道民生一路</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en-US" w:eastAsia="zh-CN"/>
        </w:rPr>
        <w:t>石岩发射基地</w:t>
      </w:r>
      <w:r>
        <w:rPr>
          <w:rFonts w:hint="eastAsia" w:ascii="仿宋" w:hAnsi="仿宋" w:eastAsia="仿宋" w:cs="仿宋"/>
          <w:sz w:val="28"/>
          <w:szCs w:val="28"/>
          <w:lang w:val="hr-HR"/>
        </w:rPr>
        <w:t>。</w:t>
      </w:r>
    </w:p>
    <w:p w14:paraId="7CE3BCAD">
      <w:pPr>
        <w:pStyle w:val="6"/>
        <w:numPr>
          <w:ilvl w:val="0"/>
          <w:numId w:val="4"/>
        </w:num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技术要求</w:t>
      </w:r>
    </w:p>
    <w:p w14:paraId="1BE90E3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（一）服务要求</w:t>
      </w:r>
    </w:p>
    <w:p w14:paraId="7F14AD8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1、质量要求：</w:t>
      </w:r>
    </w:p>
    <w:p w14:paraId="39D0A28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1）配送食品全部经过国家规定的职能部门检验并有检测报告，安全可靠，从来未出现配送食品安全事故，并出具相关承诺书。</w:t>
      </w:r>
    </w:p>
    <w:p w14:paraId="5730352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2）乙方配送的蔬菜、肉类、食材应符合国家卫生标准，并且保证质量，不得有腐烂、变质物品。</w:t>
      </w:r>
    </w:p>
    <w:p w14:paraId="3603F34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所送货品有保质期的离保质期结束至少还剩三分之一时间，要求包装完整、无外漏。招标人对不符合质量要求的货品可作退货或换货处理，并追究投标人相关责任。凡属于质量问题应包退包换，退补货品需在1小时内补给，不能影响甲方正常供餐。</w:t>
      </w:r>
    </w:p>
    <w:p w14:paraId="602A902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color w:val="FF0000"/>
          <w:sz w:val="28"/>
          <w:szCs w:val="28"/>
          <w:lang w:val="hr-HR"/>
        </w:rPr>
        <w:t>*</w:t>
      </w:r>
      <w:r>
        <w:rPr>
          <w:rFonts w:hint="eastAsia" w:ascii="仿宋" w:hAnsi="仿宋" w:eastAsia="仿宋" w:cs="仿宋"/>
          <w:sz w:val="28"/>
          <w:szCs w:val="28"/>
        </w:rPr>
        <w:t>4）若因乙方配送食品、食材导致甲方出现食物事故时，经卫生防疫站检验，证明确属于乙方造成的，乙方必须承担经济与法律上的全部责任。</w:t>
      </w:r>
    </w:p>
    <w:p w14:paraId="656A1F8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5）如配送的货物不符合要求，一次提出口头警告并要求供应商做出书面保证，二次扣当天货款10%，不符合要求达到三次的，招标人可取消其当期供货资格、解除供货合同。</w:t>
      </w:r>
    </w:p>
    <w:p w14:paraId="1D04FBD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color w:val="FF0000"/>
          <w:sz w:val="28"/>
          <w:szCs w:val="28"/>
          <w:lang w:val="hr-HR"/>
        </w:rPr>
        <w:t>*</w:t>
      </w:r>
      <w:r>
        <w:rPr>
          <w:rFonts w:hint="eastAsia" w:ascii="仿宋" w:hAnsi="仿宋" w:eastAsia="仿宋" w:cs="仿宋"/>
          <w:sz w:val="28"/>
          <w:szCs w:val="28"/>
        </w:rPr>
        <w:t>2、数量要求：</w:t>
      </w:r>
    </w:p>
    <w:p w14:paraId="3534BED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投标人和招标人在食品数量验收方面必须严格执行，不能弄虚作假，必须保证配送品种斤两的准确性，以招标人的验货数量为准，投标人每次随货送上一式两份的送货清单,供双方验货后签字确认，双方各持一份，作为送、收货的凭证。</w:t>
      </w:r>
    </w:p>
    <w:p w14:paraId="65AF68D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专门派2名粗加工员工及1名跟单办理业务，按食堂每天</w:t>
      </w:r>
      <w:r>
        <w:rPr>
          <w:rFonts w:hint="eastAsia" w:ascii="仿宋" w:hAnsi="仿宋" w:eastAsia="仿宋" w:cs="仿宋"/>
          <w:sz w:val="28"/>
          <w:szCs w:val="28"/>
          <w:lang w:val="en-US" w:eastAsia="zh-CN"/>
        </w:rPr>
        <w:t>制定</w:t>
      </w:r>
      <w:r>
        <w:rPr>
          <w:rFonts w:hint="eastAsia" w:ascii="仿宋" w:hAnsi="仿宋" w:eastAsia="仿宋" w:cs="仿宋"/>
          <w:sz w:val="28"/>
          <w:szCs w:val="28"/>
        </w:rPr>
        <w:t>的采购单进行配送。</w:t>
      </w:r>
    </w:p>
    <w:p w14:paraId="1F60CF3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3、时间要求：</w:t>
      </w:r>
    </w:p>
    <w:p w14:paraId="3B49238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1)需保证全年365天均能送货。</w:t>
      </w:r>
    </w:p>
    <w:p w14:paraId="1D74A6A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2)应当在每天早上</w:t>
      </w:r>
      <w:r>
        <w:rPr>
          <w:rFonts w:hint="eastAsia" w:ascii="仿宋" w:hAnsi="仿宋" w:eastAsia="仿宋" w:cs="仿宋"/>
          <w:sz w:val="28"/>
          <w:szCs w:val="28"/>
          <w:lang w:val="en-US" w:eastAsia="zh-CN"/>
        </w:rPr>
        <w:t>6:00</w:t>
      </w:r>
      <w:r>
        <w:rPr>
          <w:rFonts w:hint="eastAsia" w:ascii="仿宋" w:hAnsi="仿宋" w:eastAsia="仿宋" w:cs="仿宋"/>
          <w:sz w:val="28"/>
          <w:szCs w:val="28"/>
        </w:rPr>
        <w:t>前把所配送的食品按质按量送达指定地点，由食堂工作人员验收核对后入库。超出约定时间30分钟，则将扣除当日货款10%违约处罚。如招标人对货物验收不合格导致退货的，投标人必须于当日内安排重新送货上门。</w:t>
      </w:r>
    </w:p>
    <w:p w14:paraId="1C40092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3)甲方有需临时加送菜品（提前2小时通知乙方），乙方应无条件按时送达。</w:t>
      </w:r>
    </w:p>
    <w:p w14:paraId="3056B7A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4)若有特殊情况，需提前通知甲方。在通知甲方后，乙方配送到达时间不得超过约定时间1小时；如乙方在规定时间内没有配送到，给甲方带来一切经济后果将由乙方承担。</w:t>
      </w:r>
    </w:p>
    <w:p w14:paraId="342388A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4、品牌及品种调整：</w:t>
      </w:r>
    </w:p>
    <w:p w14:paraId="2D0CC1C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如遇所投品牌或品种停止生产经营，或产地发生台风、海啸等不可抗力的自然灾害导致无法配送的，投标人负责举证并提出书面申请和相应的解决方案，招标人应当成立讨论小组商决应对方案。</w:t>
      </w:r>
    </w:p>
    <w:p w14:paraId="6EF8F04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使用单位如需临时增加采购货品清单以外货物的，结算按中农数据网该货物当天价格乘于结算折扣率。如遇中农数据网无相关报价的，以使用单位人组织到大型超市或农贸市场进行考察确定价格的合理性。</w:t>
      </w:r>
    </w:p>
    <w:p w14:paraId="78D64A4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color w:val="FF0000"/>
          <w:sz w:val="28"/>
          <w:szCs w:val="28"/>
          <w:lang w:val="hr-HR"/>
        </w:rPr>
        <w:t>*</w:t>
      </w:r>
      <w:r>
        <w:rPr>
          <w:rFonts w:hint="eastAsia" w:ascii="仿宋" w:hAnsi="仿宋" w:eastAsia="仿宋" w:cs="仿宋"/>
          <w:sz w:val="28"/>
          <w:szCs w:val="28"/>
        </w:rPr>
        <w:t xml:space="preserve">5、责任界定: </w:t>
      </w:r>
    </w:p>
    <w:p w14:paraId="3EA5B4B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投标单位的食品必须符合国家有关部门规定的食品安全标准，如果因投标单位所供货的食品造成招标人就餐人员食物中毒的，经卫生防疫部门鉴定，属投标单位责任，投标单位须承担全部法律责任并作出全部的经济赔偿。</w:t>
      </w:r>
    </w:p>
    <w:p w14:paraId="7259A72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投标人的粗加工人员和配送人员在服务过程中如遇到人员伤亡事故由中标单位负全部责任，与招标人无关。</w:t>
      </w:r>
    </w:p>
    <w:p w14:paraId="56A3E67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6、其他要求：</w:t>
      </w:r>
    </w:p>
    <w:p w14:paraId="0F3A7FE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1）配送公司定期附送科学健康饮食报刊。</w:t>
      </w:r>
    </w:p>
    <w:p w14:paraId="302E1F1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2）配送公司定期有温馨提示，提示哪些蔬菜瓜果质量较差，哪些价格涨幅大等信息。</w:t>
      </w:r>
    </w:p>
    <w:p w14:paraId="0457528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（二）食材管理要求</w:t>
      </w:r>
    </w:p>
    <w:p w14:paraId="727EE10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1、肉类（含生鲜、冻品、鱼类、熟食等）</w:t>
      </w:r>
    </w:p>
    <w:p w14:paraId="5D302E9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供应产品质量要求:</w:t>
      </w:r>
    </w:p>
    <w:p w14:paraId="4A1FF70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1)所供货物应保持较好的外观和质量等级，符合国家食品部门的有关标准，保证无异味、无霉烂变 质，肉类保证来源于深圳市正规肉屠宰场，供货时须提交屠宰场的验收单及当批次有效的动物检疫合格证复印件（原件备查），新鲜肉确保每日新鲜，为当天深圳市正规屠宰场宰杀的新鲜肉；冷冻肉要求肉体冻实而坚硬，无化冻现象，肉质紧密 而有弹性，色泽均匀，不粘手，交货时干净、新鲜、无异味；冷冻鱼类要求鱼眼睛清亮，角膜透明，鳞片上覆有冻结的透明黏液层，皮肤天然色泽明显。</w:t>
      </w:r>
    </w:p>
    <w:p w14:paraId="71FB513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2)所有货物规格符合招标人提交的日采购计划中明确的具体需求。</w:t>
      </w:r>
    </w:p>
    <w:p w14:paraId="75E237D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3)冷冻禽类食品解冻后净重量不少于 90％，冷冻肉类食品解冻后净重量不少于 92%，冷冻水产类食 品解冻后净重量不少于 82%，解冻时间为 4 小时以内（室温 20℃）。所有冷冻食品要求清晰列出产品品牌、规格、类型、包装方式、包装净重、含冰量等相关参数。</w:t>
      </w:r>
    </w:p>
    <w:p w14:paraId="666B915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4)熟食包括烧鸡、烧鸭、烧鹅等。熟食（特别是鲜制熟食）保质期较短，保鲜要求高，供应的熟食需保证产品的品质。</w:t>
      </w:r>
    </w:p>
    <w:p w14:paraId="19F033E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5)如中标人不能按时、保质、保量供货，由招标人自行采购，并承担招标人由此造成的经济损失和接受违约处罚。</w:t>
      </w:r>
    </w:p>
    <w:p w14:paraId="56A229B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6)各投标人提供猪、牛、羊等肉类、家禽类及肉制品应有《卫生检疫报告》、《产品合格证》资质证明。</w:t>
      </w:r>
    </w:p>
    <w:p w14:paraId="6736ECC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7)产品配送要求：</w:t>
      </w:r>
    </w:p>
    <w:p w14:paraId="0FEBAB1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食品运输应采用符合卫生要求的外包装和运载工具，并且要保持清洁和定期消毒。运输车厢的内仓，包括地面、墙面和顶，应为抗腐蚀、防潮，防虫、防鼠的设计，车厢内无不良气味、异味。</w:t>
      </w:r>
    </w:p>
    <w:p w14:paraId="049E698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冷藏、冷冻食品应用专用冷藏、冷冻载具运输，应当有必要的保温设备并在整个运输过程中保持安全的冷藏、冷冻温度。特别是对于长途运输的食品，保证食品在运输全过程处于合适的温度范围。</w:t>
      </w:r>
    </w:p>
    <w:p w14:paraId="334DD74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整个运输过程应科学合理，运输车辆应定期清洁，保持性能稳定，符合规定的温度要求，使运输食品处于恒定的环境中。</w:t>
      </w:r>
    </w:p>
    <w:p w14:paraId="0640E7F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送货车辆实行1小时配送圈运作，在1小时内的用保温车配送，1小时以外的用制冷车配送，保证肉类中心温度控制在-2-7℃的范围之内，保证运输过程冷链不中断。商品到达目的地时外包装箱干爽,无软化现象。</w:t>
      </w:r>
    </w:p>
    <w:p w14:paraId="4BF0422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8)卸货要求：</w:t>
      </w:r>
    </w:p>
    <w:p w14:paraId="351EA93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送货车辆应保持清洁；食品堆放科学合理，避免造成食品的交叉污染；如对温度有要求的食品应确定食品的温度，记录送货车辆温度，并记录存档。</w:t>
      </w:r>
    </w:p>
    <w:p w14:paraId="186C998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在本环节中应保证冷藏食品脱离冷链时间不得超过20分钟，冷冻食品脱离冷链时间不得超过30分钟。</w:t>
      </w:r>
    </w:p>
    <w:p w14:paraId="45226AD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9)冻肉质量的基本检查：</w:t>
      </w:r>
    </w:p>
    <w:p w14:paraId="2E9CFE2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对冻肉类检查如下：</w:t>
      </w:r>
    </w:p>
    <w:p w14:paraId="6EB4914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1171F46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9.2冻肉类食品包装必须符合国家规范，采购的食品不得存放在有毒、有害的容器和承载物内。食品包装上必须使用原产地标识，应注明：制造商名称和厂址、食品名称和重（容）量、生产日期和保质期限以及规格和QS认证等。</w:t>
      </w:r>
    </w:p>
    <w:p w14:paraId="2A00634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9.3对不符合采购要求的冻肉类食品由验收人员提出清退，如双方对质量争议的退货前应实行留板备案，可送深圳市或用户所在地地级市以上质监部门检测，对缺斤短两（或含冰量超标）的应按实际重量扣减。</w:t>
      </w:r>
    </w:p>
    <w:p w14:paraId="6DA6A71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10)冻肉类食品验收发现问题时的处理办法：</w:t>
      </w:r>
    </w:p>
    <w:p w14:paraId="2CD4779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10.1按后附产品质量描述对货物质量进行抽查。</w:t>
      </w:r>
    </w:p>
    <w:p w14:paraId="51F9D62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10.2抽查发现食品安全质量问题的处理：</w:t>
      </w:r>
    </w:p>
    <w:p w14:paraId="1BF74A6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对危及人身安全的食品质量问题采取零容忍措施，一经发现，当日所送同批次产品全部退货，如水产品中发现河豚，发现腐败变质肉类等。</w:t>
      </w:r>
    </w:p>
    <w:p w14:paraId="3904C88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若抽查未发现问题，而在加工食用前发现部分产品质量问题，应立即通知单位伙食物资验收小组及供应商，将问题产品退货处理。</w:t>
      </w:r>
    </w:p>
    <w:p w14:paraId="648D0AA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10.3抽查发现资质证照不全问题的处理：</w:t>
      </w:r>
    </w:p>
    <w:p w14:paraId="792B720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10.3.1整批产品无政府部门出具的动植物检疫合格证明的全部退货；</w:t>
      </w:r>
    </w:p>
    <w:p w14:paraId="42755B6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10.3.2抽查发现部分产品无政府部门出具的动植物检疫合格证明，加抽15%，两次抽 查数50%以上没有动植物检疫合格证明的，全部退货；50%以下没有动植物检疫合格证明的，将无动植物检疫合格证明的货物退货；</w:t>
      </w:r>
    </w:p>
    <w:p w14:paraId="6AEEDA3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10.3.3整批产品有省地市出具的动植物检疫合格证明，随箱产品合格证</w:t>
      </w:r>
      <w:r>
        <w:rPr>
          <w:rFonts w:hint="eastAsia" w:ascii="仿宋" w:hAnsi="仿宋" w:eastAsia="仿宋" w:cs="仿宋"/>
          <w:sz w:val="28"/>
          <w:szCs w:val="28"/>
          <w:lang w:val="en-US" w:eastAsia="zh-CN"/>
        </w:rPr>
        <w:t>明</w:t>
      </w:r>
      <w:r>
        <w:rPr>
          <w:rFonts w:hint="eastAsia" w:ascii="仿宋" w:hAnsi="仿宋" w:eastAsia="仿宋" w:cs="仿宋"/>
          <w:sz w:val="28"/>
          <w:szCs w:val="28"/>
        </w:rPr>
        <w:t>不齐全的，加抽15%，两次抽查数50%以上没有产品合格证</w:t>
      </w:r>
      <w:r>
        <w:rPr>
          <w:rFonts w:hint="eastAsia" w:ascii="仿宋" w:hAnsi="仿宋" w:eastAsia="仿宋" w:cs="仿宋"/>
          <w:sz w:val="28"/>
          <w:szCs w:val="28"/>
          <w:lang w:val="en-US" w:eastAsia="zh-CN"/>
        </w:rPr>
        <w:t>明</w:t>
      </w:r>
      <w:r>
        <w:rPr>
          <w:rFonts w:hint="eastAsia" w:ascii="仿宋" w:hAnsi="仿宋" w:eastAsia="仿宋" w:cs="仿宋"/>
          <w:sz w:val="28"/>
          <w:szCs w:val="28"/>
        </w:rPr>
        <w:t>的，全部退货；50%以下没有产品合格证明的，将无产品合格证明的货物退货；</w:t>
      </w:r>
    </w:p>
    <w:p w14:paraId="5FAB92B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10.3.4肉制品无疾病控制或质量技术监督部门出具的同类产品半年内有效检验报告，作退货处理；随箱产品合格证</w:t>
      </w:r>
      <w:r>
        <w:rPr>
          <w:rFonts w:hint="eastAsia" w:ascii="仿宋" w:hAnsi="仿宋" w:eastAsia="仿宋" w:cs="仿宋"/>
          <w:sz w:val="28"/>
          <w:szCs w:val="28"/>
          <w:lang w:val="en-US" w:eastAsia="zh-CN"/>
        </w:rPr>
        <w:t>明</w:t>
      </w:r>
      <w:r>
        <w:rPr>
          <w:rFonts w:hint="eastAsia" w:ascii="仿宋" w:hAnsi="仿宋" w:eastAsia="仿宋" w:cs="仿宋"/>
          <w:sz w:val="28"/>
          <w:szCs w:val="28"/>
        </w:rPr>
        <w:t>不齐全的，加抽15%，两次抽查数50%以上没有产品合格证</w:t>
      </w:r>
      <w:r>
        <w:rPr>
          <w:rFonts w:hint="eastAsia" w:ascii="仿宋" w:hAnsi="仿宋" w:eastAsia="仿宋" w:cs="仿宋"/>
          <w:sz w:val="28"/>
          <w:szCs w:val="28"/>
          <w:lang w:val="en-US" w:eastAsia="zh-CN"/>
        </w:rPr>
        <w:t>明</w:t>
      </w:r>
      <w:r>
        <w:rPr>
          <w:rFonts w:hint="eastAsia" w:ascii="仿宋" w:hAnsi="仿宋" w:eastAsia="仿宋" w:cs="仿宋"/>
          <w:sz w:val="28"/>
          <w:szCs w:val="28"/>
        </w:rPr>
        <w:t>的，全部退货；50%以下没有产品合格证明的，将无产品合格证明的货物退货。</w:t>
      </w:r>
    </w:p>
    <w:p w14:paraId="558FFB1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11)货物重量验收：</w:t>
      </w:r>
    </w:p>
    <w:p w14:paraId="647D78A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11.1冻肉类：双方各随机抽取每品种货物一箱，去包装，在流动的10-25℃清水中浸泡解冻至表面冰层融化，个体能够分离为止，充分摊开货物沥水三分钟后称重，取双方抽取样本均值为该产品本批次种货物的验收重量。</w:t>
      </w:r>
    </w:p>
    <w:p w14:paraId="64B955E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11.2水产类：双方各随机抽取每品种货物两箱，去包装，在流动的10-25℃清水中浸泡解冻至表面冰层融化，个体能够分离为止，充分摊开货物沥水三分钟后称重，取双方抽取样本均值为该产品本批次种货物的验收重量。</w:t>
      </w:r>
    </w:p>
    <w:p w14:paraId="061D79F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11.3 新鲜肉类、丸类、火腿、腊肠类等不含冰货物直接称重验收。</w:t>
      </w:r>
    </w:p>
    <w:p w14:paraId="050B9DE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2、蔬菜类要求：</w:t>
      </w:r>
    </w:p>
    <w:p w14:paraId="5D8FFDD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中标人每天的供应按招标人提出的品种要求和计划数量进行供应。</w:t>
      </w:r>
    </w:p>
    <w:p w14:paraId="2DC1B55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属季节问题，若出现品种不能满足招标人需求的情况，可与招标人协商调换相应类别的品种（按叶菜、瓜菜等进行分类）。</w:t>
      </w:r>
    </w:p>
    <w:p w14:paraId="18CC0AC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1)货物质量要求：</w:t>
      </w:r>
    </w:p>
    <w:p w14:paraId="4DB9FED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从蔬菜色泽看，各种蔬菜都应具有本品种固有的颜色，大多数有发亮的光泽，以此显示蔬菜的成熟度及鲜嫩程度；</w:t>
      </w:r>
    </w:p>
    <w:p w14:paraId="5843113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从蔬菜气味看，多数蔬菜具有清馨、甘辛香、甜酸香等气味，可凭嗅觉识别不同品种的质量，不允许有腐烂变质的亚硝酸盐味和其他异常气味；</w:t>
      </w:r>
    </w:p>
    <w:p w14:paraId="65E76B9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从蔬菜滋味看，因品种不同而各异，多数蔬菜滋味甘淡、甜酸、清爽鲜美，少数具有辛酸、苦涩等特殊风味以刺激食欲，如失去本品种原有的滋</w:t>
      </w:r>
      <w:r>
        <w:rPr>
          <w:rFonts w:hint="eastAsia" w:ascii="仿宋" w:hAnsi="仿宋" w:eastAsia="仿宋" w:cs="仿宋"/>
          <w:sz w:val="28"/>
          <w:szCs w:val="28"/>
          <w:lang w:val="en-US" w:eastAsia="zh-CN"/>
        </w:rPr>
        <w:t>味</w:t>
      </w:r>
      <w:r>
        <w:rPr>
          <w:rFonts w:hint="eastAsia" w:ascii="仿宋" w:hAnsi="仿宋" w:eastAsia="仿宋" w:cs="仿宋"/>
          <w:sz w:val="28"/>
          <w:szCs w:val="28"/>
        </w:rPr>
        <w:t>为异常；</w:t>
      </w:r>
    </w:p>
    <w:p w14:paraId="7AEA810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从蔬菜形态看，应尽量避免由于客观因素而造成的各种非正常、不新鲜的蔬菜，例如萎蔫、枯塌、损伤、病变、虫害侵蚀等引起的形态异常等。</w:t>
      </w:r>
    </w:p>
    <w:p w14:paraId="58BE5C8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2)供应和管理要求</w:t>
      </w:r>
    </w:p>
    <w:p w14:paraId="2CB2AD0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2.1蔬菜供应的品种安排（分主菜和配菜）。</w:t>
      </w:r>
    </w:p>
    <w:p w14:paraId="5810DDD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2.1.1 配菜品种按招标人计划和要求的品种供应；</w:t>
      </w:r>
    </w:p>
    <w:p w14:paraId="06845F3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2.1.2主菜品种由供求双方根据季节安排，但要确保每周有5个品种以上，每个品种不少于2次，6-9月叶菜类不少于30％，其余时间叶菜类不少于50％。</w:t>
      </w:r>
    </w:p>
    <w:p w14:paraId="0571713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2.2蔬菜包装与标志要求：包装。容器(框、箱、袋)要求清洁、干燥、牢固、透气，无污染、无异味、无霉变现象。标志。每件包装必须按《农产品包装和标识管理办法》贴标签，并标明产地、品种、净含量、生产单位及地址和采收日期。</w:t>
      </w:r>
    </w:p>
    <w:p w14:paraId="6A2FFBE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2.3食品供应链要求：所有食品的来源必须清晰。蔬菜来源须为深圳市范围内的自有基地、商品菜基地或蔬菜专业流通市场，严禁收购散户农民的蔬菜供应。</w:t>
      </w:r>
    </w:p>
    <w:p w14:paraId="1A2AB12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w:t>
      </w:r>
      <w:r>
        <w:rPr>
          <w:rFonts w:hint="eastAsia" w:ascii="仿宋" w:hAnsi="仿宋" w:eastAsia="仿宋" w:cs="仿宋"/>
          <w:sz w:val="28"/>
          <w:szCs w:val="28"/>
          <w:lang w:val="en-US" w:eastAsia="zh-CN"/>
        </w:rPr>
        <w:t>装卸</w:t>
      </w:r>
      <w:r>
        <w:rPr>
          <w:rFonts w:hint="eastAsia" w:ascii="仿宋" w:hAnsi="仿宋" w:eastAsia="仿宋" w:cs="仿宋"/>
          <w:sz w:val="28"/>
          <w:szCs w:val="28"/>
        </w:rPr>
        <w:t>，严防机械损伤。食品堆放科学合理，避免造成食品的交叉污染；如对温度有要求的食品应确定食品的温度，记录送货车辆温度，并记录存档。</w:t>
      </w:r>
    </w:p>
    <w:p w14:paraId="583781C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2.5管理要求：菜地设有固定的农资存放场所，配有专用的农药喷洒用具及其他农用器具，施用农药有详尽记录，规定施药间隔期后采收；蔬菜采收后需用清洁、无污染的运输工具运抵加工地点。</w:t>
      </w:r>
    </w:p>
    <w:p w14:paraId="1AE7B91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2.6环境要求：菜地周围需设有隔离网、隔离带或其他有效的隔离措施，确保不受临近农田施肥和用药污染；菜地周围无养殖场、化工厂、垃圾处理场、医院以及污水排放管道等污染源。</w:t>
      </w:r>
    </w:p>
    <w:p w14:paraId="5A54BC1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2.7水源要求：菜地应有清洁无污染的灌溉水源；灌溉水井设有防护设施。灌溉水源需经检测验证符合规定要求，并一年内在蔬菜种植过程对水源进行2次监测。</w:t>
      </w:r>
    </w:p>
    <w:p w14:paraId="3CA7F32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2.8农药要求：种植使用的农药必须符合食品安全管理部门的规定，严禁使用违禁药物；农药的采购、保管、发放、使用必须建立记录；蔬菜生产使用农药的间隔期必须符合行业规定，并且采收前供应商应从种植地取样检测农残项目，合格后方可供应。</w:t>
      </w:r>
    </w:p>
    <w:p w14:paraId="4C99239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3)蔬菜卫生质量要求</w:t>
      </w:r>
    </w:p>
    <w:tbl>
      <w:tblPr>
        <w:tblStyle w:val="11"/>
        <w:tblW w:w="6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82"/>
        <w:gridCol w:w="3402"/>
        <w:gridCol w:w="954"/>
      </w:tblGrid>
      <w:tr w14:paraId="31E4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282" w:type="dxa"/>
            <w:vAlign w:val="center"/>
          </w:tcPr>
          <w:p w14:paraId="1581779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项目</w:t>
            </w:r>
          </w:p>
        </w:tc>
        <w:tc>
          <w:tcPr>
            <w:tcW w:w="3402" w:type="dxa"/>
            <w:vAlign w:val="center"/>
          </w:tcPr>
          <w:p w14:paraId="398246E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指标（mg/kg）</w:t>
            </w:r>
          </w:p>
        </w:tc>
        <w:tc>
          <w:tcPr>
            <w:tcW w:w="954" w:type="dxa"/>
            <w:vAlign w:val="center"/>
          </w:tcPr>
          <w:p w14:paraId="3BF89E2A">
            <w:pPr>
              <w:tabs>
                <w:tab w:val="left" w:pos="7740"/>
              </w:tabs>
              <w:autoSpaceDE w:val="0"/>
              <w:autoSpaceDN w:val="0"/>
              <w:spacing w:line="20" w:lineRule="atLeast"/>
              <w:rPr>
                <w:rFonts w:hint="eastAsia" w:ascii="仿宋" w:hAnsi="仿宋" w:eastAsia="仿宋" w:cs="仿宋"/>
                <w:sz w:val="28"/>
                <w:szCs w:val="28"/>
              </w:rPr>
            </w:pPr>
            <w:r>
              <w:rPr>
                <w:rFonts w:hint="eastAsia" w:ascii="仿宋" w:hAnsi="仿宋" w:eastAsia="仿宋" w:cs="仿宋"/>
                <w:sz w:val="28"/>
                <w:szCs w:val="28"/>
              </w:rPr>
              <w:t>备注</w:t>
            </w:r>
          </w:p>
        </w:tc>
      </w:tr>
      <w:tr w14:paraId="27AC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754B0CAC">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甲胺磷</w:t>
            </w:r>
          </w:p>
        </w:tc>
        <w:tc>
          <w:tcPr>
            <w:tcW w:w="3402" w:type="dxa"/>
            <w:vAlign w:val="center"/>
          </w:tcPr>
          <w:p w14:paraId="0E7C349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4066BE18">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3542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1C526894">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甲拌磷</w:t>
            </w:r>
          </w:p>
        </w:tc>
        <w:tc>
          <w:tcPr>
            <w:tcW w:w="3402" w:type="dxa"/>
            <w:vAlign w:val="center"/>
          </w:tcPr>
          <w:p w14:paraId="4B4F0D5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3FE58A35">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67BE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6FD555E0">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氧化乐果</w:t>
            </w:r>
          </w:p>
        </w:tc>
        <w:tc>
          <w:tcPr>
            <w:tcW w:w="3402" w:type="dxa"/>
            <w:vAlign w:val="center"/>
          </w:tcPr>
          <w:p w14:paraId="5A46F91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055A2AA4">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1026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3D27E699">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甲基对硫磷</w:t>
            </w:r>
          </w:p>
        </w:tc>
        <w:tc>
          <w:tcPr>
            <w:tcW w:w="3402" w:type="dxa"/>
            <w:vAlign w:val="center"/>
          </w:tcPr>
          <w:p w14:paraId="1783897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7FD07F5F">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5E2E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4BD7728B">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呋喃丹</w:t>
            </w:r>
          </w:p>
        </w:tc>
        <w:tc>
          <w:tcPr>
            <w:tcW w:w="3402" w:type="dxa"/>
            <w:vAlign w:val="center"/>
          </w:tcPr>
          <w:p w14:paraId="0AA0A0E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1EC4E625">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46A3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3C639E12">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百菌清</w:t>
            </w:r>
          </w:p>
        </w:tc>
        <w:tc>
          <w:tcPr>
            <w:tcW w:w="3402" w:type="dxa"/>
            <w:vAlign w:val="center"/>
          </w:tcPr>
          <w:p w14:paraId="1ADBF29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w:t>
            </w:r>
          </w:p>
        </w:tc>
        <w:tc>
          <w:tcPr>
            <w:tcW w:w="954" w:type="dxa"/>
            <w:vAlign w:val="center"/>
          </w:tcPr>
          <w:p w14:paraId="3A4A0DBF">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6B91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702C6719">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多菌灵</w:t>
            </w:r>
          </w:p>
        </w:tc>
        <w:tc>
          <w:tcPr>
            <w:tcW w:w="3402" w:type="dxa"/>
            <w:vAlign w:val="center"/>
          </w:tcPr>
          <w:p w14:paraId="2F9DAC8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≤0.5</w:t>
            </w:r>
          </w:p>
        </w:tc>
        <w:tc>
          <w:tcPr>
            <w:tcW w:w="954" w:type="dxa"/>
            <w:vAlign w:val="center"/>
          </w:tcPr>
          <w:p w14:paraId="6E57A836">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4F8E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1F53F1F4">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汞（以Hg计）</w:t>
            </w:r>
          </w:p>
        </w:tc>
        <w:tc>
          <w:tcPr>
            <w:tcW w:w="3402" w:type="dxa"/>
            <w:vAlign w:val="center"/>
          </w:tcPr>
          <w:p w14:paraId="34EF936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≤0.01</w:t>
            </w:r>
          </w:p>
        </w:tc>
        <w:tc>
          <w:tcPr>
            <w:tcW w:w="954" w:type="dxa"/>
            <w:vAlign w:val="center"/>
          </w:tcPr>
          <w:p w14:paraId="4D5E61EF">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64A1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21B8BE29">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铅（以Pb计）</w:t>
            </w:r>
          </w:p>
        </w:tc>
        <w:tc>
          <w:tcPr>
            <w:tcW w:w="3402" w:type="dxa"/>
            <w:vAlign w:val="center"/>
          </w:tcPr>
          <w:p w14:paraId="298DE07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≤0.2</w:t>
            </w:r>
          </w:p>
        </w:tc>
        <w:tc>
          <w:tcPr>
            <w:tcW w:w="954" w:type="dxa"/>
            <w:vAlign w:val="center"/>
          </w:tcPr>
          <w:p w14:paraId="120D41F4">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0E88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41043EC4">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砷（以As计）</w:t>
            </w:r>
          </w:p>
        </w:tc>
        <w:tc>
          <w:tcPr>
            <w:tcW w:w="3402" w:type="dxa"/>
            <w:vAlign w:val="center"/>
          </w:tcPr>
          <w:p w14:paraId="472BF55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≤0.5</w:t>
            </w:r>
          </w:p>
        </w:tc>
        <w:tc>
          <w:tcPr>
            <w:tcW w:w="954" w:type="dxa"/>
            <w:vAlign w:val="center"/>
          </w:tcPr>
          <w:p w14:paraId="45E0F202">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32F7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64FCBB77">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氟（以F计）</w:t>
            </w:r>
          </w:p>
        </w:tc>
        <w:tc>
          <w:tcPr>
            <w:tcW w:w="3402" w:type="dxa"/>
            <w:vAlign w:val="center"/>
          </w:tcPr>
          <w:p w14:paraId="6DE21A5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≤0.5</w:t>
            </w:r>
          </w:p>
        </w:tc>
        <w:tc>
          <w:tcPr>
            <w:tcW w:w="954" w:type="dxa"/>
            <w:vAlign w:val="center"/>
          </w:tcPr>
          <w:p w14:paraId="50A40686">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53F0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06212B0D">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硝酸盐（以NaNO3计）</w:t>
            </w:r>
          </w:p>
        </w:tc>
        <w:tc>
          <w:tcPr>
            <w:tcW w:w="3402" w:type="dxa"/>
            <w:vAlign w:val="center"/>
          </w:tcPr>
          <w:p w14:paraId="41C2577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瓜果类≤600；叶菜根茎类≤1200</w:t>
            </w:r>
          </w:p>
        </w:tc>
        <w:tc>
          <w:tcPr>
            <w:tcW w:w="954" w:type="dxa"/>
            <w:vAlign w:val="center"/>
          </w:tcPr>
          <w:p w14:paraId="6C47D3B2">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7ECF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7A14B01E">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亚硝酸盐</w:t>
            </w:r>
          </w:p>
        </w:tc>
        <w:tc>
          <w:tcPr>
            <w:tcW w:w="3402" w:type="dxa"/>
            <w:vAlign w:val="center"/>
          </w:tcPr>
          <w:p w14:paraId="22B746E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w:t>
            </w:r>
          </w:p>
        </w:tc>
        <w:tc>
          <w:tcPr>
            <w:tcW w:w="954" w:type="dxa"/>
            <w:vAlign w:val="center"/>
          </w:tcPr>
          <w:p w14:paraId="43B0AAE0">
            <w:pPr>
              <w:tabs>
                <w:tab w:val="left" w:pos="7740"/>
              </w:tabs>
              <w:autoSpaceDE w:val="0"/>
              <w:autoSpaceDN w:val="0"/>
              <w:spacing w:line="20" w:lineRule="atLeast"/>
              <w:ind w:firstLine="560" w:firstLineChars="200"/>
              <w:rPr>
                <w:rFonts w:hint="eastAsia" w:ascii="仿宋" w:hAnsi="仿宋" w:eastAsia="仿宋" w:cs="仿宋"/>
                <w:sz w:val="28"/>
                <w:szCs w:val="28"/>
              </w:rPr>
            </w:pPr>
          </w:p>
        </w:tc>
      </w:tr>
    </w:tbl>
    <w:p w14:paraId="3CA1265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4)蔬菜验收时发现问题的处理方法：</w:t>
      </w:r>
    </w:p>
    <w:p w14:paraId="7E70EDB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4.1按后附产品质量描述对货物质量进行抽查。</w:t>
      </w:r>
    </w:p>
    <w:p w14:paraId="244A5C7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4.2抽查发现食品安全质量问题的处理：</w:t>
      </w:r>
    </w:p>
    <w:p w14:paraId="2BBC0B6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对危及人身安全的食品质量问题采取零容忍措施，一经发现，当日所送同批次产品全部退货，如水产品中发现农药残留超标，发现腐败变质蔬菜等。</w:t>
      </w:r>
    </w:p>
    <w:p w14:paraId="18C9398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若抽查未发现问题，而在加工食用前发现部分产品质量问题，应立即通知单位伙食物资验收小组及供应商，将问题产品退货处理。</w:t>
      </w:r>
    </w:p>
    <w:p w14:paraId="79BBE48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3、干货类</w:t>
      </w:r>
    </w:p>
    <w:p w14:paraId="7F3F991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1）供应产品质量要求：</w:t>
      </w:r>
    </w:p>
    <w:p w14:paraId="5EF26E5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1.1、供应方所提供产品质量必须要符合行业标准要求，不得有掺假、变质、变味、过期等现象出现，严禁伪劣、假冒、无证不合格物品进入仓库。</w:t>
      </w:r>
    </w:p>
    <w:p w14:paraId="7C85A22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1.2、供应方所提供产品必须价格合理，应按照投标报价供给，否则需方有权不用。</w:t>
      </w:r>
    </w:p>
    <w:p w14:paraId="7253D97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1.3、供应方在供应过程中，如果发生出现质量问题或造成食物中毒,如变质等情况，经查实后确属供方 责任，供方应承担全部责任，主要包括食物中毒人员医疗费、误工费、事故处理费等，直至追究刑事责任。</w:t>
      </w:r>
    </w:p>
    <w:p w14:paraId="79CEC73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2）干货类质量要求：</w:t>
      </w:r>
    </w:p>
    <w:p w14:paraId="4661CC2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1.1、干货制品的质量基本标准要求符合国家相关行业标准，干爽，不霉烂、整齐、均匀、完整，无虫 蛀、无杂质，保持应有的色泽。确保产品质量稳定，保证营养丰富、绿色安全、海味浓郁、易存放、 食用方便，保质期长。从加工、包装、运输、贮存到销售全部符合国家规定标准。尤其是二氧化硫残 留量、总砷含量不超过国家卫生标准；木耳类的水分含量不能超过国家标准要求，招标人可根据实际情况对需要的干货制品进行品质抽检，对质量未达到国家标准的干货制品招标人有权拒绝接受。</w:t>
      </w:r>
    </w:p>
    <w:p w14:paraId="1D0AC0B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1.2、几种主要干货制品的质量标准：</w:t>
      </w:r>
    </w:p>
    <w:p w14:paraId="283F8C2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（1）肉皮：作为干肉皮，无论什么部位，体表洁净无毛，白亮无残余肥膘，无虫蛀，干爽，敲击时响声清脆，质量均匀为好，反之则为次之，如已发霉，并有哈喇味，即已变质。</w:t>
      </w:r>
    </w:p>
    <w:p w14:paraId="70382F8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（2）玉兰片：玉兰片以色泽黄白、洁净、肉厚、纤维少、节较密、体长不超过 10~17cm 的为最好，肉薄节疏、纤维多而粗老的质量较差。</w:t>
      </w:r>
    </w:p>
    <w:p w14:paraId="77857F6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（3）黄花菜：又名金针菜，干燥、有清香味，菜色黄亮、身条长而粗壮、条杆粗细均匀者为佳。</w:t>
      </w:r>
    </w:p>
    <w:p w14:paraId="1BA2E1D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（4）黑木耳：黑木耳的质量一般以条形大而完整，耳瓣舒展少卷曲，内厚黑，富于光泽，体干不霉，无杂质和碎者为优，反之则差。</w:t>
      </w:r>
    </w:p>
    <w:p w14:paraId="2FE3FA6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14:paraId="517C927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（6）香菇：根据采收季节和形状不同，香菇又分为花菇、厚菇、薄菇和菇丁四类，其中以花菇质量最好，厚菇次之，薄菇更差，菇丁质量最差。</w:t>
      </w:r>
    </w:p>
    <w:p w14:paraId="0354E3B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A、花菇：朵小柄短，呈半球状，菇伞顶面有似菊花似的白色裂纹，肉厚、菌盖色泽淡黑，菇底褶，通过加工呈淡黄色，身干、质嫩、有芳香气味者为质好香菇。 </w:t>
      </w:r>
    </w:p>
    <w:p w14:paraId="468A3D8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B、厚菇：形状如伞，顶面无花纹，呈黑色并略有光泽，质嫩、肉厚、朵稍大，质量稍次。 </w:t>
      </w:r>
    </w:p>
    <w:p w14:paraId="16EA9E7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C、薄菇：形状扁平、开伞、朵大、肉薄、菌盖表面浅褐色，菌褐白色，菌柄稍高，浅咖啡色， 基部稍带红色或红褐色，质量比花菇厚，菇差，味淡。 </w:t>
      </w:r>
    </w:p>
    <w:p w14:paraId="570D498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D、菇丁：是指未充分发育的香菇，个小，直径在 2cm 以下，味淡质差。</w:t>
      </w:r>
    </w:p>
    <w:p w14:paraId="78FAA49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（7）腐竹：腐竹又名豆腐皮和油皮，有一、二、三级品之分。 一极品：色泽黄亮、干燥筋韧、耐贮、无碎块。 二极品：颜色较一极品灰黄、干燥无碎块。 三极品：颜色更灰黄、无光泽、易碎、筋韧性差。</w:t>
      </w:r>
    </w:p>
    <w:p w14:paraId="2737995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（8）粉丝：质量好的粉丝，粉条细长、白净、晶莹透明、丝条均匀、整齐、干燥，不易折断，无斑点、黑迹，无霉变，有粉丝特有的光泽。</w:t>
      </w:r>
    </w:p>
    <w:p w14:paraId="5FA76E5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（9）蹄筋：猪蹄筋的质量首先从蹄筋抽取的部位区别，后蹄筋体长而圆、粗状、光滑的品质好。前蹄筋体短而扁细、品质较差、保管完好的蹄筋应呈白色、无杂质，干、硬度高。</w:t>
      </w:r>
    </w:p>
    <w:p w14:paraId="46C5527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（10）干贝：上等干贝粒大完整、黄亮干燥、肉质饱满，肉丝清晰、粗且有特殊香气。粒小、碎破、色淡无光泽者较次。破碎、发黑发霉的为变质品。</w:t>
      </w:r>
    </w:p>
    <w:p w14:paraId="388BB97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（11）鱿鱼：市场上常见的鱿鱼有椭圆形和长方形，选购时应注意：体干、体形完整、光亮洁净、淡 粉红色、片大头小、肉厚者为优。体形部分卷曲，尾部和背部红中透暗，两侧有微红点、体小 而宽、肉薄者为次品。</w:t>
      </w:r>
    </w:p>
    <w:p w14:paraId="0418759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海蜇</w:t>
      </w:r>
      <w:r>
        <w:rPr>
          <w:rFonts w:hint="eastAsia" w:ascii="仿宋" w:hAnsi="仿宋" w:eastAsia="仿宋" w:cs="仿宋"/>
          <w:sz w:val="28"/>
          <w:szCs w:val="28"/>
        </w:rPr>
        <w:t>：</w:t>
      </w:r>
      <w:r>
        <w:rPr>
          <w:rFonts w:hint="eastAsia" w:ascii="仿宋" w:hAnsi="仿宋" w:eastAsia="仿宋" w:cs="仿宋"/>
          <w:sz w:val="28"/>
          <w:szCs w:val="28"/>
          <w:lang w:eastAsia="zh-CN"/>
        </w:rPr>
        <w:t>海蜇</w:t>
      </w:r>
      <w:r>
        <w:rPr>
          <w:rFonts w:hint="eastAsia" w:ascii="仿宋" w:hAnsi="仿宋" w:eastAsia="仿宋" w:cs="仿宋"/>
          <w:sz w:val="28"/>
          <w:szCs w:val="28"/>
        </w:rPr>
        <w:t>是由水母加工制成，选购时应注意色泽，以乳白色或淡黄色、气味清新、质厚均匀、个体完整、块大、无血黑（体肉红皮）有光泽的为上品，带有膜状血衣的为次品。</w:t>
      </w:r>
    </w:p>
    <w:p w14:paraId="6839937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（13）紫菜：属海产红藻类植物，因鲜紫菜叶较宽大，经干制成长方块形，散片状卷筒，其中以卷筒形柔嫩微脆、叶薄、色紫清香鲜美的为品质优。</w:t>
      </w:r>
    </w:p>
    <w:p w14:paraId="735DE2C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（14）发菜：发菜是陆生褐色藻类，以藻体细长、绿黑色、柔软爽滑、干燥、无杂质的质量为优，反之则劣。</w:t>
      </w:r>
    </w:p>
    <w:p w14:paraId="7AE116B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4、供应商管理要求</w:t>
      </w:r>
    </w:p>
    <w:p w14:paraId="0FD1CA8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必须依据国家有关法律法规要求建立健全各项管理制度，保证食品安全，有明确的食品安全责任人。因所供货物质量原因导致发生食品安全事故，除解除合同、扣除全部履约保证金外，中标人还需赔偿招标人救治经费及误工损失。</w:t>
      </w:r>
    </w:p>
    <w:p w14:paraId="0AEEB03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2）中标人应做好本单位工作人员的教育工作，遵守招标人出入门岗和物品携带等各项规定。</w:t>
      </w:r>
    </w:p>
    <w:p w14:paraId="325FB37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3）按合同约定的标的供货，中标人不得转包、分包，否则招标人有权单方面终止合同，项目另行处理，中标人承担由此造成的经济损失，履约保证金不退还。</w:t>
      </w:r>
    </w:p>
    <w:p w14:paraId="1939302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中标人应严格按招标要求（含品种、质量等）供应，不得变更供应商品，否则，招标人有权退货。应严格按招标单位要求（含名称、产地、规格和重量等）供应，否则，招标人有权拒收。若因特殊情况（如商家停产或天气因素等）确实需要变更的个别商品，经招标人同意，必须以质量较高的同类商品代替。</w:t>
      </w:r>
    </w:p>
    <w:p w14:paraId="3DCD23B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color w:val="FF0000"/>
          <w:sz w:val="28"/>
          <w:szCs w:val="28"/>
          <w:lang w:val="hr-HR"/>
        </w:rPr>
        <w:t>*</w:t>
      </w:r>
      <w:r>
        <w:rPr>
          <w:rFonts w:hint="eastAsia" w:ascii="仿宋" w:hAnsi="仿宋" w:eastAsia="仿宋" w:cs="仿宋"/>
          <w:sz w:val="28"/>
          <w:szCs w:val="28"/>
        </w:rPr>
        <w:t>5）投标文件中必须明确各类食品产品质量安全的责任人。</w:t>
      </w:r>
    </w:p>
    <w:p w14:paraId="1F8A679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中标人除不可抗力，不得因其他任何理由延迟送货。招标人如遇特殊情况需推迟送货，应提前通知中标方。因中标方原因延误交货日期的（招标人要求推迟的除外），招标人有权自行采购，并由中标方承担由此产生的一切损失和费用。</w:t>
      </w:r>
    </w:p>
    <w:p w14:paraId="0A48681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7）招标人对货物进行认真验收，对不符合规格要求的商品，中标供应商必须无条件退货。中标人未能履行招标文件和合同所定事项, 或供应不合格的、假冒伪劣、以次充好的商品，招标人退货后将记录在案，并对中标人予以处罚，除要承担因此产生的一切损失和费用外，情节严重的可取消其供应资格。</w:t>
      </w:r>
    </w:p>
    <w:p w14:paraId="003ECAD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8）中标人须开具国家正式增值税发票（含餐饮发票）。</w:t>
      </w:r>
    </w:p>
    <w:p w14:paraId="78C62B8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9）中标人退场管理</w:t>
      </w:r>
    </w:p>
    <w:p w14:paraId="4FC5D83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9.1中标人造成安全（监管和食品卫生）事故的直接取消中标供应资格全片区退场，并没收履约担保金；</w:t>
      </w:r>
    </w:p>
    <w:p w14:paraId="44A4395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9.2中标人在考核周期内有2次履约评价扣分20分（含）-40分，或有1次履约评价扣分40及以上的将取消其配送资格，并按履约考评办法进行罚款；并没收履约担保金。</w:t>
      </w:r>
    </w:p>
    <w:p w14:paraId="0E5D61C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食品溯源要求：对食品供应链进行明确，所有食品的来源必须清晰，尽量使用知名品牌，包装食品要有QS标志。食品生产企业必须获得工业产品生产许可证（QS）来源应当是受到地方政府部门监管的行业流通市场或具有相关资质的厂家生产，生产食品的源头与供应商要有固定的合法的供应关系，严禁收购非标准产品供应。标书要求对食品的来源和质量标准要有详尽的描述，验收须按国家标准和感官标准。供应商应保存以下资料：</w:t>
      </w:r>
    </w:p>
    <w:p w14:paraId="3EADB62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（1）供应商与生产企业的销售合同；</w:t>
      </w:r>
    </w:p>
    <w:p w14:paraId="2880424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（2）生产企业的送货单和销售发票；</w:t>
      </w:r>
    </w:p>
    <w:p w14:paraId="65AF421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（3）供应商与招标人的采购合同及送货单据、销售发票。</w:t>
      </w:r>
    </w:p>
    <w:p w14:paraId="4C790E3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招标人根据实际需要提前（以合同约定时间为准）以传真方式或微信方式将次天需求通知供应商，供应商在接到通知后备齐货物，按时送抵交货地点。中标人不能按时、保质、保量供货，由招标人自行采购，并承担招标人由此造成的经济损失和接受违约处罚。</w:t>
      </w:r>
    </w:p>
    <w:p w14:paraId="14E8B5DB">
      <w:pPr>
        <w:pStyle w:val="6"/>
        <w:rPr>
          <w:rFonts w:hint="eastAsia"/>
        </w:rPr>
      </w:pPr>
    </w:p>
    <w:p w14:paraId="4C19E225">
      <w:pPr>
        <w:pStyle w:val="7"/>
        <w:rPr>
          <w:rFonts w:hint="eastAsia"/>
        </w:rPr>
      </w:pPr>
    </w:p>
    <w:p w14:paraId="154159FD">
      <w:pPr>
        <w:pStyle w:val="7"/>
        <w:rPr>
          <w:rFonts w:hint="eastAsia"/>
        </w:rPr>
      </w:pPr>
    </w:p>
    <w:p w14:paraId="58D53E10">
      <w:pPr>
        <w:pStyle w:val="7"/>
        <w:rPr>
          <w:rFonts w:hint="eastAsia"/>
        </w:rPr>
      </w:pPr>
    </w:p>
    <w:p w14:paraId="2D77AFCD">
      <w:pPr>
        <w:pStyle w:val="7"/>
        <w:rPr>
          <w:rFonts w:hint="eastAsia"/>
        </w:rPr>
      </w:pPr>
    </w:p>
    <w:p w14:paraId="0C1A760C">
      <w:pPr>
        <w:pStyle w:val="7"/>
        <w:rPr>
          <w:rFonts w:hint="eastAsia"/>
        </w:rPr>
      </w:pPr>
    </w:p>
    <w:p w14:paraId="390F4EE6">
      <w:pPr>
        <w:pStyle w:val="8"/>
        <w:tabs>
          <w:tab w:val="left" w:pos="7740"/>
        </w:tabs>
        <w:adjustRightInd w:val="0"/>
        <w:snapToGrid w:val="0"/>
        <w:spacing w:line="360" w:lineRule="auto"/>
        <w:ind w:firstLine="562" w:firstLineChars="200"/>
        <w:jc w:val="center"/>
        <w:rPr>
          <w:rFonts w:hint="eastAsia" w:ascii="仿宋" w:hAnsi="仿宋" w:eastAsia="仿宋" w:cs="仿宋"/>
          <w:b/>
          <w:kern w:val="2"/>
          <w:sz w:val="28"/>
          <w:szCs w:val="28"/>
          <w:lang w:val="zh-CN" w:eastAsia="zh-CN" w:bidi="ar-SA"/>
        </w:rPr>
      </w:pPr>
      <w:r>
        <w:rPr>
          <w:rFonts w:hint="eastAsia" w:ascii="仿宋" w:hAnsi="仿宋" w:eastAsia="仿宋" w:cs="仿宋"/>
          <w:b/>
          <w:kern w:val="2"/>
          <w:sz w:val="28"/>
          <w:szCs w:val="28"/>
          <w:lang w:val="en-US" w:eastAsia="zh-CN" w:bidi="ar-SA"/>
        </w:rPr>
        <w:t xml:space="preserve">第三部分   </w:t>
      </w:r>
      <w:r>
        <w:rPr>
          <w:rFonts w:hint="eastAsia" w:ascii="仿宋" w:hAnsi="仿宋" w:eastAsia="仿宋" w:cs="仿宋"/>
          <w:b/>
          <w:kern w:val="2"/>
          <w:sz w:val="28"/>
          <w:szCs w:val="28"/>
          <w:lang w:val="zh-CN" w:eastAsia="zh-CN" w:bidi="ar-SA"/>
        </w:rPr>
        <w:t>采购项目</w:t>
      </w:r>
      <w:r>
        <w:rPr>
          <w:rFonts w:hint="eastAsia" w:ascii="仿宋" w:hAnsi="仿宋" w:eastAsia="仿宋" w:cs="仿宋"/>
          <w:b/>
          <w:kern w:val="2"/>
          <w:sz w:val="28"/>
          <w:szCs w:val="28"/>
          <w:lang w:val="en-US" w:eastAsia="zh-CN" w:bidi="ar-SA"/>
        </w:rPr>
        <w:t>报价</w:t>
      </w:r>
      <w:r>
        <w:rPr>
          <w:rFonts w:hint="eastAsia" w:ascii="仿宋" w:hAnsi="仿宋" w:eastAsia="仿宋" w:cs="仿宋"/>
          <w:b/>
          <w:kern w:val="2"/>
          <w:sz w:val="28"/>
          <w:szCs w:val="28"/>
          <w:lang w:val="zh-CN" w:eastAsia="zh-CN" w:bidi="ar-SA"/>
        </w:rPr>
        <w:t>要求</w:t>
      </w:r>
    </w:p>
    <w:p w14:paraId="7BE849B1">
      <w:pPr>
        <w:tabs>
          <w:tab w:val="left" w:pos="7740"/>
        </w:tabs>
        <w:autoSpaceDE w:val="0"/>
        <w:autoSpaceDN w:val="0"/>
        <w:spacing w:line="20" w:lineRule="atLeast"/>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一</w:t>
      </w:r>
      <w:r>
        <w:rPr>
          <w:rFonts w:hint="eastAsia" w:ascii="仿宋" w:hAnsi="仿宋" w:eastAsia="仿宋" w:cs="仿宋"/>
          <w:b/>
          <w:sz w:val="28"/>
          <w:szCs w:val="28"/>
          <w:lang w:val="zh-CN" w:eastAsia="zh-CN"/>
        </w:rPr>
        <w:t>、</w:t>
      </w:r>
      <w:r>
        <w:rPr>
          <w:rFonts w:hint="eastAsia" w:ascii="仿宋" w:hAnsi="仿宋" w:eastAsia="仿宋" w:cs="仿宋"/>
          <w:b/>
          <w:bCs w:val="0"/>
          <w:sz w:val="28"/>
          <w:szCs w:val="28"/>
          <w:lang w:val="en-US" w:eastAsia="zh-CN"/>
        </w:rPr>
        <w:t>报价要求</w:t>
      </w:r>
    </w:p>
    <w:p w14:paraId="217CB797">
      <w:pPr>
        <w:widowControl/>
        <w:adjustRightInd w:val="0"/>
        <w:snapToGrid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1）中农数据网中有价格的产品，以中农数据网（网址：www.chinaap.com）上一个月5、15、25号（遇法定节假日顺延）公布的价格取平均值为该项物资的基准价，投标人结合企业自己的实力报出折扣率。</w:t>
      </w:r>
    </w:p>
    <w:p w14:paraId="7E02768F">
      <w:pPr>
        <w:widowControl/>
        <w:adjustRightInd w:val="0"/>
        <w:snapToGrid w:val="0"/>
        <w:ind w:firstLine="560" w:firstLineChars="200"/>
        <w:jc w:val="left"/>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2）结算方式: 精品蔬菜和精品肉类，以中标供应商投标折扣率×中农数据网报价的基准价进行结算；除精品蔬菜和精品肉类外，以中农数据网报价的基准价进行结算；中农数据网无价格的产品，</w:t>
      </w:r>
      <w:r>
        <w:rPr>
          <w:rFonts w:hint="eastAsia" w:ascii="仿宋" w:hAnsi="仿宋" w:eastAsia="仿宋" w:cs="仿宋"/>
          <w:kern w:val="2"/>
          <w:sz w:val="28"/>
          <w:szCs w:val="28"/>
          <w:lang w:val="zh-CN" w:eastAsia="zh-CN" w:bidi="ar-SA"/>
        </w:rPr>
        <w:t>则结算时价格=市场价。（市场价由采购单位在制定采购需求时一并给出市场价的定价方案，</w:t>
      </w:r>
      <w:r>
        <w:rPr>
          <w:rFonts w:hint="eastAsia" w:ascii="仿宋" w:hAnsi="仿宋" w:eastAsia="仿宋" w:cs="仿宋"/>
          <w:kern w:val="2"/>
          <w:sz w:val="28"/>
          <w:szCs w:val="28"/>
          <w:lang w:val="en-US" w:eastAsia="zh-CN" w:bidi="ar-SA"/>
        </w:rPr>
        <w:t>双方协商后签字确定</w:t>
      </w:r>
      <w:r>
        <w:rPr>
          <w:rFonts w:hint="eastAsia" w:ascii="仿宋" w:hAnsi="仿宋" w:eastAsia="仿宋" w:cs="仿宋"/>
          <w:kern w:val="2"/>
          <w:sz w:val="28"/>
          <w:szCs w:val="28"/>
          <w:lang w:val="zh-CN" w:eastAsia="zh-CN" w:bidi="ar-SA"/>
        </w:rPr>
        <w:t>）（参照</w:t>
      </w:r>
      <w:r>
        <w:rPr>
          <w:rFonts w:hint="eastAsia" w:ascii="仿宋" w:hAnsi="仿宋" w:eastAsia="仿宋" w:cs="仿宋"/>
          <w:kern w:val="2"/>
          <w:sz w:val="28"/>
          <w:szCs w:val="28"/>
          <w:lang w:val="en-US" w:eastAsia="zh-CN" w:bidi="ar-SA"/>
        </w:rPr>
        <w:t>淘宝、天猫、京东等大型网络平台上相同产品的价格</w:t>
      </w:r>
      <w:r>
        <w:rPr>
          <w:rFonts w:hint="eastAsia" w:ascii="仿宋" w:hAnsi="仿宋" w:eastAsia="仿宋" w:cs="仿宋"/>
          <w:kern w:val="2"/>
          <w:sz w:val="28"/>
          <w:szCs w:val="28"/>
          <w:lang w:val="zh-CN" w:eastAsia="zh-CN" w:bidi="ar-SA"/>
        </w:rPr>
        <w:t>）。</w:t>
      </w:r>
    </w:p>
    <w:p w14:paraId="014E731B">
      <w:pPr>
        <w:widowControl/>
        <w:adjustRightInd w:val="0"/>
        <w:snapToGrid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3）报价包括供应货物和货物运输到采购单位的服务费、运费、装卸费、检测费、人工费、管理费、保险、税金等一切将可能发生的费用。以人民币为报价和结算单位，并开具国家正规发票。</w:t>
      </w:r>
    </w:p>
    <w:p w14:paraId="39E38AFF">
      <w:pPr>
        <w:jc w:val="center"/>
        <w:rPr>
          <w:rFonts w:ascii="仿宋" w:hAnsi="仿宋" w:eastAsia="仿宋" w:cs="仿宋"/>
          <w:b/>
          <w:sz w:val="28"/>
          <w:szCs w:val="28"/>
          <w:lang w:val="zh-CN"/>
        </w:rPr>
      </w:pPr>
      <w:r>
        <w:rPr>
          <w:rFonts w:hint="eastAsia" w:ascii="仿宋" w:hAnsi="仿宋" w:eastAsia="仿宋" w:cs="仿宋"/>
          <w:b/>
          <w:bCs/>
          <w:sz w:val="28"/>
          <w:szCs w:val="28"/>
        </w:rPr>
        <w:t>第四部分  投标人须知</w:t>
      </w:r>
    </w:p>
    <w:p w14:paraId="3C3535AD">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一、</w:t>
      </w:r>
      <w:r>
        <w:rPr>
          <w:rFonts w:hint="eastAsia" w:ascii="仿宋" w:hAnsi="仿宋" w:eastAsia="仿宋" w:cs="仿宋"/>
          <w:b/>
          <w:bCs w:val="0"/>
          <w:sz w:val="28"/>
          <w:szCs w:val="28"/>
        </w:rPr>
        <w:t>投标文件的递交</w:t>
      </w:r>
    </w:p>
    <w:p w14:paraId="500E6197">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1. 投标文件应进行包装、加贴封条。一式五份（正本1份、副本4份），外包装上应当注明采购项目名称、注明“在规定的开标日期和时点之前不得启封”的字样，封口处应加盖投标人印章。</w:t>
      </w:r>
    </w:p>
    <w:p w14:paraId="0687D308">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14:paraId="4ACA9C29">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14:paraId="1E12C42C">
      <w:pPr>
        <w:pStyle w:val="8"/>
        <w:tabs>
          <w:tab w:val="left" w:pos="7740"/>
        </w:tabs>
        <w:adjustRightInd w:val="0"/>
        <w:rPr>
          <w:rFonts w:ascii="仿宋" w:hAnsi="仿宋" w:eastAsia="仿宋" w:cs="仿宋"/>
          <w:bCs/>
          <w:sz w:val="28"/>
          <w:szCs w:val="28"/>
        </w:rPr>
      </w:pPr>
      <w:r>
        <w:rPr>
          <w:rFonts w:hint="eastAsia" w:ascii="仿宋" w:hAnsi="仿宋" w:eastAsia="仿宋" w:cs="仿宋"/>
          <w:bCs/>
          <w:sz w:val="28"/>
          <w:szCs w:val="28"/>
        </w:rPr>
        <w:t>二、</w:t>
      </w:r>
      <w:r>
        <w:rPr>
          <w:rFonts w:hint="eastAsia" w:ascii="仿宋" w:hAnsi="仿宋" w:eastAsia="仿宋" w:cs="仿宋"/>
          <w:b/>
          <w:bCs w:val="0"/>
          <w:sz w:val="28"/>
          <w:szCs w:val="28"/>
        </w:rPr>
        <w:t>开标与评标</w:t>
      </w:r>
    </w:p>
    <w:p w14:paraId="0E49AAC1">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1. 采购人在规定的日期、时间和地点组织公开开标。</w:t>
      </w:r>
    </w:p>
    <w:p w14:paraId="501EBA9D">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14:paraId="3B65DB22">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14:paraId="5830F562">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14:paraId="79C0F431">
      <w:pPr>
        <w:pStyle w:val="5"/>
        <w:tabs>
          <w:tab w:val="left" w:pos="7740"/>
        </w:tabs>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第五部分  评标方法、步骤及标准</w:t>
      </w:r>
    </w:p>
    <w:p w14:paraId="61BE2085">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根据《政府采购法》、《招标投标法》的相关规定确定以下评标方法、步骤及标准：</w:t>
      </w:r>
    </w:p>
    <w:p w14:paraId="4419F996">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
          <w:bCs/>
          <w:sz w:val="28"/>
          <w:szCs w:val="28"/>
        </w:rPr>
        <w:t>评标方法</w:t>
      </w:r>
    </w:p>
    <w:p w14:paraId="4ADC4B40">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1.本次评标采用综合评分法。</w:t>
      </w:r>
    </w:p>
    <w:p w14:paraId="064503A5">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2.本次评标是以招标文件为依据，按公正、科学、客观、平等竞争的要求，推荐有技术实力、报价合理、经验丰富、信誉良好、售后服务好以及综合实力强的中标人。</w:t>
      </w:r>
    </w:p>
    <w:p w14:paraId="6CF40F77">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bCs/>
          <w:sz w:val="28"/>
          <w:szCs w:val="28"/>
        </w:rPr>
        <w:t>评标步骤</w:t>
      </w:r>
    </w:p>
    <w:p w14:paraId="1B524DFF">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评标委员会进行符合性评审，再进行技术、商务及价格的详细评审。只有通过符合性评审的投标才能进入详细的评审。最后评标委员会出具评标报告，并排序推荐中标候选人。</w:t>
      </w:r>
    </w:p>
    <w:p w14:paraId="3E427101">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
          <w:bCs/>
          <w:sz w:val="28"/>
          <w:szCs w:val="28"/>
        </w:rPr>
        <w:t>评分及其统计</w:t>
      </w:r>
    </w:p>
    <w:p w14:paraId="251A64CB">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1.综合比较与评价</w:t>
      </w:r>
    </w:p>
    <w:p w14:paraId="4998DAF6">
      <w:pPr>
        <w:spacing w:line="20" w:lineRule="atLeas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14:paraId="765C9221">
      <w:pPr>
        <w:spacing w:line="20" w:lineRule="atLeast"/>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技术、商务、价格评分应分别考虑下列因素(计算得分均保留小数点后2位，第3位四舍五入)：</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68"/>
        <w:gridCol w:w="2126"/>
        <w:gridCol w:w="1985"/>
      </w:tblGrid>
      <w:tr w14:paraId="33DF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85" w:type="dxa"/>
            <w:tcBorders>
              <w:top w:val="single" w:color="auto" w:sz="4" w:space="0"/>
              <w:left w:val="single" w:color="auto" w:sz="4" w:space="0"/>
              <w:bottom w:val="single" w:color="auto" w:sz="4" w:space="0"/>
              <w:right w:val="single" w:color="auto" w:sz="4" w:space="0"/>
            </w:tcBorders>
            <w:vAlign w:val="center"/>
          </w:tcPr>
          <w:p w14:paraId="54EFB693">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rPr>
              <w:t>评分项目</w:t>
            </w:r>
          </w:p>
        </w:tc>
        <w:tc>
          <w:tcPr>
            <w:tcW w:w="2268" w:type="dxa"/>
            <w:tcBorders>
              <w:top w:val="single" w:color="auto" w:sz="4" w:space="0"/>
              <w:left w:val="single" w:color="auto" w:sz="4" w:space="0"/>
              <w:bottom w:val="single" w:color="auto" w:sz="4" w:space="0"/>
              <w:right w:val="single" w:color="auto" w:sz="4" w:space="0"/>
            </w:tcBorders>
            <w:vAlign w:val="center"/>
          </w:tcPr>
          <w:p w14:paraId="0AA5B1EE">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价格</w:t>
            </w:r>
            <w:r>
              <w:rPr>
                <w:rFonts w:hint="eastAsia" w:ascii="仿宋" w:hAnsi="仿宋" w:eastAsia="仿宋" w:cs="仿宋"/>
                <w:color w:val="auto"/>
                <w:sz w:val="28"/>
                <w:szCs w:val="28"/>
              </w:rPr>
              <w:t>部分</w:t>
            </w:r>
          </w:p>
        </w:tc>
        <w:tc>
          <w:tcPr>
            <w:tcW w:w="2126" w:type="dxa"/>
            <w:tcBorders>
              <w:top w:val="single" w:color="auto" w:sz="4" w:space="0"/>
              <w:left w:val="single" w:color="auto" w:sz="4" w:space="0"/>
              <w:bottom w:val="single" w:color="auto" w:sz="4" w:space="0"/>
              <w:right w:val="single" w:color="auto" w:sz="4" w:space="0"/>
            </w:tcBorders>
            <w:vAlign w:val="center"/>
          </w:tcPr>
          <w:p w14:paraId="56D128C1">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商务</w:t>
            </w:r>
            <w:r>
              <w:rPr>
                <w:rFonts w:hint="eastAsia" w:ascii="仿宋" w:hAnsi="仿宋" w:eastAsia="仿宋" w:cs="仿宋"/>
                <w:color w:val="auto"/>
                <w:sz w:val="28"/>
                <w:szCs w:val="28"/>
              </w:rPr>
              <w:t>部分</w:t>
            </w:r>
          </w:p>
        </w:tc>
        <w:tc>
          <w:tcPr>
            <w:tcW w:w="1985" w:type="dxa"/>
            <w:tcBorders>
              <w:top w:val="single" w:color="auto" w:sz="4" w:space="0"/>
              <w:left w:val="single" w:color="auto" w:sz="4" w:space="0"/>
              <w:bottom w:val="single" w:color="auto" w:sz="4" w:space="0"/>
              <w:right w:val="single" w:color="auto" w:sz="4" w:space="0"/>
            </w:tcBorders>
            <w:vAlign w:val="center"/>
          </w:tcPr>
          <w:p w14:paraId="60BFB780">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技术</w:t>
            </w:r>
            <w:r>
              <w:rPr>
                <w:rFonts w:hint="eastAsia" w:ascii="仿宋" w:hAnsi="仿宋" w:eastAsia="仿宋" w:cs="仿宋"/>
                <w:color w:val="auto"/>
                <w:sz w:val="28"/>
                <w:szCs w:val="28"/>
              </w:rPr>
              <w:t>部分</w:t>
            </w:r>
          </w:p>
        </w:tc>
      </w:tr>
      <w:tr w14:paraId="16D7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5A753704">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rPr>
              <w:t>分数分配</w:t>
            </w:r>
          </w:p>
        </w:tc>
        <w:tc>
          <w:tcPr>
            <w:tcW w:w="2268" w:type="dxa"/>
            <w:tcBorders>
              <w:top w:val="single" w:color="auto" w:sz="4" w:space="0"/>
              <w:left w:val="single" w:color="auto" w:sz="4" w:space="0"/>
              <w:bottom w:val="single" w:color="auto" w:sz="4" w:space="0"/>
              <w:right w:val="single" w:color="auto" w:sz="4" w:space="0"/>
            </w:tcBorders>
            <w:vAlign w:val="center"/>
          </w:tcPr>
          <w:p w14:paraId="339FAC41">
            <w:pPr>
              <w:pStyle w:val="5"/>
              <w:spacing w:line="20" w:lineRule="atLeast"/>
              <w:ind w:firstLine="31"/>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2126" w:type="dxa"/>
            <w:tcBorders>
              <w:top w:val="single" w:color="auto" w:sz="4" w:space="0"/>
              <w:left w:val="single" w:color="auto" w:sz="4" w:space="0"/>
              <w:bottom w:val="single" w:color="auto" w:sz="4" w:space="0"/>
              <w:right w:val="single" w:color="auto" w:sz="4" w:space="0"/>
            </w:tcBorders>
            <w:vAlign w:val="center"/>
          </w:tcPr>
          <w:p w14:paraId="2A95E860">
            <w:pPr>
              <w:pStyle w:val="5"/>
              <w:spacing w:line="20" w:lineRule="atLeast"/>
              <w:ind w:firstLine="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50</w:t>
            </w:r>
          </w:p>
        </w:tc>
        <w:tc>
          <w:tcPr>
            <w:tcW w:w="1985" w:type="dxa"/>
            <w:tcBorders>
              <w:top w:val="single" w:color="auto" w:sz="4" w:space="0"/>
              <w:left w:val="single" w:color="auto" w:sz="4" w:space="0"/>
              <w:bottom w:val="single" w:color="auto" w:sz="4" w:space="0"/>
              <w:right w:val="single" w:color="auto" w:sz="4" w:space="0"/>
            </w:tcBorders>
            <w:vAlign w:val="center"/>
          </w:tcPr>
          <w:p w14:paraId="0007C41A">
            <w:pPr>
              <w:pStyle w:val="5"/>
              <w:spacing w:line="20" w:lineRule="atLeast"/>
              <w:ind w:left="0" w:leftChars="0" w:firstLine="0" w:firstLineChars="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w:t>
            </w:r>
          </w:p>
        </w:tc>
      </w:tr>
    </w:tbl>
    <w:p w14:paraId="7A27B0D7">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（1）技术评分</w:t>
      </w:r>
    </w:p>
    <w:p w14:paraId="548BB3D3">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计算公式：技术得分=各评委评分之和/评委人数</w:t>
      </w:r>
    </w:p>
    <w:p w14:paraId="7ECE2D31">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（2）商务评分</w:t>
      </w:r>
    </w:p>
    <w:p w14:paraId="6339F576">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计算公式：商务得分=各评委评分之和/评委人数</w:t>
      </w:r>
    </w:p>
    <w:p w14:paraId="36016029">
      <w:pPr>
        <w:spacing w:line="20" w:lineRule="atLeast"/>
        <w:ind w:left="540"/>
        <w:rPr>
          <w:rFonts w:ascii="仿宋" w:hAnsi="仿宋" w:eastAsia="仿宋" w:cs="仿宋"/>
          <w:color w:val="auto"/>
          <w:sz w:val="28"/>
          <w:szCs w:val="28"/>
        </w:rPr>
      </w:pPr>
      <w:r>
        <w:rPr>
          <w:rFonts w:hint="eastAsia" w:ascii="仿宋" w:hAnsi="仿宋" w:eastAsia="仿宋" w:cs="仿宋"/>
          <w:color w:val="auto"/>
          <w:sz w:val="28"/>
          <w:szCs w:val="28"/>
        </w:rPr>
        <w:t>（3）价格评分</w:t>
      </w:r>
    </w:p>
    <w:p w14:paraId="0096F2EF">
      <w:pPr>
        <w:spacing w:line="20" w:lineRule="atLeas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价格分采用低价优先法计算，即满足招标文件要求且投标价格最低的投标报价为评标基准价，其价格分为满分。其他投标人的价格分统一按照下列公式计算：</w:t>
      </w:r>
    </w:p>
    <w:p w14:paraId="2F7650ED">
      <w:pPr>
        <w:spacing w:line="20" w:lineRule="atLeast"/>
        <w:rPr>
          <w:rFonts w:ascii="仿宋" w:hAnsi="仿宋" w:eastAsia="仿宋" w:cs="仿宋"/>
          <w:color w:val="000000"/>
          <w:sz w:val="28"/>
          <w:szCs w:val="28"/>
        </w:rPr>
      </w:pPr>
      <w:r>
        <w:rPr>
          <w:rFonts w:hint="eastAsia" w:ascii="仿宋" w:hAnsi="仿宋" w:eastAsia="仿宋" w:cs="仿宋"/>
          <w:color w:val="FF0000"/>
          <w:sz w:val="28"/>
          <w:szCs w:val="28"/>
        </w:rPr>
        <w:t>投标报价得分=(评标基准价/投标报价)×</w:t>
      </w:r>
      <w:r>
        <w:rPr>
          <w:rFonts w:hint="eastAsia" w:ascii="仿宋" w:hAnsi="仿宋" w:eastAsia="仿宋" w:cs="仿宋"/>
          <w:color w:val="FF0000"/>
          <w:sz w:val="28"/>
          <w:szCs w:val="28"/>
          <w:lang w:val="en-US" w:eastAsia="zh-CN"/>
        </w:rPr>
        <w:t>100</w:t>
      </w:r>
      <w:r>
        <w:rPr>
          <w:rFonts w:hint="eastAsia" w:ascii="仿宋" w:hAnsi="仿宋" w:eastAsia="仿宋" w:cs="仿宋"/>
          <w:color w:val="FF0000"/>
          <w:sz w:val="28"/>
          <w:szCs w:val="28"/>
        </w:rPr>
        <w:t>。</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（4）综合得分</w:t>
      </w:r>
    </w:p>
    <w:p w14:paraId="14026209">
      <w:pPr>
        <w:spacing w:line="20"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rPr>
        <w:t>综合得分＝技术部分得分+商务部分得分+价格部分得分</w:t>
      </w:r>
    </w:p>
    <w:p w14:paraId="451AA0D8">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2.评标结果按评审后综合得分由高到低顺序排列。综合得分相同的，按投标报价由低到高顺序排列。综合得分且投标报价相同的，采取随机抽取的方式确定排序。</w:t>
      </w:r>
    </w:p>
    <w:p w14:paraId="2A73C9D0">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3.评标结果汇总完成后，除下列情形外，任何人不得修改评标结果：</w:t>
      </w:r>
    </w:p>
    <w:p w14:paraId="36819431">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分值汇总计算错误的；</w:t>
      </w:r>
    </w:p>
    <w:p w14:paraId="2B3D736C">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分项评分超出评分标准范围的；</w:t>
      </w:r>
    </w:p>
    <w:p w14:paraId="1D65D65E">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经评标委员会认定评分畸高、畸低的。</w:t>
      </w:r>
    </w:p>
    <w:p w14:paraId="10B33FE0">
      <w:pPr>
        <w:pStyle w:val="5"/>
        <w:tabs>
          <w:tab w:val="left" w:pos="7740"/>
        </w:tabs>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14:paraId="4DACD317">
      <w:pPr>
        <w:pStyle w:val="4"/>
        <w:numPr>
          <w:ilvl w:val="0"/>
          <w:numId w:val="0"/>
        </w:numPr>
        <w:spacing w:line="240" w:lineRule="auto"/>
        <w:ind w:leftChars="0" w:firstLine="560" w:firstLineChars="200"/>
        <w:rPr>
          <w:rFonts w:ascii="仿宋" w:hAnsi="仿宋" w:eastAsia="仿宋" w:cs="仿宋"/>
          <w:b w:val="0"/>
          <w:bCs w:val="0"/>
          <w:color w:val="000000"/>
        </w:rPr>
      </w:pPr>
      <w:r>
        <w:rPr>
          <w:rFonts w:hint="eastAsia" w:ascii="仿宋" w:hAnsi="仿宋" w:eastAsia="仿宋" w:cs="仿宋"/>
          <w:b w:val="0"/>
          <w:bCs w:val="0"/>
          <w:color w:val="000000"/>
          <w:lang w:val="en-US" w:eastAsia="zh-CN"/>
        </w:rPr>
        <w:t>四、</w:t>
      </w:r>
      <w:r>
        <w:rPr>
          <w:rFonts w:hint="eastAsia" w:ascii="仿宋" w:hAnsi="仿宋" w:eastAsia="仿宋" w:cs="仿宋"/>
          <w:b/>
          <w:bCs/>
          <w:color w:val="000000"/>
        </w:rPr>
        <w:t>评分标准</w:t>
      </w:r>
    </w:p>
    <w:tbl>
      <w:tblPr>
        <w:tblStyle w:val="11"/>
        <w:tblW w:w="106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965"/>
        <w:gridCol w:w="892"/>
        <w:gridCol w:w="2329"/>
        <w:gridCol w:w="934"/>
        <w:gridCol w:w="5505"/>
      </w:tblGrid>
      <w:tr w14:paraId="06C4F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A00A549">
            <w:pPr>
              <w:spacing w:line="320" w:lineRule="exact"/>
              <w:jc w:val="center"/>
              <w:rPr>
                <w:rFonts w:hint="eastAsia" w:eastAsia="宋体"/>
                <w:sz w:val="20"/>
                <w:szCs w:val="20"/>
                <w:lang w:val="en-US" w:eastAsia="zh-CN"/>
              </w:rPr>
            </w:pPr>
            <w:r>
              <w:rPr>
                <w:b/>
                <w:bCs/>
                <w:sz w:val="20"/>
                <w:szCs w:val="20"/>
              </w:rPr>
              <w:t>序号</w:t>
            </w:r>
          </w:p>
        </w:tc>
        <w:tc>
          <w:tcPr>
            <w:tcW w:w="4155"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0DE407A4">
            <w:pPr>
              <w:spacing w:line="320" w:lineRule="exact"/>
              <w:jc w:val="center"/>
              <w:rPr>
                <w:rFonts w:ascii="宋体" w:hAnsi="宋体" w:cs="宋体"/>
                <w:sz w:val="20"/>
                <w:szCs w:val="20"/>
              </w:rPr>
            </w:pPr>
            <w:r>
              <w:rPr>
                <w:b/>
                <w:bCs/>
                <w:sz w:val="20"/>
                <w:szCs w:val="20"/>
              </w:rPr>
              <w:t>评分项</w:t>
            </w:r>
          </w:p>
        </w:tc>
        <w:tc>
          <w:tcPr>
            <w:tcW w:w="550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9C2D7DB">
            <w:pPr>
              <w:spacing w:line="320" w:lineRule="exact"/>
              <w:jc w:val="center"/>
              <w:rPr>
                <w:rFonts w:ascii="宋体" w:hAnsi="宋体" w:cs="宋体"/>
                <w:sz w:val="20"/>
                <w:szCs w:val="20"/>
              </w:rPr>
            </w:pPr>
            <w:r>
              <w:rPr>
                <w:b/>
                <w:bCs/>
                <w:sz w:val="20"/>
                <w:szCs w:val="20"/>
              </w:rPr>
              <w:t>权重(%)</w:t>
            </w:r>
          </w:p>
        </w:tc>
      </w:tr>
      <w:tr w14:paraId="65A48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tcBorders>
              <w:top w:val="single" w:color="000000" w:sz="8" w:space="0"/>
              <w:left w:val="single" w:color="000000" w:sz="8" w:space="0"/>
              <w:right w:val="single" w:color="000000" w:sz="8" w:space="0"/>
            </w:tcBorders>
            <w:vAlign w:val="top"/>
          </w:tcPr>
          <w:p w14:paraId="0D4A4F5D">
            <w:pPr>
              <w:spacing w:line="320" w:lineRule="exact"/>
              <w:jc w:val="center"/>
              <w:rPr>
                <w:rFonts w:hint="eastAsia" w:ascii="宋体" w:hAnsi="宋体" w:eastAsia="宋体"/>
                <w:sz w:val="20"/>
                <w:szCs w:val="20"/>
                <w:lang w:val="en-US" w:eastAsia="zh-CN"/>
              </w:rPr>
            </w:pPr>
            <w:r>
              <w:rPr>
                <w:b/>
                <w:bCs/>
                <w:color w:val="0000FF"/>
                <w:sz w:val="20"/>
                <w:szCs w:val="20"/>
              </w:rPr>
              <w:t>1</w:t>
            </w:r>
          </w:p>
        </w:tc>
        <w:tc>
          <w:tcPr>
            <w:tcW w:w="4155" w:type="dxa"/>
            <w:gridSpan w:val="3"/>
            <w:tcBorders>
              <w:top w:val="single" w:color="000000" w:sz="8" w:space="0"/>
              <w:left w:val="single" w:color="000000" w:sz="8" w:space="0"/>
              <w:bottom w:val="single" w:color="000000" w:sz="8" w:space="0"/>
              <w:right w:val="single" w:color="000000" w:sz="8" w:space="0"/>
            </w:tcBorders>
            <w:vAlign w:val="top"/>
          </w:tcPr>
          <w:p w14:paraId="6F13ED33">
            <w:pPr>
              <w:spacing w:line="320" w:lineRule="exact"/>
              <w:jc w:val="center"/>
              <w:rPr>
                <w:rFonts w:hint="eastAsia" w:ascii="宋体" w:hAnsi="宋体" w:eastAsia="宋体" w:cs="宋体"/>
                <w:sz w:val="20"/>
                <w:szCs w:val="20"/>
                <w:lang w:val="en-US" w:eastAsia="zh-CN"/>
              </w:rPr>
            </w:pPr>
            <w:r>
              <w:rPr>
                <w:b/>
                <w:bCs/>
                <w:color w:val="0000FF"/>
                <w:sz w:val="20"/>
                <w:szCs w:val="20"/>
              </w:rPr>
              <w:t>价格</w:t>
            </w:r>
            <w:r>
              <w:rPr>
                <w:rFonts w:hint="eastAsia"/>
                <w:b/>
                <w:bCs/>
                <w:color w:val="0000FF"/>
                <w:sz w:val="20"/>
                <w:szCs w:val="20"/>
                <w:lang w:val="en-US" w:eastAsia="zh-CN"/>
              </w:rPr>
              <w:t>部分</w:t>
            </w:r>
          </w:p>
        </w:tc>
        <w:tc>
          <w:tcPr>
            <w:tcW w:w="5505" w:type="dxa"/>
            <w:tcBorders>
              <w:top w:val="single" w:color="000000" w:sz="8" w:space="0"/>
              <w:left w:val="single" w:color="000000" w:sz="8" w:space="0"/>
              <w:bottom w:val="single" w:color="000000" w:sz="8" w:space="0"/>
              <w:right w:val="single" w:color="000000" w:sz="8" w:space="0"/>
            </w:tcBorders>
            <w:vAlign w:val="top"/>
          </w:tcPr>
          <w:p w14:paraId="02AB8C37">
            <w:pPr>
              <w:spacing w:line="320" w:lineRule="exact"/>
              <w:jc w:val="center"/>
              <w:rPr>
                <w:rFonts w:hint="default" w:ascii="宋体" w:hAnsi="宋体" w:eastAsia="宋体"/>
                <w:sz w:val="20"/>
                <w:szCs w:val="20"/>
                <w:lang w:val="en-US" w:eastAsia="zh-CN"/>
              </w:rPr>
            </w:pPr>
            <w:r>
              <w:rPr>
                <w:rFonts w:hint="eastAsia"/>
                <w:b/>
                <w:bCs/>
                <w:color w:val="0000FF"/>
                <w:sz w:val="20"/>
                <w:szCs w:val="20"/>
                <w:lang w:val="en-US" w:eastAsia="zh-CN"/>
              </w:rPr>
              <w:t>10</w:t>
            </w:r>
          </w:p>
        </w:tc>
      </w:tr>
      <w:tr w14:paraId="16B82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restart"/>
            <w:tcBorders>
              <w:left w:val="single" w:color="000000" w:sz="8" w:space="0"/>
              <w:right w:val="single" w:color="000000" w:sz="8" w:space="0"/>
            </w:tcBorders>
            <w:vAlign w:val="top"/>
          </w:tcPr>
          <w:p w14:paraId="5093C940">
            <w:pPr>
              <w:spacing w:line="320" w:lineRule="exact"/>
              <w:jc w:val="center"/>
              <w:rPr>
                <w:rFonts w:ascii="宋体" w:hAnsi="宋体"/>
                <w:sz w:val="20"/>
                <w:szCs w:val="20"/>
              </w:rPr>
            </w:pPr>
            <w:r>
              <w:rPr>
                <w:b/>
                <w:bCs/>
                <w:color w:val="0000FF"/>
                <w:sz w:val="20"/>
                <w:szCs w:val="20"/>
              </w:rPr>
              <w:t>2</w:t>
            </w:r>
          </w:p>
        </w:tc>
        <w:tc>
          <w:tcPr>
            <w:tcW w:w="4155" w:type="dxa"/>
            <w:gridSpan w:val="3"/>
            <w:tcBorders>
              <w:top w:val="single" w:color="000000" w:sz="8" w:space="0"/>
              <w:left w:val="single" w:color="000000" w:sz="8" w:space="0"/>
              <w:bottom w:val="single" w:color="000000" w:sz="8" w:space="0"/>
              <w:right w:val="single" w:color="000000" w:sz="8" w:space="0"/>
            </w:tcBorders>
            <w:vAlign w:val="top"/>
          </w:tcPr>
          <w:p w14:paraId="58F416E5">
            <w:pPr>
              <w:spacing w:line="320" w:lineRule="exact"/>
              <w:jc w:val="center"/>
              <w:rPr>
                <w:rFonts w:hint="default" w:ascii="宋体" w:hAnsi="宋体" w:eastAsia="宋体" w:cs="宋体"/>
                <w:sz w:val="20"/>
                <w:szCs w:val="20"/>
                <w:lang w:val="en-US" w:eastAsia="zh-CN"/>
              </w:rPr>
            </w:pPr>
            <w:r>
              <w:rPr>
                <w:rFonts w:hint="eastAsia"/>
                <w:b/>
                <w:bCs/>
                <w:color w:val="0000FF"/>
                <w:sz w:val="20"/>
                <w:szCs w:val="20"/>
                <w:lang w:val="en-US" w:eastAsia="zh-CN"/>
              </w:rPr>
              <w:t>商务部分</w:t>
            </w:r>
          </w:p>
        </w:tc>
        <w:tc>
          <w:tcPr>
            <w:tcW w:w="5505" w:type="dxa"/>
            <w:tcBorders>
              <w:top w:val="single" w:color="000000" w:sz="8" w:space="0"/>
              <w:left w:val="single" w:color="000000" w:sz="8" w:space="0"/>
              <w:bottom w:val="single" w:color="000000" w:sz="8" w:space="0"/>
              <w:right w:val="single" w:color="000000" w:sz="8" w:space="0"/>
            </w:tcBorders>
            <w:vAlign w:val="top"/>
          </w:tcPr>
          <w:p w14:paraId="0DF7C8CF">
            <w:pPr>
              <w:spacing w:line="320" w:lineRule="exact"/>
              <w:jc w:val="center"/>
              <w:rPr>
                <w:rFonts w:hint="default" w:ascii="宋体" w:hAnsi="宋体" w:eastAsia="宋体"/>
                <w:sz w:val="24"/>
                <w:szCs w:val="24"/>
                <w:lang w:val="en-US" w:eastAsia="zh-CN"/>
              </w:rPr>
            </w:pPr>
            <w:r>
              <w:rPr>
                <w:rFonts w:hint="eastAsia"/>
                <w:b/>
                <w:bCs/>
                <w:color w:val="0000FF"/>
                <w:sz w:val="20"/>
                <w:szCs w:val="20"/>
                <w:lang w:val="en-US" w:eastAsia="zh-CN"/>
              </w:rPr>
              <w:t>50</w:t>
            </w:r>
          </w:p>
        </w:tc>
      </w:tr>
      <w:tr w14:paraId="59492F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continue"/>
            <w:tcBorders>
              <w:left w:val="single" w:color="000000" w:sz="8" w:space="0"/>
              <w:right w:val="single" w:color="000000" w:sz="8" w:space="0"/>
            </w:tcBorders>
            <w:vAlign w:val="center"/>
          </w:tcPr>
          <w:p w14:paraId="129EF16F">
            <w:pPr>
              <w:spacing w:line="320" w:lineRule="exact"/>
              <w:rPr>
                <w:rFonts w:ascii="宋体" w:hAnsi="宋体"/>
                <w:sz w:val="20"/>
                <w:szCs w:val="20"/>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05D72C14">
            <w:pPr>
              <w:spacing w:line="320" w:lineRule="exact"/>
              <w:jc w:val="center"/>
              <w:rPr>
                <w:rFonts w:ascii="宋体" w:hAnsi="宋体" w:cs="宋体"/>
                <w:sz w:val="20"/>
                <w:szCs w:val="20"/>
              </w:rPr>
            </w:pPr>
            <w:r>
              <w:rPr>
                <w:sz w:val="20"/>
                <w:szCs w:val="20"/>
              </w:rPr>
              <w:t>序号</w:t>
            </w:r>
          </w:p>
        </w:tc>
        <w:tc>
          <w:tcPr>
            <w:tcW w:w="2329" w:type="dxa"/>
            <w:tcBorders>
              <w:top w:val="single" w:color="000000" w:sz="8" w:space="0"/>
              <w:left w:val="single" w:color="000000" w:sz="8" w:space="0"/>
              <w:bottom w:val="single" w:color="000000" w:sz="8" w:space="0"/>
              <w:right w:val="single" w:color="000000" w:sz="8" w:space="0"/>
            </w:tcBorders>
            <w:vAlign w:val="center"/>
          </w:tcPr>
          <w:p w14:paraId="2A482A45">
            <w:pPr>
              <w:spacing w:line="320" w:lineRule="exact"/>
              <w:jc w:val="center"/>
            </w:pPr>
            <w:r>
              <w:rPr>
                <w:sz w:val="20"/>
                <w:szCs w:val="20"/>
              </w:rPr>
              <w:t>评分因素</w:t>
            </w:r>
          </w:p>
        </w:tc>
        <w:tc>
          <w:tcPr>
            <w:tcW w:w="934" w:type="dxa"/>
            <w:tcBorders>
              <w:top w:val="single" w:color="000000" w:sz="8" w:space="0"/>
              <w:left w:val="single" w:color="000000" w:sz="8" w:space="0"/>
              <w:bottom w:val="single" w:color="000000" w:sz="8" w:space="0"/>
              <w:right w:val="single" w:color="000000" w:sz="8" w:space="0"/>
            </w:tcBorders>
            <w:vAlign w:val="center"/>
          </w:tcPr>
          <w:p w14:paraId="7A8C4047">
            <w:pPr>
              <w:spacing w:line="320" w:lineRule="exact"/>
              <w:jc w:val="center"/>
            </w:pPr>
            <w:r>
              <w:rPr>
                <w:sz w:val="20"/>
                <w:szCs w:val="20"/>
              </w:rPr>
              <w:t>权重(%)</w:t>
            </w:r>
          </w:p>
        </w:tc>
        <w:tc>
          <w:tcPr>
            <w:tcW w:w="5505" w:type="dxa"/>
            <w:tcBorders>
              <w:top w:val="single" w:color="000000" w:sz="8" w:space="0"/>
              <w:left w:val="single" w:color="000000" w:sz="8" w:space="0"/>
              <w:bottom w:val="single" w:color="000000" w:sz="8" w:space="0"/>
              <w:right w:val="single" w:color="000000" w:sz="8" w:space="0"/>
            </w:tcBorders>
            <w:vAlign w:val="center"/>
          </w:tcPr>
          <w:p w14:paraId="49130A44">
            <w:pPr>
              <w:spacing w:line="320" w:lineRule="exact"/>
              <w:jc w:val="center"/>
              <w:rPr>
                <w:rFonts w:hint="default" w:ascii="宋体" w:hAnsi="宋体" w:eastAsia="宋体"/>
                <w:sz w:val="24"/>
                <w:szCs w:val="24"/>
                <w:lang w:val="en-US" w:eastAsia="zh-CN"/>
              </w:rPr>
            </w:pPr>
            <w:r>
              <w:rPr>
                <w:sz w:val="20"/>
                <w:szCs w:val="20"/>
              </w:rPr>
              <w:t>评分准则</w:t>
            </w:r>
          </w:p>
        </w:tc>
      </w:tr>
      <w:tr w14:paraId="6FEEC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continue"/>
            <w:tcBorders>
              <w:left w:val="single" w:color="000000" w:sz="8" w:space="0"/>
              <w:right w:val="single" w:color="000000" w:sz="8" w:space="0"/>
            </w:tcBorders>
            <w:vAlign w:val="center"/>
          </w:tcPr>
          <w:p w14:paraId="3A548256">
            <w:pPr>
              <w:spacing w:line="320" w:lineRule="exact"/>
              <w:rPr>
                <w:rFonts w:hint="eastAsia" w:ascii="宋体" w:hAnsi="宋体"/>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14:paraId="0342D856">
            <w:pPr>
              <w:spacing w:line="320" w:lineRule="exact"/>
              <w:jc w:val="center"/>
              <w:rPr>
                <w:rFonts w:ascii="宋体" w:hAnsi="宋体" w:cs="宋体"/>
                <w:sz w:val="20"/>
                <w:szCs w:val="20"/>
              </w:rPr>
            </w:pPr>
            <w:r>
              <w:rPr>
                <w:rFonts w:ascii="宋体" w:hAnsi="宋体"/>
                <w:sz w:val="20"/>
                <w:szCs w:val="20"/>
              </w:rPr>
              <w:t>1</w:t>
            </w:r>
          </w:p>
        </w:tc>
        <w:tc>
          <w:tcPr>
            <w:tcW w:w="2329" w:type="dxa"/>
            <w:tcBorders>
              <w:top w:val="single" w:color="auto" w:sz="4" w:space="0"/>
              <w:left w:val="single" w:color="auto" w:sz="4" w:space="0"/>
              <w:bottom w:val="single" w:color="auto" w:sz="4" w:space="0"/>
              <w:right w:val="single" w:color="auto" w:sz="4" w:space="0"/>
            </w:tcBorders>
            <w:vAlign w:val="center"/>
          </w:tcPr>
          <w:p w14:paraId="4E9BA666">
            <w:pPr>
              <w:spacing w:line="320" w:lineRule="exact"/>
              <w:jc w:val="center"/>
            </w:pPr>
            <w:r>
              <w:rPr>
                <w:rFonts w:hint="eastAsia" w:ascii="宋体" w:hAnsi="宋体" w:eastAsia="宋体"/>
                <w:sz w:val="24"/>
                <w:szCs w:val="24"/>
                <w:lang w:val="en-US" w:eastAsia="zh-CN"/>
              </w:rPr>
              <w:t>企业资质</w:t>
            </w:r>
          </w:p>
        </w:tc>
        <w:tc>
          <w:tcPr>
            <w:tcW w:w="934" w:type="dxa"/>
            <w:tcBorders>
              <w:top w:val="single" w:color="auto" w:sz="4" w:space="0"/>
              <w:left w:val="single" w:color="auto" w:sz="4" w:space="0"/>
              <w:bottom w:val="single" w:color="auto" w:sz="4" w:space="0"/>
              <w:right w:val="single" w:color="auto" w:sz="4" w:space="0"/>
            </w:tcBorders>
            <w:vAlign w:val="center"/>
          </w:tcPr>
          <w:p w14:paraId="1DB07441">
            <w:pPr>
              <w:spacing w:line="320" w:lineRule="exact"/>
              <w:jc w:val="center"/>
              <w:rPr>
                <w:rFonts w:hint="eastAsia" w:eastAsia="宋体"/>
                <w:sz w:val="20"/>
                <w:szCs w:val="20"/>
                <w:lang w:val="en-US" w:eastAsia="zh-CN"/>
              </w:rPr>
            </w:pPr>
            <w:r>
              <w:rPr>
                <w:rFonts w:hint="eastAsia" w:eastAsia="宋体"/>
                <w:sz w:val="20"/>
                <w:szCs w:val="20"/>
                <w:lang w:val="en-US" w:eastAsia="zh-CN"/>
              </w:rPr>
              <w:t>10</w:t>
            </w:r>
          </w:p>
        </w:tc>
        <w:tc>
          <w:tcPr>
            <w:tcW w:w="5505" w:type="dxa"/>
            <w:tcBorders>
              <w:top w:val="single" w:color="auto" w:sz="4" w:space="0"/>
              <w:left w:val="single" w:color="auto" w:sz="4" w:space="0"/>
              <w:bottom w:val="single" w:color="auto" w:sz="4" w:space="0"/>
              <w:right w:val="single" w:color="auto" w:sz="4" w:space="0"/>
            </w:tcBorders>
            <w:vAlign w:val="top"/>
          </w:tcPr>
          <w:p w14:paraId="45B60C70">
            <w:pPr>
              <w:widowControl/>
              <w:spacing w:line="320" w:lineRule="exact"/>
              <w:jc w:val="left"/>
              <w:textAlignment w:val="top"/>
            </w:pPr>
            <w:r>
              <w:rPr>
                <w:rFonts w:hint="eastAsia"/>
              </w:rPr>
              <w:t>一）</w:t>
            </w:r>
            <w:r>
              <w:t>评审内容：</w:t>
            </w:r>
          </w:p>
          <w:p w14:paraId="7CC58E53">
            <w:pPr>
              <w:spacing w:line="320" w:lineRule="exact"/>
              <w:rPr>
                <w:rFonts w:hint="eastAsia"/>
              </w:rPr>
            </w:pPr>
            <w:r>
              <w:rPr>
                <w:rFonts w:hint="eastAsia"/>
              </w:rPr>
              <w:t xml:space="preserve">1. </w:t>
            </w:r>
            <w:r>
              <w:rPr>
                <w:rFonts w:hint="eastAsia" w:eastAsia="宋体"/>
                <w:lang w:val="en-US" w:eastAsia="zh-CN"/>
              </w:rPr>
              <w:t>具有</w:t>
            </w:r>
            <w:r>
              <w:rPr>
                <w:rFonts w:hint="eastAsia"/>
                <w:lang w:val="en-US" w:eastAsia="zh-CN"/>
              </w:rPr>
              <w:t>营业执照（2分）</w:t>
            </w:r>
            <w:r>
              <w:rPr>
                <w:rFonts w:hint="eastAsia"/>
              </w:rPr>
              <w:t>；</w:t>
            </w:r>
          </w:p>
          <w:p w14:paraId="03ED6A89">
            <w:pPr>
              <w:spacing w:line="320" w:lineRule="exact"/>
              <w:rPr>
                <w:rFonts w:hint="default" w:eastAsia="宋体"/>
                <w:lang w:val="en-US" w:eastAsia="zh-CN"/>
              </w:rPr>
            </w:pPr>
            <w:r>
              <w:rPr>
                <w:rFonts w:hint="eastAsia" w:eastAsia="宋体"/>
                <w:lang w:val="en-US" w:eastAsia="zh-CN"/>
              </w:rPr>
              <w:t>2. 具有卫生许可证</w:t>
            </w:r>
            <w:r>
              <w:rPr>
                <w:rFonts w:hint="eastAsia"/>
                <w:lang w:val="en-US" w:eastAsia="zh-CN"/>
              </w:rPr>
              <w:t>（2分）</w:t>
            </w:r>
            <w:r>
              <w:rPr>
                <w:rFonts w:hint="eastAsia" w:eastAsia="宋体"/>
                <w:lang w:val="en-US" w:eastAsia="zh-CN"/>
              </w:rPr>
              <w:t>；</w:t>
            </w:r>
          </w:p>
          <w:p w14:paraId="76D1D139">
            <w:pPr>
              <w:spacing w:line="320" w:lineRule="exact"/>
              <w:rPr>
                <w:rFonts w:hint="eastAsia" w:eastAsia="宋体"/>
                <w:lang w:val="en-US" w:eastAsia="zh-CN"/>
              </w:rPr>
            </w:pPr>
            <w:r>
              <w:rPr>
                <w:rFonts w:hint="eastAsia" w:eastAsia="宋体"/>
                <w:lang w:val="en-US" w:eastAsia="zh-CN"/>
              </w:rPr>
              <w:t>3. 具有食品经营许可证</w:t>
            </w:r>
            <w:r>
              <w:rPr>
                <w:rFonts w:hint="eastAsia"/>
                <w:lang w:val="en-US" w:eastAsia="zh-CN"/>
              </w:rPr>
              <w:t>（2分）</w:t>
            </w:r>
            <w:r>
              <w:rPr>
                <w:rFonts w:hint="eastAsia" w:eastAsia="宋体"/>
                <w:lang w:val="en-US" w:eastAsia="zh-CN"/>
              </w:rPr>
              <w:t>；</w:t>
            </w:r>
          </w:p>
          <w:p w14:paraId="56A0A620">
            <w:pPr>
              <w:spacing w:line="320" w:lineRule="exact"/>
              <w:rPr>
                <w:rFonts w:hint="eastAsia" w:eastAsia="宋体"/>
                <w:lang w:val="en-US" w:eastAsia="zh-CN"/>
              </w:rPr>
            </w:pPr>
            <w:r>
              <w:rPr>
                <w:rFonts w:hint="eastAsia" w:eastAsia="宋体"/>
                <w:lang w:val="en-US" w:eastAsia="zh-CN"/>
              </w:rPr>
              <w:t>4. 具有一般纳税人证明</w:t>
            </w:r>
            <w:r>
              <w:rPr>
                <w:rFonts w:hint="eastAsia"/>
                <w:lang w:val="en-US" w:eastAsia="zh-CN"/>
              </w:rPr>
              <w:t>（2分）</w:t>
            </w:r>
            <w:r>
              <w:rPr>
                <w:rFonts w:hint="eastAsia" w:eastAsia="宋体"/>
                <w:lang w:val="en-US" w:eastAsia="zh-CN"/>
              </w:rPr>
              <w:t>；</w:t>
            </w:r>
          </w:p>
          <w:p w14:paraId="7417E3A4">
            <w:pPr>
              <w:spacing w:line="320" w:lineRule="exact"/>
              <w:rPr>
                <w:rFonts w:hint="default" w:cs="Times New Roman"/>
                <w:b w:val="0"/>
                <w:bCs w:val="0"/>
                <w:sz w:val="24"/>
                <w:szCs w:val="24"/>
                <w:lang w:val="en-US" w:eastAsia="zh-CN"/>
              </w:rPr>
            </w:pPr>
            <w:r>
              <w:rPr>
                <w:rFonts w:hint="eastAsia" w:eastAsia="宋体"/>
                <w:lang w:val="en-US" w:eastAsia="zh-CN"/>
              </w:rPr>
              <w:t>5. 具有其他相关体系证书</w:t>
            </w:r>
            <w:r>
              <w:rPr>
                <w:rFonts w:hint="eastAsia"/>
                <w:lang w:val="en-US" w:eastAsia="zh-CN"/>
              </w:rPr>
              <w:t>（2分）</w:t>
            </w:r>
            <w:r>
              <w:rPr>
                <w:rFonts w:hint="eastAsia" w:eastAsia="宋体"/>
                <w:lang w:val="en-US" w:eastAsia="zh-CN"/>
              </w:rPr>
              <w:t>。</w:t>
            </w:r>
          </w:p>
          <w:p w14:paraId="15F8B0D3">
            <w:pPr>
              <w:widowControl/>
              <w:spacing w:line="320" w:lineRule="exact"/>
              <w:jc w:val="left"/>
              <w:textAlignment w:val="top"/>
            </w:pPr>
            <w:r>
              <w:rPr>
                <w:rFonts w:hint="eastAsia"/>
              </w:rPr>
              <w:t>（二）</w:t>
            </w:r>
            <w:r>
              <w:t xml:space="preserve">评分依据： </w:t>
            </w:r>
          </w:p>
          <w:p w14:paraId="7CB770F6">
            <w:pPr>
              <w:spacing w:line="320" w:lineRule="exact"/>
              <w:ind w:firstLine="420" w:firstLineChars="200"/>
              <w:rPr>
                <w:rFonts w:hint="eastAsia"/>
                <w:lang w:val="en-US" w:eastAsia="zh-CN"/>
              </w:rPr>
            </w:pPr>
            <w:r>
              <w:rPr>
                <w:rFonts w:hint="eastAsia" w:eastAsia="宋体"/>
                <w:lang w:val="en-US" w:eastAsia="zh-CN"/>
              </w:rPr>
              <w:t>提供上述的资质和资料齐全有效的得8-10分</w:t>
            </w:r>
            <w:r>
              <w:rPr>
                <w:rFonts w:hint="eastAsia"/>
                <w:lang w:val="en-US" w:eastAsia="zh-CN"/>
              </w:rPr>
              <w:t>，</w:t>
            </w:r>
            <w:r>
              <w:rPr>
                <w:rFonts w:hint="eastAsia" w:eastAsia="宋体"/>
                <w:lang w:val="en-US" w:eastAsia="zh-CN"/>
              </w:rPr>
              <w:t>资质文件缺失或无效的，</w:t>
            </w:r>
            <w:r>
              <w:rPr>
                <w:rFonts w:hint="eastAsia"/>
                <w:lang w:val="en-US" w:eastAsia="zh-CN"/>
              </w:rPr>
              <w:t>对应项</w:t>
            </w:r>
            <w:r>
              <w:rPr>
                <w:rFonts w:hint="eastAsia" w:eastAsia="宋体"/>
                <w:lang w:val="en-US" w:eastAsia="zh-CN"/>
              </w:rPr>
              <w:t>不得分</w:t>
            </w:r>
            <w:r>
              <w:rPr>
                <w:rFonts w:hint="eastAsia"/>
                <w:lang w:val="en-US" w:eastAsia="zh-CN"/>
              </w:rPr>
              <w:t>。</w:t>
            </w:r>
          </w:p>
          <w:p w14:paraId="516D510B">
            <w:pPr>
              <w:pStyle w:val="6"/>
              <w:rPr>
                <w:rFonts w:hint="default" w:ascii="宋体" w:hAnsi="宋体" w:eastAsia="宋体"/>
                <w:sz w:val="24"/>
                <w:szCs w:val="24"/>
                <w:lang w:val="en-US" w:eastAsia="zh-CN"/>
              </w:rPr>
            </w:pPr>
          </w:p>
        </w:tc>
      </w:tr>
      <w:tr w14:paraId="4DC57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965" w:type="dxa"/>
            <w:vMerge w:val="continue"/>
            <w:tcBorders>
              <w:left w:val="single" w:color="000000" w:sz="8" w:space="0"/>
              <w:right w:val="single" w:color="000000" w:sz="8" w:space="0"/>
            </w:tcBorders>
            <w:vAlign w:val="center"/>
          </w:tcPr>
          <w:p w14:paraId="58F3E3C0">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11ED8B7B">
            <w:pPr>
              <w:spacing w:line="320" w:lineRule="exact"/>
              <w:jc w:val="center"/>
              <w:rPr>
                <w:rFonts w:hint="eastAsia" w:ascii="宋体" w:hAnsi="宋体" w:eastAsia="宋体" w:cs="宋体"/>
                <w:sz w:val="20"/>
                <w:szCs w:val="20"/>
                <w:lang w:eastAsia="zh-CN"/>
              </w:rPr>
            </w:pPr>
            <w:r>
              <w:rPr>
                <w:rFonts w:ascii="宋体" w:hAnsi="宋体"/>
                <w:sz w:val="20"/>
                <w:szCs w:val="20"/>
              </w:rPr>
              <w:t>2</w:t>
            </w:r>
          </w:p>
        </w:tc>
        <w:tc>
          <w:tcPr>
            <w:tcW w:w="2329" w:type="dxa"/>
            <w:tcBorders>
              <w:top w:val="single" w:color="000000" w:sz="8" w:space="0"/>
              <w:left w:val="single" w:color="000000" w:sz="8" w:space="0"/>
              <w:bottom w:val="single" w:color="000000" w:sz="8" w:space="0"/>
              <w:right w:val="single" w:color="000000" w:sz="8" w:space="0"/>
            </w:tcBorders>
            <w:vAlign w:val="center"/>
          </w:tcPr>
          <w:p w14:paraId="17548AD0">
            <w:pPr>
              <w:spacing w:line="320" w:lineRule="exact"/>
              <w:jc w:val="center"/>
            </w:pPr>
            <w:r>
              <w:rPr>
                <w:rFonts w:hint="eastAsia" w:ascii="宋体" w:hAnsi="宋体" w:eastAsia="宋体"/>
                <w:sz w:val="24"/>
                <w:szCs w:val="24"/>
                <w:lang w:val="en-US" w:eastAsia="zh-CN"/>
              </w:rPr>
              <w:t>企业组织机构、规模、经验状况</w:t>
            </w:r>
          </w:p>
        </w:tc>
        <w:tc>
          <w:tcPr>
            <w:tcW w:w="934" w:type="dxa"/>
            <w:tcBorders>
              <w:top w:val="single" w:color="000000" w:sz="8" w:space="0"/>
              <w:left w:val="single" w:color="000000" w:sz="8" w:space="0"/>
              <w:bottom w:val="single" w:color="000000" w:sz="8" w:space="0"/>
              <w:right w:val="single" w:color="000000" w:sz="8" w:space="0"/>
            </w:tcBorders>
            <w:vAlign w:val="center"/>
          </w:tcPr>
          <w:p w14:paraId="4FB555D4">
            <w:pPr>
              <w:spacing w:line="320" w:lineRule="exact"/>
              <w:jc w:val="center"/>
              <w:rPr>
                <w:rFonts w:hint="eastAsia" w:eastAsia="宋体"/>
                <w:sz w:val="20"/>
                <w:szCs w:val="20"/>
                <w:lang w:val="en-US" w:eastAsia="zh-CN"/>
              </w:rPr>
            </w:pPr>
            <w:r>
              <w:rPr>
                <w:rFonts w:hint="eastAsia" w:eastAsia="宋体"/>
                <w:sz w:val="20"/>
                <w:szCs w:val="20"/>
                <w:lang w:val="en-US" w:eastAsia="zh-CN"/>
              </w:rPr>
              <w:t>8</w:t>
            </w:r>
          </w:p>
        </w:tc>
        <w:tc>
          <w:tcPr>
            <w:tcW w:w="5505" w:type="dxa"/>
            <w:tcBorders>
              <w:top w:val="single" w:color="000000" w:sz="8" w:space="0"/>
              <w:left w:val="single" w:color="000000" w:sz="8" w:space="0"/>
              <w:bottom w:val="single" w:color="000000" w:sz="8" w:space="0"/>
              <w:right w:val="single" w:color="000000" w:sz="8" w:space="0"/>
            </w:tcBorders>
            <w:vAlign w:val="top"/>
          </w:tcPr>
          <w:p w14:paraId="66B3A606">
            <w:pPr>
              <w:spacing w:line="320" w:lineRule="exact"/>
              <w:jc w:val="left"/>
              <w:rPr>
                <w:rFonts w:hint="eastAsia" w:eastAsia="宋体"/>
                <w:lang w:val="en-US" w:eastAsia="zh-CN"/>
              </w:rPr>
            </w:pPr>
            <w:r>
              <w:rPr>
                <w:rFonts w:hint="eastAsia" w:eastAsia="宋体"/>
                <w:lang w:val="en-US" w:eastAsia="zh-CN"/>
              </w:rPr>
              <w:t>（一）评审内容：</w:t>
            </w:r>
          </w:p>
          <w:p w14:paraId="02C945DC">
            <w:pPr>
              <w:spacing w:line="320" w:lineRule="exact"/>
              <w:jc w:val="left"/>
              <w:rPr>
                <w:rFonts w:hint="eastAsia" w:eastAsia="宋体"/>
                <w:lang w:val="en-US" w:eastAsia="zh-CN"/>
              </w:rPr>
            </w:pPr>
            <w:r>
              <w:rPr>
                <w:rFonts w:hint="eastAsia" w:eastAsia="宋体"/>
                <w:lang w:val="en-US" w:eastAsia="zh-CN"/>
              </w:rPr>
              <w:t>1. 企业注册资金满足要求（2分）；</w:t>
            </w:r>
          </w:p>
          <w:p w14:paraId="5ACD13EC">
            <w:pPr>
              <w:spacing w:line="320" w:lineRule="exact"/>
              <w:jc w:val="left"/>
              <w:rPr>
                <w:rFonts w:hint="eastAsia" w:eastAsia="宋体"/>
                <w:lang w:val="en-US" w:eastAsia="zh-CN"/>
              </w:rPr>
            </w:pPr>
            <w:r>
              <w:rPr>
                <w:rFonts w:hint="eastAsia" w:eastAsia="宋体"/>
                <w:lang w:val="en-US" w:eastAsia="zh-CN"/>
              </w:rPr>
              <w:t>2. 企业组织机构的完整性（2分）；</w:t>
            </w:r>
          </w:p>
          <w:p w14:paraId="26D5D04F">
            <w:pPr>
              <w:spacing w:line="320" w:lineRule="exact"/>
              <w:jc w:val="left"/>
              <w:rPr>
                <w:rFonts w:hint="eastAsia" w:eastAsia="宋体"/>
                <w:lang w:val="en-US" w:eastAsia="zh-CN"/>
              </w:rPr>
            </w:pPr>
            <w:r>
              <w:rPr>
                <w:rFonts w:hint="eastAsia" w:eastAsia="宋体"/>
                <w:lang w:val="en-US" w:eastAsia="zh-CN"/>
              </w:rPr>
              <w:t>3. 企业的财务状况（2分）；</w:t>
            </w:r>
          </w:p>
          <w:p w14:paraId="368DE60E">
            <w:pPr>
              <w:spacing w:line="320" w:lineRule="exact"/>
              <w:jc w:val="left"/>
              <w:rPr>
                <w:rFonts w:hint="default" w:eastAsia="宋体"/>
                <w:lang w:val="en-US" w:eastAsia="zh-CN"/>
              </w:rPr>
            </w:pPr>
            <w:r>
              <w:rPr>
                <w:rFonts w:hint="eastAsia" w:eastAsia="宋体"/>
                <w:lang w:val="en-US" w:eastAsia="zh-CN"/>
              </w:rPr>
              <w:t>4. 企业在当地的影响力（2分）。</w:t>
            </w:r>
          </w:p>
          <w:p w14:paraId="7777E9EF">
            <w:pPr>
              <w:spacing w:line="320" w:lineRule="exact"/>
              <w:jc w:val="left"/>
              <w:rPr>
                <w:rFonts w:hint="eastAsia" w:eastAsia="宋体"/>
                <w:lang w:val="en-US" w:eastAsia="zh-CN"/>
              </w:rPr>
            </w:pPr>
            <w:r>
              <w:rPr>
                <w:rFonts w:hint="eastAsia" w:eastAsia="宋体"/>
                <w:lang w:val="en-US" w:eastAsia="zh-CN"/>
              </w:rPr>
              <w:t>（二）评分依据：</w:t>
            </w:r>
          </w:p>
          <w:p w14:paraId="72131367">
            <w:pPr>
              <w:spacing w:line="320" w:lineRule="exact"/>
              <w:rPr>
                <w:rFonts w:hint="eastAsia" w:ascii="宋体" w:hAnsi="宋体" w:eastAsia="宋体"/>
                <w:sz w:val="24"/>
                <w:szCs w:val="24"/>
                <w:lang w:val="en-US" w:eastAsia="zh-CN"/>
              </w:rPr>
            </w:pPr>
            <w:r>
              <w:rPr>
                <w:rFonts w:hint="eastAsia" w:eastAsia="宋体"/>
                <w:lang w:val="en-US" w:eastAsia="zh-CN"/>
              </w:rPr>
              <w:t>企业注册资金至少满足500万以上，得2分，注册资金越高得分越高；企业具有完整的组织机构，有相关的职责说明，职责清晰，各专业人员人数配备合理，项目负责人具有相关技术职称，得2分，以上条件不能完全满足的，根据情况得1分；企业提供近2年财务审计报告，企业经营状况正常得2分， 有1年亏损状况的不得分；企业在当地的影响力大，得1-2分。</w:t>
            </w:r>
          </w:p>
        </w:tc>
      </w:tr>
      <w:tr w14:paraId="58ADA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continue"/>
            <w:tcBorders>
              <w:left w:val="single" w:color="000000" w:sz="8" w:space="0"/>
              <w:right w:val="single" w:color="000000" w:sz="8" w:space="0"/>
            </w:tcBorders>
            <w:vAlign w:val="center"/>
          </w:tcPr>
          <w:p w14:paraId="12AD6121">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39DC547E">
            <w:pPr>
              <w:spacing w:line="320" w:lineRule="exact"/>
              <w:jc w:val="center"/>
              <w:rPr>
                <w:rFonts w:hint="eastAsia" w:ascii="宋体" w:hAnsi="宋体" w:eastAsia="宋体" w:cs="宋体"/>
                <w:sz w:val="20"/>
                <w:szCs w:val="20"/>
                <w:lang w:eastAsia="zh-CN"/>
              </w:rPr>
            </w:pPr>
            <w:r>
              <w:rPr>
                <w:rFonts w:ascii="宋体" w:hAnsi="宋体"/>
                <w:sz w:val="20"/>
                <w:szCs w:val="20"/>
              </w:rPr>
              <w:t>3</w:t>
            </w:r>
          </w:p>
        </w:tc>
        <w:tc>
          <w:tcPr>
            <w:tcW w:w="2329" w:type="dxa"/>
            <w:tcBorders>
              <w:top w:val="single" w:color="000000" w:sz="8" w:space="0"/>
              <w:left w:val="single" w:color="000000" w:sz="8" w:space="0"/>
              <w:bottom w:val="single" w:color="000000" w:sz="8" w:space="0"/>
              <w:right w:val="single" w:color="000000" w:sz="8" w:space="0"/>
            </w:tcBorders>
            <w:vAlign w:val="center"/>
          </w:tcPr>
          <w:p w14:paraId="74A9E3F4">
            <w:pPr>
              <w:spacing w:line="320" w:lineRule="exact"/>
              <w:jc w:val="center"/>
            </w:pPr>
            <w:r>
              <w:rPr>
                <w:rFonts w:hint="eastAsia" w:ascii="宋体" w:hAnsi="宋体" w:eastAsia="宋体"/>
                <w:sz w:val="24"/>
                <w:szCs w:val="24"/>
                <w:lang w:val="en-US" w:eastAsia="zh-CN"/>
              </w:rPr>
              <w:t>企业管理情况</w:t>
            </w:r>
          </w:p>
        </w:tc>
        <w:tc>
          <w:tcPr>
            <w:tcW w:w="934" w:type="dxa"/>
            <w:tcBorders>
              <w:top w:val="single" w:color="000000" w:sz="8" w:space="0"/>
              <w:left w:val="single" w:color="000000" w:sz="8" w:space="0"/>
              <w:bottom w:val="single" w:color="000000" w:sz="8" w:space="0"/>
              <w:right w:val="single" w:color="000000" w:sz="8" w:space="0"/>
            </w:tcBorders>
            <w:vAlign w:val="center"/>
          </w:tcPr>
          <w:p w14:paraId="05874134">
            <w:pPr>
              <w:spacing w:line="320" w:lineRule="exact"/>
              <w:jc w:val="center"/>
              <w:rPr>
                <w:rFonts w:hint="eastAsia" w:eastAsia="宋体"/>
                <w:sz w:val="20"/>
                <w:szCs w:val="20"/>
                <w:lang w:val="en-US" w:eastAsia="zh-CN"/>
              </w:rPr>
            </w:pPr>
            <w:r>
              <w:rPr>
                <w:rFonts w:hint="eastAsia" w:eastAsia="宋体"/>
                <w:sz w:val="20"/>
                <w:szCs w:val="20"/>
                <w:lang w:val="en-US" w:eastAsia="zh-CN"/>
              </w:rPr>
              <w:t>6</w:t>
            </w:r>
          </w:p>
        </w:tc>
        <w:tc>
          <w:tcPr>
            <w:tcW w:w="5505" w:type="dxa"/>
            <w:tcBorders>
              <w:top w:val="single" w:color="000000" w:sz="8" w:space="0"/>
              <w:left w:val="single" w:color="000000" w:sz="8" w:space="0"/>
              <w:bottom w:val="single" w:color="000000" w:sz="8" w:space="0"/>
              <w:right w:val="single" w:color="000000" w:sz="8" w:space="0"/>
            </w:tcBorders>
            <w:vAlign w:val="top"/>
          </w:tcPr>
          <w:p w14:paraId="525BC33D">
            <w:pPr>
              <w:spacing w:line="320" w:lineRule="exact"/>
              <w:jc w:val="left"/>
              <w:rPr>
                <w:rFonts w:hint="eastAsia" w:eastAsia="宋体"/>
                <w:lang w:val="en-US" w:eastAsia="zh-CN"/>
              </w:rPr>
            </w:pPr>
            <w:r>
              <w:rPr>
                <w:rFonts w:hint="eastAsia" w:eastAsia="宋体"/>
                <w:lang w:val="en-US" w:eastAsia="zh-CN"/>
              </w:rPr>
              <w:t>（一）评审内容：</w:t>
            </w:r>
          </w:p>
          <w:p w14:paraId="6192FE4D">
            <w:pPr>
              <w:spacing w:line="320" w:lineRule="exact"/>
              <w:jc w:val="left"/>
              <w:rPr>
                <w:rFonts w:hint="eastAsia" w:eastAsia="宋体"/>
                <w:lang w:val="en-US" w:eastAsia="zh-CN"/>
              </w:rPr>
            </w:pPr>
            <w:r>
              <w:rPr>
                <w:rFonts w:hint="eastAsia" w:eastAsia="宋体"/>
                <w:lang w:val="en-US" w:eastAsia="zh-CN"/>
              </w:rPr>
              <w:t>1. 采购相关规章管理制度（2分）；</w:t>
            </w:r>
          </w:p>
          <w:p w14:paraId="20369831">
            <w:pPr>
              <w:spacing w:line="320" w:lineRule="exact"/>
              <w:jc w:val="left"/>
              <w:rPr>
                <w:rFonts w:hint="eastAsia" w:eastAsia="宋体"/>
                <w:lang w:val="en-US" w:eastAsia="zh-CN"/>
              </w:rPr>
            </w:pPr>
            <w:r>
              <w:rPr>
                <w:rFonts w:hint="eastAsia" w:eastAsia="宋体"/>
                <w:lang w:val="en-US" w:eastAsia="zh-CN"/>
              </w:rPr>
              <w:t>2. 配送相关规章管理制度（2分）；</w:t>
            </w:r>
          </w:p>
          <w:p w14:paraId="08F21BC2">
            <w:pPr>
              <w:spacing w:line="320" w:lineRule="exact"/>
              <w:jc w:val="left"/>
              <w:rPr>
                <w:rFonts w:hint="default" w:eastAsia="宋体"/>
                <w:lang w:val="en-US" w:eastAsia="zh-CN"/>
              </w:rPr>
            </w:pPr>
            <w:r>
              <w:rPr>
                <w:rFonts w:hint="eastAsia" w:eastAsia="宋体"/>
                <w:lang w:val="en-US" w:eastAsia="zh-CN"/>
              </w:rPr>
              <w:t>3. 其他规章管理制度（2分）；</w:t>
            </w:r>
          </w:p>
          <w:p w14:paraId="4C3FB563">
            <w:pPr>
              <w:spacing w:line="320" w:lineRule="exact"/>
              <w:rPr>
                <w:rFonts w:hint="eastAsia" w:eastAsia="宋体"/>
                <w:lang w:val="en-US" w:eastAsia="zh-CN"/>
              </w:rPr>
            </w:pPr>
            <w:r>
              <w:rPr>
                <w:rFonts w:hint="eastAsia" w:eastAsia="宋体"/>
                <w:lang w:val="en-US" w:eastAsia="zh-CN"/>
              </w:rPr>
              <w:t>评分依据：</w:t>
            </w:r>
          </w:p>
          <w:p w14:paraId="34F57E3B">
            <w:pPr>
              <w:spacing w:line="320" w:lineRule="exact"/>
              <w:rPr>
                <w:rFonts w:hint="default" w:ascii="宋体" w:hAnsi="宋体" w:eastAsia="宋体"/>
                <w:sz w:val="24"/>
                <w:szCs w:val="24"/>
                <w:lang w:val="en-US" w:eastAsia="zh-CN"/>
              </w:rPr>
            </w:pPr>
            <w:r>
              <w:rPr>
                <w:rFonts w:hint="eastAsia" w:eastAsia="宋体"/>
                <w:lang w:val="en-US" w:eastAsia="zh-CN"/>
              </w:rPr>
              <w:t>以上管理制度齐全得6分，其他规章管理制度缺失得3-5分，采购及配送相关管理制度缺失不得分。</w:t>
            </w:r>
          </w:p>
        </w:tc>
      </w:tr>
      <w:tr w14:paraId="07D406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continue"/>
            <w:tcBorders>
              <w:left w:val="single" w:color="000000" w:sz="8" w:space="0"/>
              <w:right w:val="single" w:color="000000" w:sz="8" w:space="0"/>
            </w:tcBorders>
            <w:vAlign w:val="center"/>
          </w:tcPr>
          <w:p w14:paraId="1C2C3618">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32F1E345">
            <w:pPr>
              <w:spacing w:line="320" w:lineRule="exact"/>
              <w:jc w:val="center"/>
              <w:rPr>
                <w:rFonts w:hint="eastAsia" w:ascii="宋体" w:hAnsi="宋体" w:eastAsia="宋体"/>
                <w:sz w:val="20"/>
                <w:szCs w:val="20"/>
                <w:lang w:eastAsia="zh-CN"/>
              </w:rPr>
            </w:pPr>
            <w:r>
              <w:rPr>
                <w:rFonts w:hint="eastAsia" w:ascii="宋体" w:hAnsi="宋体"/>
                <w:sz w:val="20"/>
                <w:szCs w:val="20"/>
              </w:rPr>
              <w:t>4</w:t>
            </w:r>
          </w:p>
        </w:tc>
        <w:tc>
          <w:tcPr>
            <w:tcW w:w="2329" w:type="dxa"/>
            <w:tcBorders>
              <w:top w:val="single" w:color="000000" w:sz="8" w:space="0"/>
              <w:left w:val="single" w:color="000000" w:sz="8" w:space="0"/>
              <w:bottom w:val="single" w:color="000000" w:sz="8" w:space="0"/>
              <w:right w:val="single" w:color="000000" w:sz="8" w:space="0"/>
            </w:tcBorders>
            <w:vAlign w:val="center"/>
          </w:tcPr>
          <w:p w14:paraId="5C414160">
            <w:pPr>
              <w:spacing w:line="320" w:lineRule="exact"/>
              <w:jc w:val="center"/>
            </w:pPr>
            <w:r>
              <w:rPr>
                <w:rFonts w:hint="eastAsia" w:ascii="宋体" w:hAnsi="宋体" w:eastAsia="宋体"/>
                <w:sz w:val="24"/>
                <w:szCs w:val="24"/>
                <w:lang w:val="en-US" w:eastAsia="zh-CN"/>
              </w:rPr>
              <w:t>历史合作项目</w:t>
            </w:r>
          </w:p>
        </w:tc>
        <w:tc>
          <w:tcPr>
            <w:tcW w:w="934" w:type="dxa"/>
            <w:tcBorders>
              <w:top w:val="single" w:color="000000" w:sz="8" w:space="0"/>
              <w:left w:val="single" w:color="000000" w:sz="8" w:space="0"/>
              <w:bottom w:val="single" w:color="000000" w:sz="8" w:space="0"/>
              <w:right w:val="single" w:color="000000" w:sz="8" w:space="0"/>
            </w:tcBorders>
            <w:vAlign w:val="center"/>
          </w:tcPr>
          <w:p w14:paraId="36316336">
            <w:pPr>
              <w:spacing w:line="320" w:lineRule="exact"/>
              <w:jc w:val="center"/>
            </w:pPr>
            <w:r>
              <w:rPr>
                <w:rFonts w:hint="eastAsia" w:eastAsia="宋体"/>
                <w:sz w:val="20"/>
                <w:szCs w:val="20"/>
                <w:lang w:val="en-US" w:eastAsia="zh-CN"/>
              </w:rPr>
              <w:t>6</w:t>
            </w:r>
          </w:p>
        </w:tc>
        <w:tc>
          <w:tcPr>
            <w:tcW w:w="5505" w:type="dxa"/>
            <w:tcBorders>
              <w:top w:val="single" w:color="000000" w:sz="8" w:space="0"/>
              <w:left w:val="single" w:color="000000" w:sz="8" w:space="0"/>
              <w:bottom w:val="single" w:color="000000" w:sz="8" w:space="0"/>
              <w:right w:val="single" w:color="000000" w:sz="8" w:space="0"/>
            </w:tcBorders>
            <w:vAlign w:val="top"/>
          </w:tcPr>
          <w:p w14:paraId="2B95D747">
            <w:pPr>
              <w:spacing w:line="320" w:lineRule="exact"/>
              <w:jc w:val="left"/>
              <w:rPr>
                <w:rFonts w:hint="eastAsia" w:eastAsia="宋体"/>
                <w:lang w:val="en-US" w:eastAsia="zh-CN"/>
              </w:rPr>
            </w:pPr>
            <w:r>
              <w:rPr>
                <w:rFonts w:hint="eastAsia" w:eastAsia="宋体"/>
                <w:lang w:val="en-US" w:eastAsia="zh-CN"/>
              </w:rPr>
              <w:t>（一）评审内容：</w:t>
            </w:r>
          </w:p>
          <w:p w14:paraId="47286165">
            <w:pPr>
              <w:spacing w:line="320" w:lineRule="exact"/>
              <w:rPr>
                <w:rFonts w:hint="eastAsia" w:eastAsia="宋体"/>
                <w:lang w:val="en-US" w:eastAsia="zh-CN"/>
              </w:rPr>
            </w:pPr>
            <w:r>
              <w:rPr>
                <w:rFonts w:hint="eastAsia" w:eastAsia="宋体"/>
                <w:lang w:val="en-US" w:eastAsia="zh-CN"/>
              </w:rPr>
              <w:t>202</w:t>
            </w:r>
            <w:r>
              <w:rPr>
                <w:rFonts w:hint="eastAsia"/>
                <w:lang w:val="en-US" w:eastAsia="zh-CN"/>
              </w:rPr>
              <w:t>3</w:t>
            </w:r>
            <w:r>
              <w:rPr>
                <w:rFonts w:hint="eastAsia" w:eastAsia="宋体"/>
                <w:lang w:val="en-US" w:eastAsia="zh-CN"/>
              </w:rPr>
              <w:t>年起在深圳本地有与中型</w:t>
            </w:r>
            <w:r>
              <w:rPr>
                <w:rFonts w:hint="eastAsia"/>
                <w:lang w:val="en-US" w:eastAsia="zh-CN"/>
              </w:rPr>
              <w:t>以上规模</w:t>
            </w:r>
            <w:r>
              <w:rPr>
                <w:rFonts w:hint="eastAsia" w:eastAsia="宋体"/>
                <w:lang w:val="en-US" w:eastAsia="zh-CN"/>
              </w:rPr>
              <w:t>采购商合作项目。（6分）</w:t>
            </w:r>
          </w:p>
          <w:p w14:paraId="47A11A57">
            <w:pPr>
              <w:spacing w:line="320" w:lineRule="exact"/>
              <w:rPr>
                <w:rFonts w:hint="eastAsia" w:eastAsia="宋体"/>
                <w:lang w:val="en-US" w:eastAsia="zh-CN"/>
              </w:rPr>
            </w:pPr>
            <w:r>
              <w:rPr>
                <w:rFonts w:hint="eastAsia" w:eastAsia="宋体"/>
                <w:lang w:val="en-US" w:eastAsia="zh-CN"/>
              </w:rPr>
              <w:t>评分依据：</w:t>
            </w:r>
          </w:p>
          <w:p w14:paraId="61247D15">
            <w:pPr>
              <w:spacing w:line="320" w:lineRule="exact"/>
              <w:rPr>
                <w:rFonts w:hint="eastAsia" w:ascii="宋体" w:hAnsi="宋体" w:eastAsia="宋体"/>
                <w:sz w:val="24"/>
                <w:szCs w:val="24"/>
                <w:lang w:val="en-US" w:eastAsia="zh-CN"/>
              </w:rPr>
            </w:pPr>
            <w:r>
              <w:rPr>
                <w:rFonts w:hint="eastAsia" w:eastAsia="宋体"/>
                <w:lang w:val="en-US" w:eastAsia="zh-CN"/>
              </w:rPr>
              <w:t>需提供合同扫描</w:t>
            </w:r>
            <w:r>
              <w:rPr>
                <w:rFonts w:hint="eastAsia"/>
                <w:lang w:val="en-US" w:eastAsia="zh-CN"/>
              </w:rPr>
              <w:t>或复印</w:t>
            </w:r>
            <w:r>
              <w:rPr>
                <w:rFonts w:hint="eastAsia" w:eastAsia="宋体"/>
                <w:lang w:val="en-US" w:eastAsia="zh-CN"/>
              </w:rPr>
              <w:t>件（合同需体现人数）以</w:t>
            </w:r>
            <w:r>
              <w:rPr>
                <w:rFonts w:hint="eastAsia"/>
                <w:lang w:val="en-US" w:eastAsia="zh-CN"/>
              </w:rPr>
              <w:t xml:space="preserve"> </w:t>
            </w:r>
            <w:r>
              <w:rPr>
                <w:rFonts w:hint="eastAsia" w:eastAsia="宋体"/>
                <w:lang w:val="en-US" w:eastAsia="zh-CN"/>
              </w:rPr>
              <w:t>及合同期内任意一张客户的银行汇款凭证（付款方需跟合同签订方名称一致，如不一致需提供相关证明文件），不提供不得分。202</w:t>
            </w:r>
            <w:r>
              <w:rPr>
                <w:rFonts w:hint="eastAsia"/>
                <w:lang w:val="en-US" w:eastAsia="zh-CN"/>
              </w:rPr>
              <w:t>2</w:t>
            </w:r>
            <w:r>
              <w:rPr>
                <w:rFonts w:hint="eastAsia" w:eastAsia="宋体"/>
                <w:lang w:val="en-US" w:eastAsia="zh-CN"/>
              </w:rPr>
              <w:t>年起合作项目≥3，得4-6分，合作项目</w:t>
            </w:r>
            <w:r>
              <w:rPr>
                <w:rFonts w:hint="eastAsia"/>
                <w:lang w:val="en-US" w:eastAsia="zh-CN"/>
              </w:rPr>
              <w:t>＜</w:t>
            </w:r>
            <w:r>
              <w:rPr>
                <w:rFonts w:hint="eastAsia" w:eastAsia="宋体"/>
                <w:lang w:val="en-US" w:eastAsia="zh-CN"/>
              </w:rPr>
              <w:t>3，</w:t>
            </w:r>
            <w:r>
              <w:rPr>
                <w:rFonts w:hint="eastAsia"/>
                <w:lang w:val="en-US" w:eastAsia="zh-CN"/>
              </w:rPr>
              <w:t>得0-3分</w:t>
            </w:r>
            <w:r>
              <w:rPr>
                <w:rFonts w:hint="eastAsia" w:eastAsia="宋体"/>
                <w:lang w:val="en-US" w:eastAsia="zh-CN"/>
              </w:rPr>
              <w:t>。</w:t>
            </w:r>
          </w:p>
        </w:tc>
      </w:tr>
      <w:tr w14:paraId="6D168E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68" w:hRule="atLeast"/>
          <w:jc w:val="center"/>
        </w:trPr>
        <w:tc>
          <w:tcPr>
            <w:tcW w:w="965" w:type="dxa"/>
            <w:vMerge w:val="continue"/>
            <w:tcBorders>
              <w:left w:val="single" w:color="000000" w:sz="8" w:space="0"/>
              <w:right w:val="single" w:color="000000" w:sz="8" w:space="0"/>
            </w:tcBorders>
            <w:vAlign w:val="center"/>
          </w:tcPr>
          <w:p w14:paraId="75AD7830">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63A3DB5E">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2329" w:type="dxa"/>
            <w:tcBorders>
              <w:top w:val="single" w:color="000000" w:sz="8" w:space="0"/>
              <w:left w:val="single" w:color="000000" w:sz="8" w:space="0"/>
              <w:bottom w:val="single" w:color="000000" w:sz="8" w:space="0"/>
              <w:right w:val="single" w:color="000000" w:sz="8" w:space="0"/>
            </w:tcBorders>
            <w:vAlign w:val="center"/>
          </w:tcPr>
          <w:p w14:paraId="06968B41">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质量水平</w:t>
            </w:r>
          </w:p>
        </w:tc>
        <w:tc>
          <w:tcPr>
            <w:tcW w:w="934" w:type="dxa"/>
            <w:tcBorders>
              <w:top w:val="single" w:color="000000" w:sz="8" w:space="0"/>
              <w:left w:val="single" w:color="000000" w:sz="8" w:space="0"/>
              <w:bottom w:val="single" w:color="000000" w:sz="8" w:space="0"/>
              <w:right w:val="single" w:color="000000" w:sz="8" w:space="0"/>
            </w:tcBorders>
            <w:vAlign w:val="center"/>
          </w:tcPr>
          <w:p w14:paraId="46C1AB77">
            <w:pPr>
              <w:spacing w:line="320" w:lineRule="exact"/>
              <w:jc w:val="center"/>
              <w:rPr>
                <w:rFonts w:hint="eastAsia" w:eastAsia="宋体"/>
                <w:sz w:val="20"/>
                <w:szCs w:val="20"/>
                <w:lang w:val="en-US" w:eastAsia="zh-CN"/>
              </w:rPr>
            </w:pPr>
            <w:r>
              <w:rPr>
                <w:rFonts w:hint="eastAsia" w:eastAsia="宋体"/>
                <w:sz w:val="20"/>
                <w:szCs w:val="20"/>
                <w:lang w:val="en-US" w:eastAsia="zh-CN"/>
              </w:rPr>
              <w:t>8</w:t>
            </w:r>
          </w:p>
        </w:tc>
        <w:tc>
          <w:tcPr>
            <w:tcW w:w="5505" w:type="dxa"/>
            <w:tcBorders>
              <w:top w:val="single" w:color="000000" w:sz="8" w:space="0"/>
              <w:left w:val="single" w:color="000000" w:sz="8" w:space="0"/>
              <w:bottom w:val="single" w:color="000000" w:sz="8" w:space="0"/>
              <w:right w:val="single" w:color="000000" w:sz="8" w:space="0"/>
            </w:tcBorders>
            <w:vAlign w:val="top"/>
          </w:tcPr>
          <w:p w14:paraId="1384F87B">
            <w:pPr>
              <w:spacing w:line="320" w:lineRule="exact"/>
              <w:rPr>
                <w:rFonts w:hint="eastAsia" w:eastAsia="宋体"/>
                <w:lang w:val="en-US" w:eastAsia="zh-CN"/>
              </w:rPr>
            </w:pPr>
            <w:r>
              <w:rPr>
                <w:rFonts w:hint="eastAsia" w:eastAsia="宋体"/>
                <w:lang w:val="en-US" w:eastAsia="zh-CN"/>
              </w:rPr>
              <w:t>（一）评分内容：</w:t>
            </w:r>
          </w:p>
          <w:p w14:paraId="66EAF37A">
            <w:pPr>
              <w:spacing w:line="320" w:lineRule="exact"/>
              <w:rPr>
                <w:rFonts w:hint="eastAsia" w:eastAsia="宋体"/>
                <w:lang w:val="en-US" w:eastAsia="zh-CN"/>
              </w:rPr>
            </w:pPr>
            <w:r>
              <w:rPr>
                <w:rFonts w:hint="eastAsia" w:eastAsia="宋体"/>
                <w:lang w:val="en-US" w:eastAsia="zh-CN"/>
              </w:rPr>
              <w:t>202</w:t>
            </w:r>
            <w:r>
              <w:rPr>
                <w:rFonts w:hint="eastAsia"/>
                <w:lang w:val="en-US" w:eastAsia="zh-CN"/>
              </w:rPr>
              <w:t>3</w:t>
            </w:r>
            <w:r>
              <w:rPr>
                <w:rFonts w:hint="eastAsia" w:eastAsia="宋体"/>
                <w:lang w:val="en-US" w:eastAsia="zh-CN"/>
              </w:rPr>
              <w:t>年起合作项目中客户的反馈信息（提供至少一家采购商履约评估表） （</w:t>
            </w:r>
            <w:r>
              <w:rPr>
                <w:rFonts w:hint="eastAsia"/>
                <w:lang w:val="en-US" w:eastAsia="zh-CN"/>
              </w:rPr>
              <w:t>8</w:t>
            </w:r>
            <w:r>
              <w:rPr>
                <w:rFonts w:hint="eastAsia" w:eastAsia="宋体"/>
                <w:lang w:val="en-US" w:eastAsia="zh-CN"/>
              </w:rPr>
              <w:t>分）</w:t>
            </w:r>
          </w:p>
          <w:p w14:paraId="36F5582C">
            <w:pPr>
              <w:spacing w:line="320" w:lineRule="exact"/>
              <w:rPr>
                <w:rFonts w:hint="eastAsia" w:eastAsia="宋体"/>
                <w:lang w:val="en-US" w:eastAsia="zh-CN"/>
              </w:rPr>
            </w:pPr>
            <w:r>
              <w:rPr>
                <w:rFonts w:hint="eastAsia" w:eastAsia="宋体"/>
                <w:lang w:val="en-US" w:eastAsia="zh-CN"/>
              </w:rPr>
              <w:t>（二）评分依据：</w:t>
            </w:r>
          </w:p>
          <w:p w14:paraId="46363D38">
            <w:pPr>
              <w:spacing w:line="320" w:lineRule="exact"/>
              <w:rPr>
                <w:rFonts w:hint="eastAsia" w:eastAsia="宋体"/>
                <w:lang w:val="en-US" w:eastAsia="zh-CN"/>
              </w:rPr>
            </w:pPr>
            <w:r>
              <w:rPr>
                <w:rFonts w:hint="eastAsia" w:eastAsia="宋体"/>
                <w:lang w:val="en-US" w:eastAsia="zh-CN"/>
              </w:rPr>
              <w:t>根据采购商履约评估表内容评分，优秀得</w:t>
            </w:r>
            <w:r>
              <w:rPr>
                <w:rFonts w:hint="eastAsia"/>
                <w:lang w:val="en-US" w:eastAsia="zh-CN"/>
              </w:rPr>
              <w:t>8</w:t>
            </w:r>
            <w:r>
              <w:rPr>
                <w:rFonts w:hint="eastAsia" w:eastAsia="宋体"/>
                <w:lang w:val="en-US" w:eastAsia="zh-CN"/>
              </w:rPr>
              <w:t>分；</w:t>
            </w:r>
          </w:p>
        </w:tc>
      </w:tr>
      <w:tr w14:paraId="07AB42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68" w:hRule="atLeast"/>
          <w:jc w:val="center"/>
        </w:trPr>
        <w:tc>
          <w:tcPr>
            <w:tcW w:w="965" w:type="dxa"/>
            <w:vMerge w:val="continue"/>
            <w:tcBorders>
              <w:left w:val="single" w:color="000000" w:sz="8" w:space="0"/>
              <w:right w:val="single" w:color="000000" w:sz="8" w:space="0"/>
            </w:tcBorders>
            <w:vAlign w:val="center"/>
          </w:tcPr>
          <w:p w14:paraId="6C1D462B">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5B0D95F6">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w:t>
            </w:r>
          </w:p>
        </w:tc>
        <w:tc>
          <w:tcPr>
            <w:tcW w:w="2329" w:type="dxa"/>
            <w:tcBorders>
              <w:top w:val="single" w:color="000000" w:sz="8" w:space="0"/>
              <w:left w:val="single" w:color="000000" w:sz="8" w:space="0"/>
              <w:bottom w:val="single" w:color="000000" w:sz="8" w:space="0"/>
              <w:right w:val="single" w:color="000000" w:sz="8" w:space="0"/>
            </w:tcBorders>
            <w:vAlign w:val="center"/>
          </w:tcPr>
          <w:p w14:paraId="5D45AD1C">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人力资源</w:t>
            </w:r>
          </w:p>
        </w:tc>
        <w:tc>
          <w:tcPr>
            <w:tcW w:w="934" w:type="dxa"/>
            <w:tcBorders>
              <w:top w:val="single" w:color="000000" w:sz="8" w:space="0"/>
              <w:left w:val="single" w:color="000000" w:sz="8" w:space="0"/>
              <w:bottom w:val="single" w:color="000000" w:sz="8" w:space="0"/>
              <w:right w:val="single" w:color="000000" w:sz="8" w:space="0"/>
            </w:tcBorders>
            <w:vAlign w:val="center"/>
          </w:tcPr>
          <w:p w14:paraId="07927370">
            <w:pPr>
              <w:spacing w:line="320" w:lineRule="exact"/>
              <w:jc w:val="center"/>
              <w:rPr>
                <w:rFonts w:hint="default" w:eastAsia="宋体"/>
                <w:sz w:val="20"/>
                <w:szCs w:val="20"/>
                <w:lang w:val="en-US" w:eastAsia="zh-CN"/>
              </w:rPr>
            </w:pPr>
            <w:r>
              <w:rPr>
                <w:rFonts w:hint="eastAsia"/>
                <w:sz w:val="20"/>
                <w:szCs w:val="20"/>
                <w:lang w:val="en-US" w:eastAsia="zh-CN"/>
              </w:rPr>
              <w:t>6</w:t>
            </w:r>
          </w:p>
        </w:tc>
        <w:tc>
          <w:tcPr>
            <w:tcW w:w="5505" w:type="dxa"/>
            <w:tcBorders>
              <w:top w:val="single" w:color="000000" w:sz="8" w:space="0"/>
              <w:left w:val="single" w:color="000000" w:sz="8" w:space="0"/>
              <w:bottom w:val="single" w:color="000000" w:sz="8" w:space="0"/>
              <w:right w:val="single" w:color="000000" w:sz="8" w:space="0"/>
            </w:tcBorders>
            <w:vAlign w:val="top"/>
          </w:tcPr>
          <w:p w14:paraId="43916D7F">
            <w:pPr>
              <w:spacing w:line="320" w:lineRule="exact"/>
              <w:rPr>
                <w:rFonts w:hint="eastAsia" w:eastAsia="宋体"/>
                <w:lang w:val="en-US" w:eastAsia="zh-CN"/>
              </w:rPr>
            </w:pPr>
            <w:r>
              <w:rPr>
                <w:rFonts w:hint="eastAsia" w:eastAsia="宋体"/>
                <w:lang w:val="en-US" w:eastAsia="zh-CN"/>
              </w:rPr>
              <w:t>（一）评分内容：</w:t>
            </w:r>
          </w:p>
          <w:p w14:paraId="254CA299">
            <w:pPr>
              <w:spacing w:line="320" w:lineRule="exact"/>
              <w:rPr>
                <w:rFonts w:hint="eastAsia" w:eastAsia="宋体"/>
                <w:lang w:val="en-US" w:eastAsia="zh-CN"/>
              </w:rPr>
            </w:pPr>
            <w:r>
              <w:rPr>
                <w:rFonts w:hint="eastAsia" w:eastAsia="宋体"/>
                <w:lang w:val="en-US" w:eastAsia="zh-CN"/>
              </w:rPr>
              <w:t>1.企业团队完整，经营完善（3分）</w:t>
            </w:r>
          </w:p>
          <w:p w14:paraId="600376AF">
            <w:pPr>
              <w:spacing w:line="320" w:lineRule="exact"/>
              <w:rPr>
                <w:rFonts w:hint="eastAsia" w:eastAsia="宋体"/>
                <w:lang w:val="en-US" w:eastAsia="zh-CN"/>
              </w:rPr>
            </w:pPr>
            <w:r>
              <w:rPr>
                <w:rFonts w:hint="eastAsia" w:eastAsia="宋体"/>
                <w:lang w:val="en-US" w:eastAsia="zh-CN"/>
              </w:rPr>
              <w:t>2.企业员工素质。（3分）</w:t>
            </w:r>
          </w:p>
          <w:p w14:paraId="60C62A92">
            <w:pPr>
              <w:spacing w:line="320" w:lineRule="exact"/>
              <w:rPr>
                <w:rFonts w:hint="eastAsia" w:eastAsia="宋体"/>
                <w:lang w:val="en-US" w:eastAsia="zh-CN"/>
              </w:rPr>
            </w:pPr>
            <w:r>
              <w:rPr>
                <w:rFonts w:hint="eastAsia" w:eastAsia="宋体"/>
                <w:lang w:val="en-US" w:eastAsia="zh-CN"/>
              </w:rPr>
              <w:t>（二）评分依据：</w:t>
            </w:r>
          </w:p>
          <w:p w14:paraId="42D090C9">
            <w:pPr>
              <w:spacing w:line="320" w:lineRule="exact"/>
              <w:rPr>
                <w:rFonts w:hint="eastAsia" w:eastAsia="宋体"/>
                <w:lang w:val="en-US" w:eastAsia="zh-CN"/>
              </w:rPr>
            </w:pPr>
            <w:r>
              <w:rPr>
                <w:rFonts w:hint="eastAsia" w:eastAsia="宋体"/>
                <w:lang w:val="en-US" w:eastAsia="zh-CN"/>
              </w:rPr>
              <w:t>提供最近1年企业人力资源考评和员工考评相关内容，根据提供资料，优秀得6分，不能提供的，不得分。</w:t>
            </w:r>
          </w:p>
        </w:tc>
      </w:tr>
      <w:tr w14:paraId="5E5E5E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68" w:hRule="atLeast"/>
          <w:jc w:val="center"/>
        </w:trPr>
        <w:tc>
          <w:tcPr>
            <w:tcW w:w="965" w:type="dxa"/>
            <w:vMerge w:val="continue"/>
            <w:tcBorders>
              <w:left w:val="single" w:color="000000" w:sz="8" w:space="0"/>
              <w:bottom w:val="single" w:color="000000" w:sz="8" w:space="0"/>
              <w:right w:val="single" w:color="000000" w:sz="8" w:space="0"/>
            </w:tcBorders>
            <w:vAlign w:val="center"/>
          </w:tcPr>
          <w:p w14:paraId="0C20F036">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35DBEB3C">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w:t>
            </w:r>
          </w:p>
        </w:tc>
        <w:tc>
          <w:tcPr>
            <w:tcW w:w="2329" w:type="dxa"/>
            <w:tcBorders>
              <w:top w:val="single" w:color="000000" w:sz="8" w:space="0"/>
              <w:left w:val="single" w:color="000000" w:sz="8" w:space="0"/>
              <w:bottom w:val="single" w:color="000000" w:sz="8" w:space="0"/>
              <w:right w:val="single" w:color="000000" w:sz="8" w:space="0"/>
            </w:tcBorders>
            <w:vAlign w:val="center"/>
          </w:tcPr>
          <w:p w14:paraId="74B8ABBA">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服务能力</w:t>
            </w:r>
          </w:p>
        </w:tc>
        <w:tc>
          <w:tcPr>
            <w:tcW w:w="934" w:type="dxa"/>
            <w:tcBorders>
              <w:top w:val="single" w:color="000000" w:sz="8" w:space="0"/>
              <w:left w:val="single" w:color="000000" w:sz="8" w:space="0"/>
              <w:bottom w:val="single" w:color="000000" w:sz="8" w:space="0"/>
              <w:right w:val="single" w:color="000000" w:sz="8" w:space="0"/>
            </w:tcBorders>
            <w:vAlign w:val="center"/>
          </w:tcPr>
          <w:p w14:paraId="66C37C7F">
            <w:pPr>
              <w:spacing w:line="320" w:lineRule="exact"/>
              <w:jc w:val="center"/>
              <w:rPr>
                <w:rFonts w:hint="default" w:ascii="Times New Roman" w:hAnsi="Times New Roman" w:eastAsia="宋体" w:cs="Times New Roman"/>
                <w:kern w:val="2"/>
                <w:sz w:val="24"/>
                <w:szCs w:val="24"/>
                <w:lang w:val="en-US" w:eastAsia="zh-CN" w:bidi="ar-SA"/>
              </w:rPr>
            </w:pPr>
            <w:r>
              <w:rPr>
                <w:rFonts w:hint="eastAsia"/>
                <w:sz w:val="20"/>
                <w:szCs w:val="20"/>
                <w:lang w:val="en-US" w:eastAsia="zh-CN"/>
              </w:rPr>
              <w:t>6</w:t>
            </w:r>
          </w:p>
        </w:tc>
        <w:tc>
          <w:tcPr>
            <w:tcW w:w="5505" w:type="dxa"/>
            <w:tcBorders>
              <w:top w:val="single" w:color="000000" w:sz="8" w:space="0"/>
              <w:left w:val="single" w:color="000000" w:sz="8" w:space="0"/>
              <w:bottom w:val="single" w:color="000000" w:sz="8" w:space="0"/>
              <w:right w:val="single" w:color="000000" w:sz="8" w:space="0"/>
            </w:tcBorders>
            <w:vAlign w:val="top"/>
          </w:tcPr>
          <w:p w14:paraId="4847DD71">
            <w:pPr>
              <w:spacing w:line="320" w:lineRule="exact"/>
              <w:rPr>
                <w:rFonts w:hint="eastAsia" w:eastAsia="宋体"/>
                <w:lang w:val="en-US" w:eastAsia="zh-CN"/>
              </w:rPr>
            </w:pPr>
            <w:r>
              <w:rPr>
                <w:rFonts w:hint="eastAsia" w:eastAsia="宋体"/>
                <w:lang w:val="en-US" w:eastAsia="zh-CN"/>
              </w:rPr>
              <w:t>（一）评分内容：</w:t>
            </w:r>
          </w:p>
          <w:p w14:paraId="2D4217B8">
            <w:pPr>
              <w:spacing w:line="320" w:lineRule="exact"/>
              <w:rPr>
                <w:rFonts w:hint="eastAsia" w:eastAsia="宋体"/>
                <w:lang w:val="en-US" w:eastAsia="zh-CN"/>
              </w:rPr>
            </w:pPr>
            <w:r>
              <w:rPr>
                <w:rFonts w:hint="eastAsia" w:eastAsia="宋体"/>
                <w:lang w:val="en-US" w:eastAsia="zh-CN"/>
              </w:rPr>
              <w:t>在深圳本地配送已形成一定规模（各区各举一例，深汕特别合作区除外）（6分）</w:t>
            </w:r>
          </w:p>
          <w:p w14:paraId="48721BA8">
            <w:pPr>
              <w:spacing w:line="320" w:lineRule="exact"/>
              <w:rPr>
                <w:rFonts w:hint="eastAsia" w:eastAsia="宋体"/>
                <w:lang w:val="en-US" w:eastAsia="zh-CN"/>
              </w:rPr>
            </w:pPr>
            <w:r>
              <w:rPr>
                <w:rFonts w:hint="eastAsia" w:eastAsia="宋体"/>
                <w:lang w:val="en-US" w:eastAsia="zh-CN"/>
              </w:rPr>
              <w:t>（二）评分依据：</w:t>
            </w:r>
          </w:p>
          <w:p w14:paraId="1BA59131">
            <w:pPr>
              <w:spacing w:line="320" w:lineRule="exact"/>
              <w:rPr>
                <w:rFonts w:hint="eastAsia" w:ascii="Times New Roman" w:hAnsi="Times New Roman" w:eastAsia="宋体" w:cs="Times New Roman"/>
                <w:kern w:val="2"/>
                <w:sz w:val="24"/>
                <w:szCs w:val="24"/>
                <w:lang w:val="en-US" w:eastAsia="zh-CN" w:bidi="ar-SA"/>
              </w:rPr>
            </w:pPr>
            <w:r>
              <w:rPr>
                <w:rFonts w:hint="eastAsia" w:eastAsia="宋体"/>
                <w:lang w:val="en-US" w:eastAsia="zh-CN"/>
              </w:rPr>
              <w:t>在深圳各区都拥有规模完善的配送服务，得6分，无法配送区域≤1，得3-5分，无法配送区域≥2，不得分。</w:t>
            </w:r>
          </w:p>
        </w:tc>
      </w:tr>
      <w:tr w14:paraId="173F8D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965" w:type="dxa"/>
            <w:vMerge w:val="restart"/>
            <w:tcBorders>
              <w:top w:val="single" w:color="000000" w:sz="8" w:space="0"/>
              <w:left w:val="single" w:color="000000" w:sz="8" w:space="0"/>
              <w:right w:val="single" w:color="000000" w:sz="8" w:space="0"/>
            </w:tcBorders>
            <w:vAlign w:val="top"/>
          </w:tcPr>
          <w:p w14:paraId="3F592FD2">
            <w:pPr>
              <w:spacing w:line="320" w:lineRule="exact"/>
              <w:jc w:val="center"/>
              <w:rPr>
                <w:rFonts w:hint="default" w:ascii="宋体" w:hAnsi="宋体" w:eastAsia="宋体"/>
                <w:sz w:val="20"/>
                <w:szCs w:val="20"/>
                <w:lang w:val="en-US" w:eastAsia="zh-CN"/>
              </w:rPr>
            </w:pPr>
            <w:r>
              <w:rPr>
                <w:b/>
                <w:bCs/>
                <w:color w:val="0000FF"/>
                <w:sz w:val="20"/>
                <w:szCs w:val="20"/>
              </w:rPr>
              <w:t>3</w:t>
            </w:r>
          </w:p>
        </w:tc>
        <w:tc>
          <w:tcPr>
            <w:tcW w:w="4155" w:type="dxa"/>
            <w:gridSpan w:val="3"/>
            <w:tcBorders>
              <w:top w:val="single" w:color="000000" w:sz="8" w:space="0"/>
              <w:left w:val="single" w:color="000000" w:sz="8" w:space="0"/>
              <w:bottom w:val="single" w:color="000000" w:sz="8" w:space="0"/>
              <w:right w:val="single" w:color="000000" w:sz="8" w:space="0"/>
            </w:tcBorders>
            <w:vAlign w:val="top"/>
          </w:tcPr>
          <w:p w14:paraId="79195627">
            <w:pPr>
              <w:spacing w:line="320" w:lineRule="exact"/>
              <w:jc w:val="center"/>
              <w:rPr>
                <w:rFonts w:hint="eastAsia" w:ascii="宋体" w:hAnsi="宋体" w:eastAsia="宋体"/>
                <w:sz w:val="20"/>
                <w:szCs w:val="20"/>
                <w:lang w:val="en-US" w:eastAsia="zh-CN"/>
              </w:rPr>
            </w:pPr>
            <w:r>
              <w:rPr>
                <w:rFonts w:hint="eastAsia"/>
                <w:b/>
                <w:bCs/>
                <w:color w:val="0000FF"/>
                <w:sz w:val="20"/>
                <w:szCs w:val="20"/>
                <w:lang w:val="en-US" w:eastAsia="zh-CN"/>
              </w:rPr>
              <w:t>技术部分</w:t>
            </w:r>
          </w:p>
        </w:tc>
        <w:tc>
          <w:tcPr>
            <w:tcW w:w="5505" w:type="dxa"/>
            <w:tcBorders>
              <w:top w:val="single" w:color="000000" w:sz="8" w:space="0"/>
              <w:left w:val="single" w:color="000000" w:sz="8" w:space="0"/>
              <w:bottom w:val="single" w:color="000000" w:sz="8" w:space="0"/>
              <w:right w:val="single" w:color="000000" w:sz="8" w:space="0"/>
            </w:tcBorders>
            <w:vAlign w:val="top"/>
          </w:tcPr>
          <w:p w14:paraId="4E13A4D0">
            <w:pPr>
              <w:spacing w:line="320" w:lineRule="exact"/>
              <w:jc w:val="center"/>
              <w:rPr>
                <w:rFonts w:hint="default" w:ascii="宋体" w:hAnsi="宋体" w:eastAsia="宋体"/>
                <w:sz w:val="24"/>
                <w:szCs w:val="24"/>
                <w:lang w:val="en-US" w:eastAsia="zh-CN"/>
              </w:rPr>
            </w:pPr>
            <w:r>
              <w:rPr>
                <w:rFonts w:hint="eastAsia"/>
                <w:b/>
                <w:bCs/>
                <w:color w:val="0000FF"/>
                <w:sz w:val="20"/>
                <w:szCs w:val="20"/>
                <w:lang w:val="en-US" w:eastAsia="zh-CN"/>
              </w:rPr>
              <w:t>40</w:t>
            </w:r>
          </w:p>
        </w:tc>
      </w:tr>
      <w:tr w14:paraId="18B253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81" w:hRule="atLeast"/>
          <w:jc w:val="center"/>
        </w:trPr>
        <w:tc>
          <w:tcPr>
            <w:tcW w:w="965" w:type="dxa"/>
            <w:vMerge w:val="continue"/>
            <w:tcBorders>
              <w:left w:val="single" w:color="000000" w:sz="8" w:space="0"/>
              <w:right w:val="single" w:color="000000" w:sz="8" w:space="0"/>
            </w:tcBorders>
            <w:vAlign w:val="center"/>
          </w:tcPr>
          <w:p w14:paraId="30B8E50F">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08BA9D00">
            <w:pPr>
              <w:spacing w:line="320" w:lineRule="exact"/>
              <w:jc w:val="center"/>
              <w:rPr>
                <w:rFonts w:hint="eastAsia" w:ascii="宋体" w:hAnsi="宋体" w:eastAsia="宋体"/>
                <w:sz w:val="20"/>
                <w:szCs w:val="20"/>
                <w:lang w:val="en-US" w:eastAsia="zh-CN"/>
              </w:rPr>
            </w:pPr>
            <w:r>
              <w:rPr>
                <w:sz w:val="20"/>
                <w:szCs w:val="20"/>
              </w:rPr>
              <w:t>序号</w:t>
            </w:r>
          </w:p>
        </w:tc>
        <w:tc>
          <w:tcPr>
            <w:tcW w:w="2329" w:type="dxa"/>
            <w:tcBorders>
              <w:top w:val="single" w:color="000000" w:sz="8" w:space="0"/>
              <w:left w:val="single" w:color="000000" w:sz="8" w:space="0"/>
              <w:bottom w:val="single" w:color="000000" w:sz="8" w:space="0"/>
              <w:right w:val="single" w:color="000000" w:sz="8" w:space="0"/>
            </w:tcBorders>
            <w:vAlign w:val="center"/>
          </w:tcPr>
          <w:p w14:paraId="599809BB">
            <w:pPr>
              <w:spacing w:line="320" w:lineRule="exact"/>
              <w:jc w:val="center"/>
            </w:pPr>
            <w:r>
              <w:rPr>
                <w:sz w:val="20"/>
                <w:szCs w:val="20"/>
              </w:rPr>
              <w:t>评分因素</w:t>
            </w:r>
          </w:p>
        </w:tc>
        <w:tc>
          <w:tcPr>
            <w:tcW w:w="934" w:type="dxa"/>
            <w:tcBorders>
              <w:top w:val="single" w:color="000000" w:sz="8" w:space="0"/>
              <w:left w:val="single" w:color="000000" w:sz="8" w:space="0"/>
              <w:bottom w:val="single" w:color="000000" w:sz="8" w:space="0"/>
              <w:right w:val="single" w:color="000000" w:sz="8" w:space="0"/>
            </w:tcBorders>
            <w:vAlign w:val="center"/>
          </w:tcPr>
          <w:p w14:paraId="0BB56D3B">
            <w:pPr>
              <w:spacing w:line="320" w:lineRule="exact"/>
              <w:jc w:val="center"/>
            </w:pPr>
            <w:r>
              <w:rPr>
                <w:sz w:val="20"/>
                <w:szCs w:val="20"/>
              </w:rPr>
              <w:t>权重(%)</w:t>
            </w:r>
          </w:p>
        </w:tc>
        <w:tc>
          <w:tcPr>
            <w:tcW w:w="5505" w:type="dxa"/>
            <w:tcBorders>
              <w:top w:val="single" w:color="000000" w:sz="8" w:space="0"/>
              <w:left w:val="single" w:color="000000" w:sz="8" w:space="0"/>
              <w:bottom w:val="single" w:color="000000" w:sz="8" w:space="0"/>
              <w:right w:val="single" w:color="000000" w:sz="8" w:space="0"/>
            </w:tcBorders>
            <w:vAlign w:val="center"/>
          </w:tcPr>
          <w:p w14:paraId="07AE49C2">
            <w:pPr>
              <w:spacing w:line="320" w:lineRule="exact"/>
              <w:jc w:val="center"/>
              <w:rPr>
                <w:rFonts w:hint="default" w:ascii="宋体" w:hAnsi="宋体" w:eastAsia="宋体"/>
                <w:sz w:val="24"/>
                <w:szCs w:val="24"/>
                <w:lang w:val="en-US" w:eastAsia="zh-CN"/>
              </w:rPr>
            </w:pPr>
            <w:r>
              <w:rPr>
                <w:sz w:val="20"/>
                <w:szCs w:val="20"/>
              </w:rPr>
              <w:t>评分准则</w:t>
            </w:r>
          </w:p>
        </w:tc>
      </w:tr>
      <w:tr w14:paraId="5EE56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890" w:hRule="atLeast"/>
          <w:jc w:val="center"/>
        </w:trPr>
        <w:tc>
          <w:tcPr>
            <w:tcW w:w="965" w:type="dxa"/>
            <w:vMerge w:val="continue"/>
            <w:tcBorders>
              <w:left w:val="single" w:color="000000" w:sz="8" w:space="0"/>
              <w:right w:val="single" w:color="000000" w:sz="8" w:space="0"/>
            </w:tcBorders>
            <w:vAlign w:val="center"/>
          </w:tcPr>
          <w:p w14:paraId="7E415CCC">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5A00E258">
            <w:pPr>
              <w:spacing w:line="320" w:lineRule="exact"/>
              <w:jc w:val="center"/>
              <w:rPr>
                <w:rFonts w:hint="default" w:ascii="宋体" w:hAnsi="宋体" w:eastAsia="宋体"/>
                <w:sz w:val="20"/>
                <w:szCs w:val="20"/>
                <w:lang w:val="en-US" w:eastAsia="zh-CN"/>
              </w:rPr>
            </w:pPr>
            <w:r>
              <w:rPr>
                <w:rFonts w:ascii="宋体" w:hAnsi="宋体"/>
                <w:sz w:val="20"/>
                <w:szCs w:val="20"/>
              </w:rPr>
              <w:t>1</w:t>
            </w:r>
          </w:p>
        </w:tc>
        <w:tc>
          <w:tcPr>
            <w:tcW w:w="2329" w:type="dxa"/>
            <w:tcBorders>
              <w:top w:val="single" w:color="000000" w:sz="8" w:space="0"/>
              <w:left w:val="single" w:color="000000" w:sz="8" w:space="0"/>
              <w:bottom w:val="single" w:color="000000" w:sz="8" w:space="0"/>
              <w:right w:val="single" w:color="000000" w:sz="8" w:space="0"/>
            </w:tcBorders>
            <w:vAlign w:val="center"/>
          </w:tcPr>
          <w:p w14:paraId="0C3BB756">
            <w:pPr>
              <w:spacing w:line="320" w:lineRule="exact"/>
              <w:jc w:val="center"/>
            </w:pPr>
            <w:r>
              <w:rPr>
                <w:rFonts w:hint="eastAsia" w:ascii="宋体" w:hAnsi="宋体" w:eastAsia="宋体"/>
                <w:sz w:val="24"/>
                <w:szCs w:val="24"/>
                <w:lang w:val="en-US" w:eastAsia="zh-CN"/>
              </w:rPr>
              <w:t>配送保障</w:t>
            </w:r>
          </w:p>
        </w:tc>
        <w:tc>
          <w:tcPr>
            <w:tcW w:w="934" w:type="dxa"/>
            <w:tcBorders>
              <w:top w:val="single" w:color="000000" w:sz="8" w:space="0"/>
              <w:left w:val="single" w:color="000000" w:sz="8" w:space="0"/>
              <w:bottom w:val="single" w:color="000000" w:sz="8" w:space="0"/>
              <w:right w:val="single" w:color="000000" w:sz="8" w:space="0"/>
            </w:tcBorders>
            <w:vAlign w:val="center"/>
          </w:tcPr>
          <w:p w14:paraId="7FB24BD2">
            <w:pPr>
              <w:spacing w:line="320" w:lineRule="exact"/>
              <w:jc w:val="center"/>
              <w:rPr>
                <w:rFonts w:hint="default"/>
                <w:sz w:val="20"/>
                <w:szCs w:val="20"/>
                <w:lang w:val="en-US" w:eastAsia="zh-CN"/>
              </w:rPr>
            </w:pPr>
            <w:r>
              <w:rPr>
                <w:rFonts w:hint="eastAsia"/>
                <w:sz w:val="20"/>
                <w:szCs w:val="20"/>
                <w:lang w:val="en-US" w:eastAsia="zh-CN"/>
              </w:rPr>
              <w:t>10</w:t>
            </w:r>
          </w:p>
        </w:tc>
        <w:tc>
          <w:tcPr>
            <w:tcW w:w="5505" w:type="dxa"/>
            <w:tcBorders>
              <w:top w:val="single" w:color="000000" w:sz="8" w:space="0"/>
              <w:left w:val="single" w:color="000000" w:sz="8" w:space="0"/>
              <w:bottom w:val="single" w:color="000000" w:sz="8" w:space="0"/>
              <w:right w:val="single" w:color="000000" w:sz="8" w:space="0"/>
            </w:tcBorders>
            <w:vAlign w:val="top"/>
          </w:tcPr>
          <w:p w14:paraId="172B5695">
            <w:pPr>
              <w:spacing w:line="320" w:lineRule="exact"/>
              <w:rPr>
                <w:rFonts w:hint="eastAsia" w:eastAsia="宋体"/>
                <w:lang w:val="en-US" w:eastAsia="zh-CN"/>
              </w:rPr>
            </w:pPr>
            <w:r>
              <w:rPr>
                <w:rFonts w:hint="eastAsia" w:eastAsia="宋体"/>
                <w:lang w:val="en-US" w:eastAsia="zh-CN"/>
              </w:rPr>
              <w:t>（一）评分内容：</w:t>
            </w:r>
          </w:p>
          <w:p w14:paraId="6A887565">
            <w:pPr>
              <w:spacing w:line="320" w:lineRule="exact"/>
              <w:rPr>
                <w:rFonts w:hint="eastAsia" w:eastAsia="宋体"/>
                <w:lang w:val="en-US" w:eastAsia="zh-CN"/>
              </w:rPr>
            </w:pPr>
            <w:r>
              <w:rPr>
                <w:rFonts w:hint="eastAsia" w:eastAsia="宋体"/>
                <w:lang w:val="en-US" w:eastAsia="zh-CN"/>
              </w:rPr>
              <w:t>具有足够的车辆保障自由运输配送或外包专业运输配送。（</w:t>
            </w:r>
            <w:r>
              <w:rPr>
                <w:rFonts w:hint="eastAsia"/>
                <w:lang w:val="en-US" w:eastAsia="zh-CN"/>
              </w:rPr>
              <w:t>5</w:t>
            </w:r>
            <w:r>
              <w:rPr>
                <w:rFonts w:hint="eastAsia" w:eastAsia="宋体"/>
                <w:lang w:val="en-US" w:eastAsia="zh-CN"/>
              </w:rPr>
              <w:t>分）</w:t>
            </w:r>
          </w:p>
          <w:p w14:paraId="4DB958F8">
            <w:pPr>
              <w:spacing w:line="320" w:lineRule="exact"/>
              <w:rPr>
                <w:rFonts w:hint="eastAsia" w:eastAsia="宋体"/>
                <w:lang w:val="en-US" w:eastAsia="zh-CN"/>
              </w:rPr>
            </w:pPr>
            <w:r>
              <w:rPr>
                <w:rFonts w:hint="eastAsia" w:eastAsia="宋体"/>
                <w:lang w:val="en-US" w:eastAsia="zh-CN"/>
              </w:rPr>
              <w:t>（二）评分依据：</w:t>
            </w:r>
          </w:p>
          <w:p w14:paraId="0CD4D55E">
            <w:pPr>
              <w:spacing w:line="320" w:lineRule="exact"/>
              <w:rPr>
                <w:rFonts w:hint="eastAsia" w:ascii="宋体" w:hAnsi="宋体" w:eastAsia="宋体"/>
                <w:sz w:val="24"/>
                <w:szCs w:val="24"/>
                <w:lang w:val="en-US" w:eastAsia="zh-CN"/>
              </w:rPr>
            </w:pPr>
            <w:r>
              <w:rPr>
                <w:rFonts w:hint="eastAsia" w:eastAsia="宋体"/>
                <w:lang w:val="en-US" w:eastAsia="zh-CN"/>
              </w:rPr>
              <w:t>企业可自由运输或外包专业运输得</w:t>
            </w:r>
            <w:r>
              <w:rPr>
                <w:rFonts w:hint="eastAsia"/>
                <w:lang w:val="en-US" w:eastAsia="zh-CN"/>
              </w:rPr>
              <w:t>5</w:t>
            </w:r>
            <w:r>
              <w:rPr>
                <w:rFonts w:hint="eastAsia" w:eastAsia="宋体"/>
                <w:lang w:val="en-US" w:eastAsia="zh-CN"/>
              </w:rPr>
              <w:t>分，不能满足不得分。</w:t>
            </w:r>
          </w:p>
        </w:tc>
      </w:tr>
      <w:tr w14:paraId="0BB69D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96" w:hRule="atLeast"/>
          <w:jc w:val="center"/>
        </w:trPr>
        <w:tc>
          <w:tcPr>
            <w:tcW w:w="965" w:type="dxa"/>
            <w:vMerge w:val="continue"/>
            <w:tcBorders>
              <w:left w:val="single" w:color="000000" w:sz="8" w:space="0"/>
              <w:right w:val="single" w:color="000000" w:sz="8" w:space="0"/>
            </w:tcBorders>
            <w:vAlign w:val="center"/>
          </w:tcPr>
          <w:p w14:paraId="7C6679D8">
            <w:pPr>
              <w:spacing w:line="320" w:lineRule="exact"/>
              <w:rPr>
                <w:rFonts w:hint="eastAsia" w:ascii="宋体" w:hAnsi="宋体" w:eastAsia="宋体"/>
                <w:sz w:val="24"/>
                <w:szCs w:val="24"/>
                <w:lang w:val="en-US" w:eastAsia="zh-CN"/>
              </w:rPr>
            </w:pPr>
          </w:p>
        </w:tc>
        <w:tc>
          <w:tcPr>
            <w:tcW w:w="892" w:type="dxa"/>
            <w:tcBorders>
              <w:left w:val="single" w:color="000000" w:sz="8" w:space="0"/>
              <w:right w:val="single" w:color="000000" w:sz="8" w:space="0"/>
            </w:tcBorders>
            <w:vAlign w:val="center"/>
          </w:tcPr>
          <w:p w14:paraId="41F3D238">
            <w:pPr>
              <w:spacing w:line="320" w:lineRule="exact"/>
              <w:jc w:val="center"/>
            </w:pPr>
            <w:r>
              <w:rPr>
                <w:rFonts w:hint="eastAsia" w:ascii="宋体" w:hAnsi="宋体"/>
                <w:sz w:val="20"/>
                <w:szCs w:val="20"/>
              </w:rPr>
              <w:t>2</w:t>
            </w:r>
          </w:p>
        </w:tc>
        <w:tc>
          <w:tcPr>
            <w:tcW w:w="2329" w:type="dxa"/>
            <w:tcBorders>
              <w:left w:val="single" w:color="000000" w:sz="8" w:space="0"/>
              <w:right w:val="single" w:color="000000" w:sz="8" w:space="0"/>
            </w:tcBorders>
            <w:vAlign w:val="center"/>
          </w:tcPr>
          <w:p w14:paraId="63B8C544">
            <w:pPr>
              <w:spacing w:line="320" w:lineRule="exact"/>
              <w:jc w:val="center"/>
            </w:pPr>
            <w:r>
              <w:rPr>
                <w:rFonts w:hint="eastAsia" w:ascii="宋体" w:hAnsi="宋体" w:eastAsia="宋体"/>
                <w:sz w:val="24"/>
                <w:szCs w:val="24"/>
                <w:lang w:val="en-US" w:eastAsia="zh-CN"/>
              </w:rPr>
              <w:t>产品质检</w:t>
            </w:r>
          </w:p>
        </w:tc>
        <w:tc>
          <w:tcPr>
            <w:tcW w:w="934" w:type="dxa"/>
            <w:tcBorders>
              <w:left w:val="single" w:color="000000" w:sz="8" w:space="0"/>
              <w:right w:val="single" w:color="000000" w:sz="8" w:space="0"/>
            </w:tcBorders>
            <w:vAlign w:val="center"/>
          </w:tcPr>
          <w:p w14:paraId="73562689">
            <w:pPr>
              <w:spacing w:line="320" w:lineRule="exact"/>
              <w:jc w:val="center"/>
              <w:rPr>
                <w:rFonts w:hint="default"/>
                <w:sz w:val="20"/>
                <w:szCs w:val="20"/>
                <w:lang w:val="en-US" w:eastAsia="zh-CN"/>
              </w:rPr>
            </w:pPr>
            <w:r>
              <w:rPr>
                <w:rFonts w:hint="eastAsia"/>
                <w:sz w:val="20"/>
                <w:szCs w:val="20"/>
                <w:lang w:val="en-US" w:eastAsia="zh-CN"/>
              </w:rPr>
              <w:t>20</w:t>
            </w:r>
          </w:p>
        </w:tc>
        <w:tc>
          <w:tcPr>
            <w:tcW w:w="5505" w:type="dxa"/>
            <w:tcBorders>
              <w:left w:val="single" w:color="000000" w:sz="8" w:space="0"/>
              <w:right w:val="single" w:color="000000" w:sz="8" w:space="0"/>
            </w:tcBorders>
            <w:vAlign w:val="top"/>
          </w:tcPr>
          <w:p w14:paraId="59E03239">
            <w:pPr>
              <w:spacing w:line="320" w:lineRule="exact"/>
              <w:rPr>
                <w:rFonts w:hint="eastAsia" w:eastAsia="宋体"/>
                <w:lang w:val="en-US" w:eastAsia="zh-CN"/>
              </w:rPr>
            </w:pPr>
            <w:r>
              <w:rPr>
                <w:rFonts w:hint="eastAsia" w:eastAsia="宋体"/>
                <w:lang w:val="en-US" w:eastAsia="zh-CN"/>
              </w:rPr>
              <w:t>（一）评分内容：</w:t>
            </w:r>
          </w:p>
          <w:p w14:paraId="08E2E43F">
            <w:pPr>
              <w:spacing w:line="320" w:lineRule="exact"/>
              <w:rPr>
                <w:rFonts w:hint="eastAsia" w:eastAsia="宋体"/>
                <w:lang w:val="en-US" w:eastAsia="zh-CN"/>
              </w:rPr>
            </w:pPr>
            <w:r>
              <w:rPr>
                <w:rFonts w:hint="eastAsia" w:eastAsia="宋体"/>
                <w:lang w:val="en-US" w:eastAsia="zh-CN"/>
              </w:rPr>
              <w:t>1.蔬菜、鲜肉类产品质检（</w:t>
            </w:r>
            <w:r>
              <w:rPr>
                <w:rFonts w:hint="eastAsia"/>
                <w:lang w:val="en-US" w:eastAsia="zh-CN"/>
              </w:rPr>
              <w:t>10</w:t>
            </w:r>
            <w:r>
              <w:rPr>
                <w:rFonts w:hint="eastAsia" w:eastAsia="宋体"/>
                <w:lang w:val="en-US" w:eastAsia="zh-CN"/>
              </w:rPr>
              <w:t>分）</w:t>
            </w:r>
          </w:p>
          <w:p w14:paraId="64AAE5D9">
            <w:pPr>
              <w:spacing w:line="320" w:lineRule="exact"/>
              <w:rPr>
                <w:rFonts w:hint="eastAsia" w:eastAsia="宋体"/>
                <w:lang w:val="en-US" w:eastAsia="zh-CN"/>
              </w:rPr>
            </w:pPr>
            <w:r>
              <w:rPr>
                <w:rFonts w:hint="eastAsia" w:eastAsia="宋体"/>
                <w:lang w:val="en-US" w:eastAsia="zh-CN"/>
              </w:rPr>
              <w:t>2.干货、粮油产品质检。（</w:t>
            </w:r>
            <w:r>
              <w:rPr>
                <w:rFonts w:hint="eastAsia"/>
                <w:lang w:val="en-US" w:eastAsia="zh-CN"/>
              </w:rPr>
              <w:t>10</w:t>
            </w:r>
            <w:r>
              <w:rPr>
                <w:rFonts w:hint="eastAsia" w:eastAsia="宋体"/>
                <w:lang w:val="en-US" w:eastAsia="zh-CN"/>
              </w:rPr>
              <w:t>分）</w:t>
            </w:r>
          </w:p>
          <w:p w14:paraId="3A2CB31A">
            <w:pPr>
              <w:spacing w:line="320" w:lineRule="exact"/>
              <w:rPr>
                <w:rFonts w:hint="eastAsia" w:eastAsia="宋体"/>
                <w:lang w:val="en-US" w:eastAsia="zh-CN"/>
              </w:rPr>
            </w:pPr>
            <w:r>
              <w:rPr>
                <w:rFonts w:hint="eastAsia" w:eastAsia="宋体"/>
                <w:lang w:val="en-US" w:eastAsia="zh-CN"/>
              </w:rPr>
              <w:t>（二）评分依据：</w:t>
            </w:r>
          </w:p>
          <w:p w14:paraId="761A5393">
            <w:pPr>
              <w:spacing w:line="320" w:lineRule="exact"/>
            </w:pPr>
            <w:r>
              <w:rPr>
                <w:rFonts w:hint="eastAsia" w:eastAsia="宋体"/>
                <w:lang w:val="en-US" w:eastAsia="zh-CN"/>
              </w:rPr>
              <w:t>提供最近1年项目中蔬菜、鲜肉类产品每日质检报告，得</w:t>
            </w:r>
            <w:r>
              <w:rPr>
                <w:rFonts w:hint="eastAsia"/>
                <w:lang w:val="en-US" w:eastAsia="zh-CN"/>
              </w:rPr>
              <w:t>7</w:t>
            </w:r>
            <w:r>
              <w:rPr>
                <w:rFonts w:hint="eastAsia" w:eastAsia="宋体"/>
                <w:lang w:val="en-US" w:eastAsia="zh-CN"/>
              </w:rPr>
              <w:t>分；提供最近1年项目中干货、粮油质检报告（至少半年一检），得</w:t>
            </w:r>
            <w:r>
              <w:rPr>
                <w:rFonts w:hint="eastAsia"/>
                <w:lang w:val="en-US" w:eastAsia="zh-CN"/>
              </w:rPr>
              <w:t>7</w:t>
            </w:r>
            <w:r>
              <w:rPr>
                <w:rFonts w:hint="eastAsia" w:eastAsia="宋体"/>
                <w:lang w:val="en-US" w:eastAsia="zh-CN"/>
              </w:rPr>
              <w:t>分。缺少质检报告不得分，</w:t>
            </w:r>
          </w:p>
        </w:tc>
      </w:tr>
      <w:tr w14:paraId="6C949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96" w:hRule="atLeast"/>
          <w:jc w:val="center"/>
        </w:trPr>
        <w:tc>
          <w:tcPr>
            <w:tcW w:w="965" w:type="dxa"/>
            <w:vMerge w:val="continue"/>
            <w:tcBorders>
              <w:left w:val="single" w:color="000000" w:sz="8" w:space="0"/>
              <w:bottom w:val="single" w:color="000000" w:sz="8" w:space="0"/>
              <w:right w:val="single" w:color="000000" w:sz="8" w:space="0"/>
            </w:tcBorders>
            <w:vAlign w:val="center"/>
          </w:tcPr>
          <w:p w14:paraId="60E09B05">
            <w:pPr>
              <w:spacing w:line="320" w:lineRule="exact"/>
              <w:rPr>
                <w:rFonts w:hint="eastAsia" w:ascii="宋体" w:hAnsi="宋体" w:eastAsia="宋体"/>
                <w:sz w:val="24"/>
                <w:szCs w:val="24"/>
                <w:lang w:val="en-US" w:eastAsia="zh-CN"/>
              </w:rPr>
            </w:pPr>
          </w:p>
        </w:tc>
        <w:tc>
          <w:tcPr>
            <w:tcW w:w="892" w:type="dxa"/>
            <w:tcBorders>
              <w:left w:val="single" w:color="000000" w:sz="8" w:space="0"/>
              <w:bottom w:val="single" w:color="000000" w:sz="8" w:space="0"/>
              <w:right w:val="single" w:color="000000" w:sz="8" w:space="0"/>
            </w:tcBorders>
            <w:vAlign w:val="center"/>
          </w:tcPr>
          <w:p w14:paraId="301F15BD">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2329" w:type="dxa"/>
            <w:tcBorders>
              <w:left w:val="single" w:color="000000" w:sz="8" w:space="0"/>
              <w:bottom w:val="single" w:color="000000" w:sz="8" w:space="0"/>
              <w:right w:val="single" w:color="000000" w:sz="8" w:space="0"/>
            </w:tcBorders>
            <w:vAlign w:val="center"/>
          </w:tcPr>
          <w:p w14:paraId="5636F75E">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食品安全承诺</w:t>
            </w:r>
          </w:p>
        </w:tc>
        <w:tc>
          <w:tcPr>
            <w:tcW w:w="934" w:type="dxa"/>
            <w:tcBorders>
              <w:left w:val="single" w:color="000000" w:sz="8" w:space="0"/>
              <w:bottom w:val="single" w:color="000000" w:sz="8" w:space="0"/>
              <w:right w:val="single" w:color="000000" w:sz="8" w:space="0"/>
            </w:tcBorders>
            <w:vAlign w:val="center"/>
          </w:tcPr>
          <w:p w14:paraId="652FD74C">
            <w:pPr>
              <w:spacing w:line="320" w:lineRule="exact"/>
              <w:jc w:val="center"/>
              <w:rPr>
                <w:rFonts w:hint="default" w:ascii="宋体" w:hAnsi="宋体"/>
                <w:sz w:val="20"/>
                <w:szCs w:val="20"/>
                <w:lang w:val="en-US" w:eastAsia="zh-CN"/>
              </w:rPr>
            </w:pPr>
            <w:r>
              <w:rPr>
                <w:rFonts w:hint="eastAsia"/>
                <w:sz w:val="20"/>
                <w:szCs w:val="20"/>
                <w:lang w:val="en-US" w:eastAsia="zh-CN"/>
              </w:rPr>
              <w:t>10</w:t>
            </w:r>
          </w:p>
        </w:tc>
        <w:tc>
          <w:tcPr>
            <w:tcW w:w="5505" w:type="dxa"/>
            <w:tcBorders>
              <w:left w:val="single" w:color="000000" w:sz="8" w:space="0"/>
              <w:bottom w:val="single" w:color="000000" w:sz="8" w:space="0"/>
              <w:right w:val="single" w:color="000000" w:sz="8" w:space="0"/>
            </w:tcBorders>
            <w:vAlign w:val="top"/>
          </w:tcPr>
          <w:p w14:paraId="5DB01E68">
            <w:pPr>
              <w:spacing w:line="320" w:lineRule="exact"/>
              <w:rPr>
                <w:rFonts w:hint="eastAsia" w:eastAsia="宋体"/>
                <w:lang w:val="en-US" w:eastAsia="zh-CN"/>
              </w:rPr>
            </w:pPr>
            <w:r>
              <w:rPr>
                <w:rFonts w:hint="eastAsia" w:eastAsia="宋体"/>
                <w:lang w:val="en-US" w:eastAsia="zh-CN"/>
              </w:rPr>
              <w:t>（一）评分内容：</w:t>
            </w:r>
          </w:p>
          <w:p w14:paraId="11558388">
            <w:pPr>
              <w:spacing w:line="320" w:lineRule="exact"/>
              <w:rPr>
                <w:rFonts w:hint="eastAsia" w:eastAsia="宋体"/>
                <w:lang w:val="en-US" w:eastAsia="zh-CN"/>
              </w:rPr>
            </w:pPr>
            <w:r>
              <w:rPr>
                <w:rFonts w:hint="eastAsia" w:eastAsia="宋体"/>
                <w:lang w:val="en-US" w:eastAsia="zh-CN"/>
              </w:rPr>
              <w:t>1.食品安全承诺书（</w:t>
            </w:r>
            <w:r>
              <w:rPr>
                <w:rFonts w:hint="eastAsia"/>
                <w:lang w:val="en-US" w:eastAsia="zh-CN"/>
              </w:rPr>
              <w:t>5</w:t>
            </w:r>
            <w:r>
              <w:rPr>
                <w:rFonts w:hint="eastAsia" w:eastAsia="宋体"/>
                <w:lang w:val="en-US" w:eastAsia="zh-CN"/>
              </w:rPr>
              <w:t>分）</w:t>
            </w:r>
          </w:p>
          <w:p w14:paraId="66F1EA11">
            <w:pPr>
              <w:spacing w:line="320" w:lineRule="exact"/>
              <w:rPr>
                <w:rFonts w:hint="eastAsia" w:eastAsia="宋体"/>
                <w:lang w:val="en-US" w:eastAsia="zh-CN"/>
              </w:rPr>
            </w:pPr>
            <w:r>
              <w:rPr>
                <w:rFonts w:hint="eastAsia" w:eastAsia="宋体"/>
                <w:lang w:val="en-US" w:eastAsia="zh-CN"/>
              </w:rPr>
              <w:t>2.服务承诺书。（</w:t>
            </w:r>
            <w:r>
              <w:rPr>
                <w:rFonts w:hint="eastAsia"/>
                <w:lang w:val="en-US" w:eastAsia="zh-CN"/>
              </w:rPr>
              <w:t>5</w:t>
            </w:r>
            <w:r>
              <w:rPr>
                <w:rFonts w:hint="eastAsia" w:eastAsia="宋体"/>
                <w:lang w:val="en-US" w:eastAsia="zh-CN"/>
              </w:rPr>
              <w:t>分）</w:t>
            </w:r>
          </w:p>
          <w:p w14:paraId="7EA4022A">
            <w:pPr>
              <w:spacing w:line="320" w:lineRule="exact"/>
              <w:rPr>
                <w:rFonts w:hint="eastAsia" w:eastAsia="宋体"/>
                <w:lang w:val="en-US" w:eastAsia="zh-CN"/>
              </w:rPr>
            </w:pPr>
            <w:r>
              <w:rPr>
                <w:rFonts w:hint="eastAsia" w:eastAsia="宋体"/>
                <w:lang w:val="en-US" w:eastAsia="zh-CN"/>
              </w:rPr>
              <w:t>（二）评分依据：</w:t>
            </w:r>
          </w:p>
          <w:p w14:paraId="734E1281">
            <w:pPr>
              <w:spacing w:line="320" w:lineRule="exact"/>
              <w:rPr>
                <w:rFonts w:hint="eastAsia" w:ascii="宋体" w:hAnsi="宋体" w:eastAsia="宋体" w:cs="宋体"/>
                <w:sz w:val="24"/>
                <w:szCs w:val="24"/>
                <w:lang w:val="en-US" w:eastAsia="zh-CN"/>
              </w:rPr>
            </w:pPr>
            <w:r>
              <w:rPr>
                <w:rFonts w:hint="eastAsia" w:eastAsia="宋体"/>
                <w:lang w:val="en-US" w:eastAsia="zh-CN"/>
              </w:rPr>
              <w:t>提供企业食品安全承诺书和服务承诺书，文件齐全得</w:t>
            </w:r>
            <w:r>
              <w:rPr>
                <w:rFonts w:hint="eastAsia"/>
                <w:lang w:val="en-US" w:eastAsia="zh-CN"/>
              </w:rPr>
              <w:t>8</w:t>
            </w:r>
            <w:r>
              <w:rPr>
                <w:rFonts w:hint="eastAsia" w:eastAsia="宋体"/>
                <w:lang w:val="en-US" w:eastAsia="zh-CN"/>
              </w:rPr>
              <w:t>分，文件缺少不得分，</w:t>
            </w:r>
          </w:p>
        </w:tc>
      </w:tr>
    </w:tbl>
    <w:p w14:paraId="0AD527FB">
      <w:pPr>
        <w:pStyle w:val="7"/>
        <w:rPr>
          <w:rFonts w:hint="eastAsia"/>
          <w:lang w:val="en-US" w:eastAsia="zh-CN"/>
        </w:rPr>
      </w:pPr>
    </w:p>
    <w:p w14:paraId="4AC3845B">
      <w:pPr>
        <w:pStyle w:val="7"/>
        <w:rPr>
          <w:rFonts w:hint="eastAsia"/>
          <w:lang w:val="en-US" w:eastAsia="zh-CN"/>
        </w:rPr>
      </w:pPr>
    </w:p>
    <w:p w14:paraId="4683A3D0">
      <w:pPr>
        <w:jc w:val="center"/>
        <w:rPr>
          <w:rFonts w:ascii="仿宋" w:hAnsi="仿宋" w:eastAsia="仿宋" w:cs="仿宋"/>
          <w:b/>
          <w:sz w:val="28"/>
          <w:szCs w:val="28"/>
        </w:rPr>
      </w:pPr>
      <w:r>
        <w:rPr>
          <w:rFonts w:hint="eastAsia" w:ascii="仿宋" w:hAnsi="仿宋" w:eastAsia="仿宋" w:cs="仿宋"/>
          <w:b/>
          <w:sz w:val="28"/>
          <w:szCs w:val="28"/>
        </w:rPr>
        <w:t>第六部分 合同书签订</w:t>
      </w:r>
    </w:p>
    <w:p w14:paraId="46BEAF64">
      <w:pPr>
        <w:numPr>
          <w:ilvl w:val="0"/>
          <w:numId w:val="5"/>
        </w:numPr>
        <w:tabs>
          <w:tab w:val="left" w:pos="7740"/>
        </w:tabs>
        <w:rPr>
          <w:rFonts w:ascii="仿宋" w:hAnsi="仿宋" w:eastAsia="仿宋" w:cs="仿宋"/>
          <w:sz w:val="28"/>
          <w:szCs w:val="28"/>
        </w:rPr>
      </w:pPr>
      <w:r>
        <w:rPr>
          <w:rFonts w:hint="eastAsia" w:ascii="仿宋" w:hAnsi="仿宋" w:eastAsia="仿宋" w:cs="仿宋"/>
          <w:sz w:val="28"/>
          <w:szCs w:val="28"/>
        </w:rPr>
        <w:t>中标人应当按照招标文件和《中标通知书》与采购单位签订合同。</w:t>
      </w:r>
    </w:p>
    <w:p w14:paraId="64BA9FCD">
      <w:pPr>
        <w:numPr>
          <w:ilvl w:val="0"/>
          <w:numId w:val="5"/>
        </w:numPr>
        <w:tabs>
          <w:tab w:val="left" w:pos="7740"/>
        </w:tabs>
        <w:rPr>
          <w:rFonts w:ascii="仿宋" w:hAnsi="仿宋" w:eastAsia="仿宋" w:cs="仿宋"/>
          <w:sz w:val="28"/>
          <w:szCs w:val="28"/>
        </w:rPr>
      </w:pPr>
      <w:r>
        <w:rPr>
          <w:rFonts w:hint="eastAsia" w:ascii="仿宋" w:hAnsi="仿宋" w:eastAsia="仿宋" w:cs="仿宋"/>
          <w:sz w:val="28"/>
          <w:szCs w:val="28"/>
        </w:rPr>
        <w:t>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14:paraId="047E208F">
      <w:pPr>
        <w:numPr>
          <w:ilvl w:val="0"/>
          <w:numId w:val="5"/>
        </w:numPr>
        <w:tabs>
          <w:tab w:val="left" w:pos="7740"/>
        </w:tabs>
        <w:rPr>
          <w:rFonts w:ascii="仿宋" w:hAnsi="仿宋" w:eastAsia="仿宋" w:cs="仿宋"/>
          <w:sz w:val="28"/>
          <w:szCs w:val="28"/>
        </w:rPr>
      </w:pPr>
      <w:r>
        <w:rPr>
          <w:rFonts w:hint="eastAsia" w:ascii="仿宋" w:hAnsi="仿宋" w:eastAsia="仿宋" w:cs="仿宋"/>
          <w:sz w:val="28"/>
          <w:szCs w:val="28"/>
        </w:rPr>
        <w:t>在不背离招标文件和投标文件的实质性内容前提下,采购单位对有关内容有权做出必要的细化和补充。</w:t>
      </w:r>
    </w:p>
    <w:p w14:paraId="71D633FE">
      <w:pPr>
        <w:pStyle w:val="6"/>
        <w:rPr>
          <w:rFonts w:ascii="仿宋" w:hAnsi="仿宋" w:eastAsia="仿宋" w:cs="仿宋"/>
          <w:sz w:val="28"/>
          <w:szCs w:val="28"/>
        </w:rPr>
      </w:pPr>
    </w:p>
    <w:p w14:paraId="2978623A">
      <w:pPr>
        <w:pStyle w:val="7"/>
        <w:rPr>
          <w:rFonts w:ascii="仿宋" w:hAnsi="仿宋" w:eastAsia="仿宋" w:cs="仿宋"/>
          <w:sz w:val="28"/>
          <w:szCs w:val="28"/>
        </w:rPr>
      </w:pPr>
    </w:p>
    <w:p w14:paraId="2A0699E1">
      <w:pPr>
        <w:pStyle w:val="7"/>
        <w:rPr>
          <w:rFonts w:ascii="仿宋" w:hAnsi="仿宋" w:eastAsia="仿宋" w:cs="仿宋"/>
          <w:sz w:val="28"/>
          <w:szCs w:val="28"/>
        </w:rPr>
      </w:pPr>
    </w:p>
    <w:p w14:paraId="4757B3BD">
      <w:pPr>
        <w:pStyle w:val="7"/>
        <w:rPr>
          <w:rFonts w:ascii="仿宋" w:hAnsi="仿宋" w:eastAsia="仿宋" w:cs="仿宋"/>
          <w:sz w:val="28"/>
          <w:szCs w:val="28"/>
        </w:rPr>
      </w:pPr>
    </w:p>
    <w:p w14:paraId="4C07A804">
      <w:pPr>
        <w:jc w:val="center"/>
      </w:pPr>
      <w:r>
        <w:rPr>
          <w:rFonts w:hint="eastAsia" w:ascii="仿宋" w:hAnsi="仿宋" w:eastAsia="仿宋" w:cs="仿宋"/>
          <w:b/>
          <w:sz w:val="28"/>
          <w:szCs w:val="28"/>
        </w:rPr>
        <w:t>第七部分  投标文件格式</w:t>
      </w:r>
    </w:p>
    <w:p w14:paraId="454C0B5F">
      <w:pPr>
        <w:pStyle w:val="6"/>
      </w:pPr>
    </w:p>
    <w:p w14:paraId="460AA629">
      <w:pPr>
        <w:pStyle w:val="6"/>
      </w:pPr>
    </w:p>
    <w:p w14:paraId="31C41F4B">
      <w:pPr>
        <w:pStyle w:val="6"/>
      </w:pPr>
    </w:p>
    <w:p w14:paraId="2777430B">
      <w:pPr>
        <w:pStyle w:val="6"/>
      </w:pPr>
    </w:p>
    <w:p w14:paraId="08E869AE">
      <w:pPr>
        <w:rPr>
          <w:rFonts w:ascii="仿宋" w:hAnsi="仿宋" w:eastAsia="仿宋" w:cs="仿宋"/>
          <w:color w:val="000000"/>
        </w:rPr>
      </w:pPr>
    </w:p>
    <w:p w14:paraId="3471637C">
      <w:pPr>
        <w:pStyle w:val="8"/>
        <w:tabs>
          <w:tab w:val="left" w:pos="1260"/>
        </w:tabs>
        <w:spacing w:line="360" w:lineRule="auto"/>
        <w:jc w:val="both"/>
        <w:rPr>
          <w:rFonts w:ascii="仿宋" w:hAnsi="仿宋" w:eastAsia="仿宋" w:cs="仿宋"/>
          <w:b/>
          <w:color w:val="000000"/>
          <w:spacing w:val="100"/>
          <w:w w:val="110"/>
          <w:kern w:val="0"/>
          <w:sz w:val="44"/>
          <w:szCs w:val="44"/>
        </w:rPr>
      </w:pPr>
    </w:p>
    <w:p w14:paraId="3F05CF2F">
      <w:pPr>
        <w:pStyle w:val="8"/>
        <w:tabs>
          <w:tab w:val="left" w:pos="1260"/>
        </w:tabs>
        <w:spacing w:line="360" w:lineRule="auto"/>
        <w:jc w:val="center"/>
        <w:rPr>
          <w:rFonts w:hint="eastAsia" w:ascii="仿宋" w:hAnsi="仿宋" w:eastAsia="仿宋" w:cs="仿宋"/>
          <w:b/>
          <w:color w:val="000000"/>
          <w:spacing w:val="100"/>
          <w:w w:val="110"/>
          <w:kern w:val="0"/>
          <w:sz w:val="44"/>
          <w:szCs w:val="44"/>
        </w:rPr>
      </w:pPr>
    </w:p>
    <w:p w14:paraId="19C93970">
      <w:pPr>
        <w:pStyle w:val="8"/>
        <w:tabs>
          <w:tab w:val="left" w:pos="1260"/>
        </w:tabs>
        <w:spacing w:line="360" w:lineRule="auto"/>
        <w:jc w:val="center"/>
        <w:rPr>
          <w:rFonts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14:paraId="003943C9">
      <w:pPr>
        <w:rPr>
          <w:rFonts w:ascii="仿宋" w:hAnsi="仿宋" w:eastAsia="仿宋" w:cs="仿宋"/>
          <w:color w:val="000000"/>
        </w:rPr>
      </w:pPr>
    </w:p>
    <w:p w14:paraId="2C35FA08">
      <w:pPr>
        <w:pStyle w:val="8"/>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（正本/副本）</w:t>
      </w:r>
    </w:p>
    <w:p w14:paraId="3077DB15">
      <w:pPr>
        <w:pStyle w:val="8"/>
        <w:spacing w:line="360" w:lineRule="auto"/>
        <w:rPr>
          <w:rFonts w:ascii="仿宋" w:hAnsi="仿宋" w:eastAsia="仿宋" w:cs="仿宋"/>
          <w:b/>
          <w:color w:val="000000"/>
          <w:sz w:val="28"/>
          <w:szCs w:val="28"/>
        </w:rPr>
      </w:pPr>
    </w:p>
    <w:p w14:paraId="231E488F">
      <w:pPr>
        <w:pStyle w:val="8"/>
        <w:spacing w:line="360" w:lineRule="auto"/>
        <w:rPr>
          <w:rFonts w:ascii="仿宋" w:hAnsi="仿宋" w:eastAsia="仿宋" w:cs="仿宋"/>
          <w:b/>
          <w:color w:val="000000"/>
          <w:sz w:val="28"/>
          <w:szCs w:val="28"/>
        </w:rPr>
      </w:pPr>
    </w:p>
    <w:p w14:paraId="17E256CE">
      <w:pPr>
        <w:pStyle w:val="8"/>
        <w:spacing w:line="360" w:lineRule="auto"/>
        <w:rPr>
          <w:rFonts w:ascii="仿宋" w:hAnsi="仿宋" w:eastAsia="仿宋" w:cs="仿宋"/>
          <w:b/>
          <w:color w:val="000000"/>
          <w:sz w:val="28"/>
          <w:szCs w:val="28"/>
        </w:rPr>
      </w:pPr>
    </w:p>
    <w:p w14:paraId="3447DFCD">
      <w:pPr>
        <w:pStyle w:val="8"/>
        <w:spacing w:line="360" w:lineRule="auto"/>
        <w:rPr>
          <w:rFonts w:ascii="仿宋" w:hAnsi="仿宋" w:eastAsia="仿宋" w:cs="仿宋"/>
          <w:b/>
          <w:color w:val="000000"/>
          <w:sz w:val="28"/>
          <w:szCs w:val="28"/>
        </w:rPr>
      </w:pPr>
    </w:p>
    <w:p w14:paraId="7C744751">
      <w:pPr>
        <w:pStyle w:val="8"/>
        <w:spacing w:line="360" w:lineRule="auto"/>
        <w:ind w:firstLine="1661" w:firstLineChars="591"/>
        <w:rPr>
          <w:rFonts w:ascii="仿宋" w:hAnsi="仿宋" w:eastAsia="仿宋" w:cs="仿宋"/>
          <w:b/>
          <w:color w:val="000000"/>
          <w:sz w:val="28"/>
          <w:szCs w:val="28"/>
        </w:rPr>
      </w:pPr>
    </w:p>
    <w:p w14:paraId="7ADC9918">
      <w:pPr>
        <w:pStyle w:val="8"/>
        <w:spacing w:line="360" w:lineRule="auto"/>
        <w:ind w:left="3349" w:leftChars="1098" w:hanging="1043" w:hangingChars="371"/>
        <w:rPr>
          <w:rFonts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14:paraId="4D47D74C">
      <w:pPr>
        <w:pStyle w:val="8"/>
        <w:spacing w:line="360" w:lineRule="auto"/>
        <w:ind w:firstLine="1521" w:firstLineChars="541"/>
        <w:rPr>
          <w:rFonts w:ascii="仿宋" w:hAnsi="仿宋" w:eastAsia="仿宋" w:cs="仿宋"/>
          <w:b/>
          <w:color w:val="000000"/>
          <w:sz w:val="28"/>
          <w:szCs w:val="28"/>
        </w:rPr>
      </w:pPr>
    </w:p>
    <w:p w14:paraId="44772D0B">
      <w:pPr>
        <w:pStyle w:val="8"/>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14:paraId="3FFD9A89">
      <w:pPr>
        <w:autoSpaceDE w:val="0"/>
        <w:autoSpaceDN w:val="0"/>
        <w:spacing w:line="360" w:lineRule="auto"/>
        <w:ind w:firstLine="1521" w:firstLineChars="541"/>
        <w:rPr>
          <w:rFonts w:ascii="仿宋" w:hAnsi="仿宋" w:eastAsia="仿宋" w:cs="仿宋"/>
          <w:b/>
          <w:color w:val="000000"/>
          <w:sz w:val="28"/>
          <w:szCs w:val="28"/>
        </w:rPr>
      </w:pPr>
    </w:p>
    <w:p w14:paraId="6CB39096">
      <w:pPr>
        <w:autoSpaceDE w:val="0"/>
        <w:autoSpaceDN w:val="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14:paraId="1C8F4A57">
      <w:pPr>
        <w:tabs>
          <w:tab w:val="left" w:pos="180"/>
        </w:tabs>
        <w:spacing w:line="360" w:lineRule="auto"/>
        <w:jc w:val="center"/>
        <w:rPr>
          <w:rFonts w:ascii="仿宋" w:hAnsi="仿宋" w:eastAsia="仿宋" w:cs="仿宋"/>
          <w:bCs/>
          <w:color w:val="000000"/>
          <w:kern w:val="0"/>
          <w:sz w:val="28"/>
          <w:szCs w:val="28"/>
        </w:rPr>
      </w:pPr>
      <w:bookmarkStart w:id="1" w:name="OLE_LINK6"/>
      <w:r>
        <w:rPr>
          <w:rFonts w:hint="eastAsia" w:ascii="仿宋" w:hAnsi="仿宋" w:eastAsia="仿宋" w:cs="仿宋"/>
          <w:color w:val="000000"/>
          <w:sz w:val="28"/>
          <w:szCs w:val="28"/>
        </w:rPr>
        <w:br w:type="page"/>
      </w:r>
      <w:r>
        <w:rPr>
          <w:rFonts w:hint="eastAsia" w:ascii="仿宋" w:hAnsi="仿宋" w:eastAsia="仿宋" w:cs="仿宋"/>
          <w:b/>
          <w:color w:val="000000"/>
          <w:kern w:val="0"/>
          <w:sz w:val="28"/>
          <w:szCs w:val="28"/>
          <w:lang w:val="en-US" w:eastAsia="zh-CN"/>
        </w:rPr>
        <w:t>一</w:t>
      </w:r>
      <w:r>
        <w:rPr>
          <w:rFonts w:hint="eastAsia" w:ascii="仿宋" w:hAnsi="仿宋" w:eastAsia="仿宋" w:cs="仿宋"/>
          <w:b/>
          <w:color w:val="000000"/>
          <w:kern w:val="0"/>
          <w:sz w:val="28"/>
          <w:szCs w:val="28"/>
        </w:rPr>
        <w:t>、投标函</w:t>
      </w:r>
      <w:bookmarkEnd w:id="1"/>
    </w:p>
    <w:p w14:paraId="7E94DECE">
      <w:pPr>
        <w:tabs>
          <w:tab w:val="left" w:pos="180"/>
        </w:tabs>
        <w:spacing w:line="360" w:lineRule="auto"/>
        <w:ind w:left="283" w:leftChars="135"/>
        <w:rPr>
          <w:rFonts w:ascii="仿宋" w:hAnsi="仿宋" w:eastAsia="仿宋" w:cs="仿宋"/>
          <w:bCs/>
          <w:color w:val="000000"/>
          <w:kern w:val="0"/>
          <w:sz w:val="28"/>
          <w:szCs w:val="28"/>
        </w:rPr>
      </w:pPr>
    </w:p>
    <w:p w14:paraId="3487161C">
      <w:pPr>
        <w:adjustRightInd w:val="0"/>
        <w:snapToGrid w:val="0"/>
        <w:spacing w:line="360" w:lineRule="auto"/>
        <w:ind w:firstLine="110" w:firstLineChars="50"/>
        <w:rPr>
          <w:rFonts w:ascii="仿宋" w:hAnsi="仿宋" w:eastAsia="仿宋" w:cs="仿宋"/>
          <w:color w:val="000000"/>
          <w:sz w:val="22"/>
          <w:szCs w:val="22"/>
        </w:rPr>
      </w:pPr>
      <w:r>
        <w:rPr>
          <w:rFonts w:hint="eastAsia" w:ascii="仿宋" w:hAnsi="仿宋" w:eastAsia="仿宋" w:cs="仿宋"/>
          <w:color w:val="000000"/>
          <w:sz w:val="22"/>
          <w:szCs w:val="22"/>
          <w:u w:val="single"/>
        </w:rPr>
        <w:t>深圳市广播电视技术中心</w:t>
      </w:r>
      <w:r>
        <w:rPr>
          <w:rFonts w:hint="eastAsia" w:ascii="仿宋" w:hAnsi="仿宋" w:eastAsia="仿宋" w:cs="仿宋"/>
          <w:color w:val="000000"/>
          <w:sz w:val="22"/>
          <w:szCs w:val="22"/>
        </w:rPr>
        <w:t xml:space="preserve">： </w:t>
      </w:r>
    </w:p>
    <w:p w14:paraId="2E444CC8">
      <w:pPr>
        <w:autoSpaceDE w:val="0"/>
        <w:autoSpaceDN w:val="0"/>
        <w:adjustRightInd w:val="0"/>
        <w:spacing w:line="360" w:lineRule="auto"/>
        <w:ind w:right="26" w:firstLine="440" w:firstLineChars="200"/>
        <w:rPr>
          <w:rFonts w:ascii="仿宋" w:hAnsi="仿宋" w:eastAsia="仿宋" w:cs="仿宋"/>
          <w:color w:val="000000"/>
          <w:kern w:val="0"/>
          <w:sz w:val="22"/>
          <w:szCs w:val="22"/>
        </w:rPr>
      </w:pPr>
      <w:r>
        <w:rPr>
          <w:rFonts w:hint="eastAsia" w:ascii="仿宋" w:hAnsi="仿宋" w:eastAsia="仿宋" w:cs="仿宋"/>
          <w:color w:val="000000"/>
          <w:kern w:val="0"/>
          <w:sz w:val="22"/>
          <w:szCs w:val="22"/>
        </w:rPr>
        <w:t>依据贵方</w:t>
      </w:r>
      <w:r>
        <w:rPr>
          <w:rFonts w:hint="eastAsia" w:ascii="仿宋" w:hAnsi="仿宋" w:eastAsia="仿宋" w:cs="仿宋"/>
          <w:b/>
          <w:color w:val="000000"/>
          <w:kern w:val="0"/>
          <w:sz w:val="22"/>
          <w:szCs w:val="22"/>
          <w:u w:val="single"/>
          <w:lang w:val="en-US" w:eastAsia="zh-CN"/>
        </w:rPr>
        <w:t>石岩发射基地食材配送</w:t>
      </w:r>
      <w:r>
        <w:rPr>
          <w:rFonts w:hint="eastAsia" w:ascii="仿宋" w:hAnsi="仿宋" w:eastAsia="仿宋" w:cs="仿宋"/>
          <w:color w:val="000000"/>
          <w:kern w:val="0"/>
          <w:sz w:val="22"/>
          <w:szCs w:val="22"/>
          <w:u w:val="single"/>
        </w:rPr>
        <w:t>的</w:t>
      </w:r>
      <w:r>
        <w:rPr>
          <w:rFonts w:hint="eastAsia" w:ascii="仿宋" w:hAnsi="仿宋" w:eastAsia="仿宋" w:cs="仿宋"/>
          <w:color w:val="000000"/>
          <w:kern w:val="0"/>
          <w:sz w:val="22"/>
          <w:szCs w:val="22"/>
        </w:rPr>
        <w:t>采购服务的投标要求，我方代表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w:t>
      </w:r>
    </w:p>
    <w:p w14:paraId="7078D14C">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在此，我方声明如下：</w:t>
      </w:r>
    </w:p>
    <w:p w14:paraId="10CEF470">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1.同意并接受采购文件的各项要求，遵守采购文件中的各项规定，按采购文件的要求提供报价。</w:t>
      </w:r>
    </w:p>
    <w:p w14:paraId="161CA25F">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14:paraId="50DE95AE">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7B2A8504">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14:paraId="49D648C8">
      <w:pPr>
        <w:spacing w:line="360" w:lineRule="auto"/>
        <w:ind w:firstLine="413" w:firstLineChars="188"/>
        <w:rPr>
          <w:rFonts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14:paraId="6C74C2E6">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6.我方完全服从和尊重评委会所作的评定结果，同时清楚理解到报价最低并非意味着必定获得成交资格。</w:t>
      </w:r>
    </w:p>
    <w:p w14:paraId="7095150F">
      <w:pPr>
        <w:autoSpaceDE w:val="0"/>
        <w:autoSpaceDN w:val="0"/>
        <w:adjustRightInd w:val="0"/>
        <w:spacing w:line="360" w:lineRule="auto"/>
        <w:ind w:right="246"/>
        <w:rPr>
          <w:rFonts w:ascii="仿宋" w:hAnsi="仿宋" w:eastAsia="仿宋" w:cs="仿宋"/>
          <w:color w:val="000000"/>
          <w:kern w:val="0"/>
          <w:sz w:val="22"/>
          <w:szCs w:val="22"/>
        </w:rPr>
      </w:pPr>
    </w:p>
    <w:p w14:paraId="2AC7941C">
      <w:pPr>
        <w:autoSpaceDE w:val="0"/>
        <w:autoSpaceDN w:val="0"/>
        <w:adjustRightInd w:val="0"/>
        <w:spacing w:line="360" w:lineRule="auto"/>
        <w:ind w:right="246"/>
        <w:rPr>
          <w:rFonts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14:paraId="3EAD9F57">
      <w:pPr>
        <w:autoSpaceDE w:val="0"/>
        <w:autoSpaceDN w:val="0"/>
        <w:adjustRightInd w:val="0"/>
        <w:spacing w:line="360" w:lineRule="auto"/>
        <w:ind w:right="246"/>
        <w:rPr>
          <w:rFonts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14:paraId="1526AB55">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14:paraId="59C02DC5">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电子邮件：</w:t>
      </w:r>
      <w:r>
        <w:rPr>
          <w:rFonts w:hint="eastAsia" w:ascii="仿宋" w:hAnsi="仿宋" w:eastAsia="仿宋" w:cs="仿宋"/>
          <w:color w:val="000000"/>
          <w:kern w:val="0"/>
          <w:sz w:val="22"/>
          <w:szCs w:val="22"/>
          <w:u w:val="single"/>
        </w:rPr>
        <w:t xml:space="preserve">         </w:t>
      </w:r>
    </w:p>
    <w:p w14:paraId="5F81E566">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p>
    <w:p w14:paraId="449BD6D4">
      <w:pPr>
        <w:tabs>
          <w:tab w:val="left" w:pos="5250"/>
        </w:tabs>
        <w:autoSpaceDE w:val="0"/>
        <w:autoSpaceDN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帐号：</w:t>
      </w:r>
      <w:r>
        <w:rPr>
          <w:rFonts w:hint="eastAsia" w:ascii="仿宋" w:hAnsi="仿宋" w:eastAsia="仿宋" w:cs="仿宋"/>
          <w:color w:val="000000"/>
          <w:sz w:val="22"/>
          <w:szCs w:val="22"/>
          <w:u w:val="single"/>
        </w:rPr>
        <w:t xml:space="preserve">             </w:t>
      </w:r>
    </w:p>
    <w:p w14:paraId="154C94CD">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p>
    <w:p w14:paraId="18171A54">
      <w:pPr>
        <w:adjustRightInd w:val="0"/>
        <w:snapToGrid w:val="0"/>
        <w:spacing w:line="360" w:lineRule="auto"/>
        <w:ind w:left="-88" w:leftChars="-42"/>
        <w:outlineLvl w:val="3"/>
        <w:rPr>
          <w:rFonts w:ascii="仿宋" w:hAnsi="仿宋" w:eastAsia="仿宋" w:cs="仿宋"/>
          <w:b/>
          <w:color w:val="000000"/>
          <w:sz w:val="24"/>
        </w:rPr>
      </w:pPr>
    </w:p>
    <w:p w14:paraId="6E622904">
      <w:pPr>
        <w:adjustRightInd w:val="0"/>
        <w:snapToGrid w:val="0"/>
        <w:spacing w:line="360" w:lineRule="auto"/>
        <w:ind w:left="-88" w:leftChars="-42"/>
        <w:outlineLvl w:val="3"/>
        <w:rPr>
          <w:rFonts w:ascii="仿宋" w:hAnsi="仿宋" w:eastAsia="仿宋" w:cs="仿宋"/>
          <w:b/>
          <w:color w:val="000000"/>
          <w:sz w:val="24"/>
        </w:rPr>
      </w:pPr>
    </w:p>
    <w:p w14:paraId="5866CA10">
      <w:pPr>
        <w:pStyle w:val="6"/>
      </w:pPr>
    </w:p>
    <w:p w14:paraId="48FF9580"/>
    <w:p w14:paraId="08FF14C8">
      <w:pPr>
        <w:pStyle w:val="3"/>
        <w:spacing w:before="120" w:after="120"/>
        <w:jc w:val="center"/>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二、投标人情况及资格证明文件</w:t>
      </w:r>
    </w:p>
    <w:p w14:paraId="138F94EF">
      <w:pPr>
        <w:outlineLvl w:val="3"/>
        <w:rPr>
          <w:rFonts w:ascii="仿宋" w:hAnsi="仿宋" w:eastAsia="仿宋" w:cs="仿宋"/>
          <w:b/>
          <w:color w:val="auto"/>
          <w:spacing w:val="0"/>
          <w:kern w:val="2"/>
          <w:sz w:val="28"/>
          <w:szCs w:val="28"/>
          <w:lang w:val="en-GB"/>
        </w:rPr>
      </w:pPr>
      <w:r>
        <w:rPr>
          <w:rFonts w:hint="eastAsia" w:ascii="仿宋" w:hAnsi="仿宋" w:eastAsia="仿宋" w:cs="仿宋"/>
          <w:b/>
          <w:bCs w:val="0"/>
          <w:color w:val="auto"/>
          <w:kern w:val="0"/>
          <w:sz w:val="24"/>
          <w:szCs w:val="32"/>
        </w:rPr>
        <w:t>（一）</w:t>
      </w:r>
      <w:r>
        <w:rPr>
          <w:rFonts w:hint="eastAsia" w:ascii="仿宋" w:hAnsi="仿宋" w:eastAsia="仿宋" w:cs="仿宋"/>
          <w:b/>
          <w:bCs w:val="0"/>
          <w:color w:val="auto"/>
          <w:kern w:val="0"/>
          <w:sz w:val="24"/>
          <w:szCs w:val="32"/>
          <w:lang w:val="en-US" w:eastAsia="zh-CN"/>
        </w:rPr>
        <w:t>投标人情况介绍表</w:t>
      </w:r>
    </w:p>
    <w:tbl>
      <w:tblPr>
        <w:tblStyle w:val="11"/>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71"/>
        <w:gridCol w:w="1461"/>
        <w:gridCol w:w="227"/>
        <w:gridCol w:w="1394"/>
        <w:gridCol w:w="256"/>
        <w:gridCol w:w="1005"/>
        <w:gridCol w:w="789"/>
        <w:gridCol w:w="292"/>
        <w:gridCol w:w="1126"/>
      </w:tblGrid>
      <w:tr w14:paraId="237B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65E86EC3">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单位名称</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0D52B905">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5B95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1523E94D">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地址</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3E9E680D">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3C3C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1CDD67A2">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开户银行</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68602156">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533D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1150662D">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银行账户</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4A8E1D5A">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4E84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6E4E197A">
            <w:pPr>
              <w:tabs>
                <w:tab w:val="left" w:pos="540"/>
              </w:tabs>
              <w:adjustRightInd w:val="0"/>
              <w:snapToGrid w:val="0"/>
              <w:ind w:left="-132" w:leftChars="-64" w:right="-105" w:rightChars="-50" w:hanging="2"/>
              <w:jc w:val="center"/>
              <w:textAlignment w:val="center"/>
              <w:rPr>
                <w:rFonts w:ascii="仿宋" w:hAnsi="仿宋" w:eastAsia="仿宋" w:cs="仿宋"/>
                <w:b/>
                <w:snapToGrid w:val="0"/>
                <w:color w:val="000000"/>
                <w:sz w:val="24"/>
              </w:rPr>
            </w:pPr>
            <w:r>
              <w:rPr>
                <w:rFonts w:hint="eastAsia" w:ascii="仿宋" w:hAnsi="仿宋" w:eastAsia="仿宋" w:cs="仿宋"/>
                <w:snapToGrid w:val="0"/>
                <w:color w:val="000000"/>
                <w:sz w:val="24"/>
              </w:rPr>
              <w:t>纳税人识别号</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67394E82">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3D02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36714C6E">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主管部门</w:t>
            </w:r>
          </w:p>
        </w:tc>
        <w:tc>
          <w:tcPr>
            <w:tcW w:w="1470" w:type="dxa"/>
            <w:tcBorders>
              <w:top w:val="single" w:color="auto" w:sz="4" w:space="0"/>
              <w:left w:val="single" w:color="auto" w:sz="4" w:space="0"/>
              <w:bottom w:val="single" w:color="auto" w:sz="4" w:space="0"/>
              <w:right w:val="single" w:color="auto" w:sz="4" w:space="0"/>
            </w:tcBorders>
            <w:vAlign w:val="center"/>
          </w:tcPr>
          <w:p w14:paraId="6A43DBA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34EB72A">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法定代表人</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196AA6D">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5867CCFA">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1B35F8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737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3B9E3CEE">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经济类型</w:t>
            </w:r>
          </w:p>
        </w:tc>
        <w:tc>
          <w:tcPr>
            <w:tcW w:w="1470" w:type="dxa"/>
            <w:tcBorders>
              <w:top w:val="single" w:color="auto" w:sz="4" w:space="0"/>
              <w:left w:val="single" w:color="auto" w:sz="4" w:space="0"/>
              <w:bottom w:val="single" w:color="auto" w:sz="4" w:space="0"/>
              <w:right w:val="single" w:color="auto" w:sz="4" w:space="0"/>
            </w:tcBorders>
            <w:vAlign w:val="center"/>
          </w:tcPr>
          <w:p w14:paraId="43B31EB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4F4C405">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EA285C0">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50342191">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F0C5B6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6277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49C7DAD7">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邮编</w:t>
            </w:r>
          </w:p>
        </w:tc>
        <w:tc>
          <w:tcPr>
            <w:tcW w:w="1470" w:type="dxa"/>
            <w:tcBorders>
              <w:top w:val="single" w:color="auto" w:sz="4" w:space="0"/>
              <w:left w:val="single" w:color="auto" w:sz="4" w:space="0"/>
              <w:bottom w:val="single" w:color="auto" w:sz="4" w:space="0"/>
              <w:right w:val="single" w:color="auto" w:sz="4" w:space="0"/>
            </w:tcBorders>
            <w:vAlign w:val="center"/>
          </w:tcPr>
          <w:p w14:paraId="246C591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E267F2F">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BEFE94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71E9B192">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传真</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5AA1A9A">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497A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0088030F">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单位简介及机构设置</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183DE8B8">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1B16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5A00CEF8">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单位优势及特长</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68469660">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30CD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14:paraId="56FF8E7E">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单位概况</w:t>
            </w:r>
          </w:p>
        </w:tc>
        <w:tc>
          <w:tcPr>
            <w:tcW w:w="1470" w:type="dxa"/>
            <w:tcBorders>
              <w:top w:val="single" w:color="auto" w:sz="4" w:space="0"/>
              <w:left w:val="single" w:color="auto" w:sz="4" w:space="0"/>
              <w:bottom w:val="single" w:color="auto" w:sz="4" w:space="0"/>
              <w:right w:val="single" w:color="auto" w:sz="4" w:space="0"/>
            </w:tcBorders>
            <w:vAlign w:val="center"/>
          </w:tcPr>
          <w:p w14:paraId="2B420578">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注册资本</w:t>
            </w:r>
          </w:p>
        </w:tc>
        <w:tc>
          <w:tcPr>
            <w:tcW w:w="1460" w:type="dxa"/>
            <w:tcBorders>
              <w:top w:val="single" w:color="auto" w:sz="4" w:space="0"/>
              <w:left w:val="single" w:color="auto" w:sz="4" w:space="0"/>
              <w:bottom w:val="single" w:color="auto" w:sz="4" w:space="0"/>
              <w:right w:val="single" w:color="auto" w:sz="4" w:space="0"/>
            </w:tcBorders>
            <w:vAlign w:val="center"/>
          </w:tcPr>
          <w:p w14:paraId="35C76F5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9B749A7">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占地面积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2B8D75CE">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14:paraId="47C6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2AC515E3">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6F65F8EC">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职工总数</w:t>
            </w:r>
          </w:p>
        </w:tc>
        <w:tc>
          <w:tcPr>
            <w:tcW w:w="1460" w:type="dxa"/>
            <w:tcBorders>
              <w:top w:val="single" w:color="auto" w:sz="4" w:space="0"/>
              <w:left w:val="single" w:color="auto" w:sz="4" w:space="0"/>
              <w:bottom w:val="single" w:color="auto" w:sz="4" w:space="0"/>
              <w:right w:val="single" w:color="auto" w:sz="4" w:space="0"/>
            </w:tcBorders>
            <w:vAlign w:val="center"/>
          </w:tcPr>
          <w:p w14:paraId="223FEE7D">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人</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668D63">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建筑面积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4433D235">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14:paraId="74B1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578F357C">
            <w:pPr>
              <w:widowControl/>
              <w:jc w:val="left"/>
              <w:rPr>
                <w:rFonts w:ascii="仿宋" w:hAnsi="仿宋" w:eastAsia="仿宋" w:cs="仿宋"/>
                <w:snapToGrid w:val="0"/>
                <w:color w:val="000000"/>
                <w:sz w:val="24"/>
              </w:rPr>
            </w:pPr>
          </w:p>
        </w:tc>
        <w:tc>
          <w:tcPr>
            <w:tcW w:w="1470" w:type="dxa"/>
            <w:vMerge w:val="restart"/>
            <w:tcBorders>
              <w:top w:val="single" w:color="auto" w:sz="4" w:space="0"/>
              <w:left w:val="single" w:color="auto" w:sz="4" w:space="0"/>
              <w:bottom w:val="single" w:color="auto" w:sz="4" w:space="0"/>
              <w:right w:val="single" w:color="auto" w:sz="4" w:space="0"/>
            </w:tcBorders>
            <w:vAlign w:val="center"/>
          </w:tcPr>
          <w:p w14:paraId="7D7863A2">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资产情况</w:t>
            </w:r>
          </w:p>
        </w:tc>
        <w:tc>
          <w:tcPr>
            <w:tcW w:w="1460" w:type="dxa"/>
            <w:tcBorders>
              <w:top w:val="single" w:color="auto" w:sz="4" w:space="0"/>
              <w:left w:val="single" w:color="auto" w:sz="4" w:space="0"/>
              <w:bottom w:val="single" w:color="auto" w:sz="4" w:space="0"/>
              <w:right w:val="single" w:color="auto" w:sz="4" w:space="0"/>
            </w:tcBorders>
            <w:vAlign w:val="center"/>
          </w:tcPr>
          <w:p w14:paraId="1149C9FC">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净资产</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A592D5E">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0D40BEBA">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固定资产原值           万元</w:t>
            </w:r>
          </w:p>
        </w:tc>
      </w:tr>
      <w:tr w14:paraId="64FB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23723DC6">
            <w:pPr>
              <w:widowControl/>
              <w:jc w:val="left"/>
              <w:rPr>
                <w:rFonts w:ascii="仿宋" w:hAnsi="仿宋" w:eastAsia="仿宋" w:cs="仿宋"/>
                <w:snapToGrid w:val="0"/>
                <w:color w:val="000000"/>
                <w:sz w:val="24"/>
              </w:rPr>
            </w:pPr>
          </w:p>
        </w:tc>
        <w:tc>
          <w:tcPr>
            <w:tcW w:w="8015" w:type="dxa"/>
            <w:vMerge w:val="continue"/>
            <w:tcBorders>
              <w:top w:val="single" w:color="auto" w:sz="4" w:space="0"/>
              <w:left w:val="single" w:color="auto" w:sz="4" w:space="0"/>
              <w:bottom w:val="single" w:color="auto" w:sz="4" w:space="0"/>
              <w:right w:val="single" w:color="auto" w:sz="4" w:space="0"/>
            </w:tcBorders>
            <w:vAlign w:val="center"/>
          </w:tcPr>
          <w:p w14:paraId="07446B76">
            <w:pPr>
              <w:widowControl/>
              <w:jc w:val="left"/>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6DB7C7D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DD3F770">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0557A9B9">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固定资产净值           万元</w:t>
            </w:r>
          </w:p>
        </w:tc>
      </w:tr>
      <w:tr w14:paraId="18DB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14:paraId="1D23FB37">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财务状况</w:t>
            </w:r>
          </w:p>
        </w:tc>
        <w:tc>
          <w:tcPr>
            <w:tcW w:w="1470" w:type="dxa"/>
            <w:tcBorders>
              <w:top w:val="single" w:color="auto" w:sz="4" w:space="0"/>
              <w:left w:val="single" w:color="auto" w:sz="4" w:space="0"/>
              <w:bottom w:val="single" w:color="auto" w:sz="4" w:space="0"/>
              <w:right w:val="single" w:color="auto" w:sz="4" w:space="0"/>
            </w:tcBorders>
            <w:vAlign w:val="center"/>
          </w:tcPr>
          <w:p w14:paraId="70BE908E">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年度</w:t>
            </w:r>
          </w:p>
        </w:tc>
        <w:tc>
          <w:tcPr>
            <w:tcW w:w="1460" w:type="dxa"/>
            <w:tcBorders>
              <w:top w:val="single" w:color="auto" w:sz="4" w:space="0"/>
              <w:left w:val="single" w:color="auto" w:sz="4" w:space="0"/>
              <w:bottom w:val="single" w:color="auto" w:sz="4" w:space="0"/>
              <w:right w:val="single" w:color="auto" w:sz="4" w:space="0"/>
            </w:tcBorders>
            <w:vAlign w:val="center"/>
          </w:tcPr>
          <w:p w14:paraId="6D621EA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主营收入</w:t>
            </w:r>
          </w:p>
          <w:p w14:paraId="766DF0AB">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63B318">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收入总额</w:t>
            </w:r>
          </w:p>
          <w:p w14:paraId="7C485BE5">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97C603D">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利润总额（万元）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0A35939">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净利润（万元）</w:t>
            </w:r>
          </w:p>
        </w:tc>
        <w:tc>
          <w:tcPr>
            <w:tcW w:w="1125" w:type="dxa"/>
            <w:tcBorders>
              <w:top w:val="single" w:color="auto" w:sz="4" w:space="0"/>
              <w:left w:val="single" w:color="auto" w:sz="4" w:space="0"/>
              <w:bottom w:val="single" w:color="auto" w:sz="4" w:space="0"/>
              <w:right w:val="single" w:color="auto" w:sz="4" w:space="0"/>
            </w:tcBorders>
            <w:vAlign w:val="center"/>
          </w:tcPr>
          <w:p w14:paraId="2A15F482">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资产负债率</w:t>
            </w:r>
          </w:p>
        </w:tc>
      </w:tr>
      <w:tr w14:paraId="3EB9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37210D49">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76A343AE">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15AFEB58">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F42818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45ADEA7">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5A4F058">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6B2817A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bl>
    <w:p w14:paraId="609FE766">
      <w:pPr>
        <w:tabs>
          <w:tab w:val="left" w:pos="180"/>
        </w:tabs>
        <w:spacing w:line="360" w:lineRule="auto"/>
        <w:ind w:left="-239" w:leftChars="-114" w:firstLine="102" w:firstLineChars="49"/>
        <w:rPr>
          <w:rFonts w:ascii="仿宋" w:hAnsi="仿宋" w:eastAsia="仿宋" w:cs="仿宋"/>
          <w:bCs/>
          <w:color w:val="000000"/>
          <w:szCs w:val="40"/>
          <w:lang w:val="en-GB"/>
        </w:rPr>
      </w:pPr>
    </w:p>
    <w:p w14:paraId="78D6A046">
      <w:pPr>
        <w:tabs>
          <w:tab w:val="left" w:pos="180"/>
        </w:tabs>
        <w:spacing w:line="360" w:lineRule="auto"/>
        <w:ind w:left="-239" w:leftChars="-114" w:firstLine="102" w:firstLineChars="49"/>
        <w:rPr>
          <w:rFonts w:ascii="仿宋" w:hAnsi="仿宋" w:eastAsia="仿宋" w:cs="仿宋"/>
          <w:bCs/>
          <w:color w:val="000000"/>
          <w:szCs w:val="40"/>
          <w:lang w:val="en-GB"/>
        </w:rPr>
      </w:pPr>
      <w:r>
        <w:rPr>
          <w:rFonts w:hint="eastAsia" w:ascii="仿宋" w:hAnsi="仿宋" w:eastAsia="仿宋" w:cs="仿宋"/>
          <w:bCs/>
          <w:color w:val="000000"/>
          <w:szCs w:val="40"/>
          <w:lang w:val="en-GB"/>
        </w:rPr>
        <w:t>注：1）</w:t>
      </w:r>
      <w:r>
        <w:rPr>
          <w:rFonts w:hint="eastAsia" w:ascii="仿宋" w:hAnsi="仿宋" w:eastAsia="仿宋" w:cs="仿宋"/>
          <w:bCs/>
          <w:color w:val="000000"/>
          <w:sz w:val="22"/>
          <w:szCs w:val="44"/>
          <w:lang w:val="en-GB"/>
        </w:rPr>
        <w:t>根据本表内容相应进行文字描述，如单位性质、发展历程、经营规模及服务理念、主营业务、技术力量等</w:t>
      </w:r>
      <w:r>
        <w:rPr>
          <w:rFonts w:hint="eastAsia" w:ascii="仿宋" w:hAnsi="仿宋" w:eastAsia="仿宋" w:cs="仿宋"/>
          <w:bCs/>
          <w:color w:val="000000"/>
          <w:szCs w:val="40"/>
          <w:lang w:val="en-GB"/>
        </w:rPr>
        <w:t>。</w:t>
      </w:r>
    </w:p>
    <w:p w14:paraId="1D649DC6">
      <w:pPr>
        <w:numPr>
          <w:ilvl w:val="0"/>
          <w:numId w:val="6"/>
        </w:numPr>
        <w:tabs>
          <w:tab w:val="left" w:pos="180"/>
        </w:tabs>
        <w:spacing w:line="360" w:lineRule="auto"/>
        <w:ind w:left="-239" w:leftChars="-114" w:firstLine="522" w:firstLineChars="249"/>
        <w:rPr>
          <w:rFonts w:ascii="仿宋" w:hAnsi="仿宋" w:eastAsia="仿宋" w:cs="仿宋"/>
          <w:bCs/>
          <w:color w:val="000000"/>
          <w:szCs w:val="40"/>
          <w:lang w:val="en-GB"/>
        </w:rPr>
      </w:pPr>
      <w:r>
        <w:rPr>
          <w:rFonts w:hint="eastAsia" w:ascii="仿宋" w:hAnsi="仿宋" w:eastAsia="仿宋" w:cs="仿宋"/>
          <w:bCs/>
          <w:color w:val="000000"/>
          <w:szCs w:val="40"/>
          <w:lang w:val="en-GB"/>
        </w:rPr>
        <w:t>如投标人此表数据或材料有虚假，一经查实，自行承担相关责任。</w:t>
      </w:r>
    </w:p>
    <w:p w14:paraId="493BDD3D">
      <w:pPr>
        <w:pStyle w:val="6"/>
        <w:rPr>
          <w:rFonts w:hint="eastAsia"/>
        </w:rPr>
      </w:pPr>
    </w:p>
    <w:p w14:paraId="6632A788">
      <w:pPr>
        <w:outlineLvl w:val="3"/>
        <w:rPr>
          <w:rFonts w:hint="eastAsia"/>
          <w:color w:val="auto"/>
        </w:rPr>
      </w:pPr>
      <w:r>
        <w:rPr>
          <w:rFonts w:hint="eastAsia" w:ascii="仿宋" w:hAnsi="仿宋" w:eastAsia="仿宋" w:cs="仿宋"/>
          <w:b/>
          <w:bCs w:val="0"/>
          <w:color w:val="auto"/>
          <w:kern w:val="0"/>
          <w:sz w:val="24"/>
          <w:szCs w:val="32"/>
        </w:rPr>
        <w:t>（</w:t>
      </w:r>
      <w:r>
        <w:rPr>
          <w:rFonts w:hint="eastAsia" w:ascii="仿宋" w:hAnsi="仿宋" w:eastAsia="仿宋" w:cs="仿宋"/>
          <w:b/>
          <w:bCs w:val="0"/>
          <w:color w:val="auto"/>
          <w:kern w:val="0"/>
          <w:sz w:val="24"/>
          <w:szCs w:val="32"/>
          <w:lang w:val="en-US" w:eastAsia="zh-CN"/>
        </w:rPr>
        <w:t>二</w:t>
      </w:r>
      <w:r>
        <w:rPr>
          <w:rFonts w:hint="eastAsia" w:ascii="仿宋" w:hAnsi="仿宋" w:eastAsia="仿宋" w:cs="仿宋"/>
          <w:b/>
          <w:bCs w:val="0"/>
          <w:color w:val="auto"/>
          <w:kern w:val="0"/>
          <w:sz w:val="24"/>
          <w:szCs w:val="32"/>
        </w:rPr>
        <w:t>）投标人资格证明文件</w:t>
      </w:r>
    </w:p>
    <w:p w14:paraId="0EE9979A">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（特别提示：投标人须按本招标文件第</w:t>
      </w:r>
      <w:r>
        <w:rPr>
          <w:rFonts w:hint="eastAsia" w:ascii="仿宋" w:hAnsi="仿宋" w:eastAsia="仿宋" w:cs="仿宋"/>
          <w:color w:val="auto"/>
          <w:sz w:val="22"/>
          <w:szCs w:val="22"/>
          <w:lang w:val="en-US" w:eastAsia="zh-CN"/>
        </w:rPr>
        <w:t>一</w:t>
      </w:r>
      <w:bookmarkStart w:id="3" w:name="_GoBack"/>
      <w:bookmarkEnd w:id="3"/>
      <w:r>
        <w:rPr>
          <w:rFonts w:hint="eastAsia" w:ascii="仿宋" w:hAnsi="仿宋" w:eastAsia="仿宋" w:cs="仿宋"/>
          <w:color w:val="auto"/>
          <w:sz w:val="22"/>
          <w:szCs w:val="22"/>
          <w:lang w:val="en-US" w:eastAsia="zh-CN"/>
        </w:rPr>
        <w:t>部分</w:t>
      </w:r>
      <w:r>
        <w:rPr>
          <w:rFonts w:hint="eastAsia" w:ascii="仿宋" w:hAnsi="仿宋" w:eastAsia="仿宋" w:cs="仿宋"/>
          <w:color w:val="auto"/>
          <w:sz w:val="22"/>
          <w:szCs w:val="22"/>
        </w:rPr>
        <w:t>第</w:t>
      </w:r>
      <w:r>
        <w:rPr>
          <w:rFonts w:hint="eastAsia" w:ascii="仿宋" w:hAnsi="仿宋" w:eastAsia="仿宋" w:cs="仿宋"/>
          <w:color w:val="auto"/>
          <w:sz w:val="22"/>
          <w:szCs w:val="22"/>
          <w:lang w:val="en-US" w:eastAsia="zh-CN"/>
        </w:rPr>
        <w:t>二</w:t>
      </w:r>
      <w:r>
        <w:rPr>
          <w:rFonts w:hint="eastAsia" w:ascii="仿宋" w:hAnsi="仿宋" w:eastAsia="仿宋" w:cs="仿宋"/>
          <w:color w:val="auto"/>
          <w:sz w:val="22"/>
          <w:szCs w:val="22"/>
        </w:rPr>
        <w:t>章招标公告 “</w:t>
      </w:r>
      <w:r>
        <w:rPr>
          <w:rFonts w:hint="eastAsia" w:ascii="仿宋" w:hAnsi="仿宋" w:eastAsia="仿宋" w:cs="仿宋"/>
          <w:color w:val="auto"/>
          <w:sz w:val="22"/>
          <w:szCs w:val="22"/>
          <w:lang w:val="en-US" w:eastAsia="zh-CN"/>
        </w:rPr>
        <w:t>投标人资质</w:t>
      </w:r>
      <w:r>
        <w:rPr>
          <w:rFonts w:hint="eastAsia" w:ascii="仿宋" w:hAnsi="仿宋" w:eastAsia="仿宋" w:cs="仿宋"/>
          <w:color w:val="auto"/>
          <w:sz w:val="22"/>
          <w:szCs w:val="22"/>
        </w:rPr>
        <w:t>”（即投标人资格要求）提供相关的资格证明资料，未提供或提供不完整、不符合要求的，将作投标无效处理。）</w:t>
      </w:r>
    </w:p>
    <w:p w14:paraId="7919B573">
      <w:pPr>
        <w:ind w:firstLine="480" w:firstLineChars="200"/>
        <w:outlineLvl w:val="3"/>
        <w:rPr>
          <w:rFonts w:ascii="黑体" w:hAnsi="宋体" w:eastAsia="黑体"/>
          <w:bCs/>
          <w:color w:val="auto"/>
          <w:kern w:val="0"/>
          <w:sz w:val="24"/>
          <w:szCs w:val="32"/>
        </w:rPr>
      </w:pPr>
    </w:p>
    <w:p w14:paraId="68930153">
      <w:pPr>
        <w:outlineLvl w:val="3"/>
        <w:rPr>
          <w:rFonts w:hint="eastAsia" w:ascii="仿宋" w:hAnsi="仿宋" w:eastAsia="仿宋" w:cs="仿宋"/>
          <w:b/>
          <w:bCs w:val="0"/>
          <w:color w:val="auto"/>
          <w:kern w:val="0"/>
          <w:sz w:val="24"/>
          <w:szCs w:val="32"/>
        </w:rPr>
      </w:pPr>
      <w:r>
        <w:rPr>
          <w:rFonts w:hint="eastAsia" w:ascii="仿宋" w:hAnsi="仿宋" w:eastAsia="仿宋" w:cs="仿宋"/>
          <w:b/>
          <w:bCs w:val="0"/>
          <w:color w:val="auto"/>
          <w:kern w:val="0"/>
          <w:sz w:val="24"/>
          <w:szCs w:val="32"/>
        </w:rPr>
        <w:t>（</w:t>
      </w:r>
      <w:r>
        <w:rPr>
          <w:rFonts w:hint="eastAsia" w:ascii="仿宋" w:hAnsi="仿宋" w:eastAsia="仿宋" w:cs="仿宋"/>
          <w:b/>
          <w:bCs w:val="0"/>
          <w:color w:val="auto"/>
          <w:kern w:val="0"/>
          <w:sz w:val="24"/>
          <w:szCs w:val="32"/>
          <w:lang w:val="en-US" w:eastAsia="zh-CN"/>
        </w:rPr>
        <w:t>三</w:t>
      </w:r>
      <w:r>
        <w:rPr>
          <w:rFonts w:hint="eastAsia" w:ascii="仿宋" w:hAnsi="仿宋" w:eastAsia="仿宋" w:cs="仿宋"/>
          <w:b/>
          <w:bCs w:val="0"/>
          <w:color w:val="auto"/>
          <w:kern w:val="0"/>
          <w:sz w:val="24"/>
          <w:szCs w:val="32"/>
        </w:rPr>
        <w:t>）中小企业声明函、残疾人福利性单位声明函及监狱企业声明函</w:t>
      </w:r>
    </w:p>
    <w:p w14:paraId="4DD0105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填写指引：</w:t>
      </w:r>
    </w:p>
    <w:p w14:paraId="0F997D3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E17AE4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p>
    <w:p w14:paraId="5E39D39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3、请依照提供的格式和内容填写声明函，不要随意变更格式；声明函不需要盖章或签字。</w:t>
      </w:r>
    </w:p>
    <w:p w14:paraId="1A22A98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4、声明函具体填写要求：</w:t>
      </w:r>
    </w:p>
    <w:p w14:paraId="0BCB954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（1）声明是中小企业须填写《中小企业声明函》(服务)的以下内容：</w:t>
      </w:r>
    </w:p>
    <w:p w14:paraId="5A5876B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处，在“单位名称”下划线处如实填写采购人名称（深圳公共资源交易中心不是本项目的采购人，而是组织实施机构）；供应商未填写“采购人名称”或填写的“采购人名称”与招标文件的“采购人名称”不一致的，将导致投标无效；</w:t>
      </w:r>
    </w:p>
    <w:p w14:paraId="49FA5EF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第二处，在“项目名称”下划线处如实填写采购项目名称；供应商未填写“项目名称”或填写的“项目名称”与招标文件的“项目名称”不一致的，将导致投标无效；</w:t>
      </w:r>
    </w:p>
    <w:p w14:paraId="71ECEB2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处，在“标的名称”下划线处填写所采购服务（标的）的具体名称（以招标文件第一册第三章用户需求书“服务需求明细”的“服务需求名称（标的名称）”一栏为准）；如果涉及多个服务需求（标的）由同一企业承接，“标的名称”下划线处可以如实填写多个服务需求（标的）；供应商未填写“标的名称”或填写的“标的名称”与招标文件第一册第三章用户需求书“服务需求明细”的“服务需求名称（标的名称）”一栏不一致的，将导致投标无效；</w:t>
      </w:r>
    </w:p>
    <w:p w14:paraId="62CD399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处，在“采购文件中明确的所属行业”下划线处填写采购标的对应的中小企业划分标准所属行业（所属行业可在招标文件第一册第二章“对通用条款的补充内容及其他关键信息”章节查看）；供应商未填写“所属行业”或填写的“所属行业”与招标文件约定的“所属行业”不一致的，将导致投标无效；例如，招标文件约定本项目采购标的对应的中小企业划分标准所属行业为“其他未列明的行业”，但供应商在“采购文件中明确的所属行业”下划线处填写为“物业管理”或“招标文件所约定的行业”，做投标无效处理。</w:t>
      </w:r>
    </w:p>
    <w:p w14:paraId="1914D38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供应商填写的中小微企业类型与实际不一致的，将导致投标无效。例如，供应商本属于中型企业，但供应商在中小企业声明函时填报为小型企业；供应商本属于微型企业，但供应商在中小企业声明函时填报为小型企业；以上两种情形均做投标无效处理。</w:t>
      </w:r>
    </w:p>
    <w:p w14:paraId="2A0DE35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（2）声明是残疾人福利性单位须填写《残疾人福利性单位声明函》（服务类）的相关内容（填写位置的字体已加粗），具体参照上述针对《中小企业声明函》的填写要求进行填写。</w:t>
      </w:r>
    </w:p>
    <w:p w14:paraId="296C859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（3）声明是监狱企业须填写《监狱企业声明函》的相关内容（填写位置的字体已加粗），具体参照上述针对《中小企业声明函》的填写要求进行填写。</w:t>
      </w:r>
    </w:p>
    <w:p w14:paraId="71D2A37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5、本项目属于专门面向中小微企业采购，要求提供声明函作为依据，未提供声明函或声明内容不满足要求的，做资格审查不通过处理。</w:t>
      </w:r>
    </w:p>
    <w:p w14:paraId="592BA96C">
      <w:pPr>
        <w:spacing w:line="360" w:lineRule="auto"/>
        <w:ind w:firstLine="420" w:firstLineChars="200"/>
        <w:rPr>
          <w:color w:val="auto"/>
        </w:rPr>
      </w:pPr>
    </w:p>
    <w:p w14:paraId="1CC1D7D9">
      <w:pPr>
        <w:pStyle w:val="3"/>
        <w:spacing w:before="120" w:after="120"/>
        <w:jc w:val="center"/>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val="en-US" w:eastAsia="zh-CN"/>
        </w:rPr>
        <w:t xml:space="preserve">1、中小企业声明函（服务） </w:t>
      </w:r>
    </w:p>
    <w:p w14:paraId="0AA49952">
      <w:pPr>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本公司（联合体）郑重声明，根据《政府采购促进中小企业发展管理办法》（财库﹝2020﹞46号）的规定，本公司（联合体）参加</w:t>
      </w:r>
      <w:r>
        <w:rPr>
          <w:rFonts w:hint="eastAsia" w:ascii="仿宋" w:hAnsi="仿宋" w:eastAsia="仿宋" w:cs="仿宋"/>
          <w:b/>
          <w:bCs/>
          <w:color w:val="auto"/>
          <w:sz w:val="24"/>
          <w:szCs w:val="24"/>
          <w:u w:val="single"/>
        </w:rPr>
        <w:t>深圳市广播电视技术中心（单位名称）</w:t>
      </w:r>
      <w:r>
        <w:rPr>
          <w:rFonts w:hint="eastAsia" w:ascii="仿宋" w:hAnsi="仿宋" w:eastAsia="仿宋" w:cs="仿宋"/>
          <w:color w:val="auto"/>
          <w:sz w:val="24"/>
          <w:szCs w:val="24"/>
        </w:rPr>
        <w:t>的</w:t>
      </w:r>
      <w:r>
        <w:rPr>
          <w:rFonts w:hint="eastAsia" w:ascii="仿宋" w:hAnsi="仿宋" w:eastAsia="仿宋" w:cs="仿宋"/>
          <w:b/>
          <w:bCs/>
          <w:color w:val="auto"/>
          <w:sz w:val="24"/>
          <w:szCs w:val="24"/>
          <w:u w:val="single"/>
        </w:rPr>
        <w:t>深圳市广播电视技术中心</w:t>
      </w:r>
      <w:r>
        <w:rPr>
          <w:rFonts w:hint="eastAsia" w:ascii="仿宋" w:hAnsi="仿宋" w:eastAsia="仿宋" w:cs="仿宋"/>
          <w:b/>
          <w:bCs/>
          <w:color w:val="auto"/>
          <w:sz w:val="24"/>
          <w:szCs w:val="24"/>
          <w:u w:val="single"/>
          <w:lang w:val="en-US" w:eastAsia="zh-CN"/>
        </w:rPr>
        <w:t>石岩</w:t>
      </w:r>
      <w:r>
        <w:rPr>
          <w:rFonts w:hint="eastAsia" w:ascii="仿宋" w:hAnsi="仿宋" w:eastAsia="仿宋" w:cs="仿宋"/>
          <w:b/>
          <w:bCs/>
          <w:color w:val="auto"/>
          <w:sz w:val="24"/>
          <w:szCs w:val="24"/>
          <w:u w:val="single"/>
        </w:rPr>
        <w:t>发射基地</w:t>
      </w:r>
      <w:r>
        <w:rPr>
          <w:rFonts w:hint="eastAsia" w:ascii="仿宋" w:hAnsi="仿宋" w:eastAsia="仿宋" w:cs="仿宋"/>
          <w:b/>
          <w:bCs/>
          <w:color w:val="auto"/>
          <w:sz w:val="24"/>
          <w:szCs w:val="24"/>
          <w:u w:val="single"/>
          <w:lang w:val="en-US" w:eastAsia="zh-CN"/>
        </w:rPr>
        <w:t>食材配送</w:t>
      </w:r>
      <w:r>
        <w:rPr>
          <w:rFonts w:hint="eastAsia" w:ascii="仿宋" w:hAnsi="仿宋" w:eastAsia="仿宋" w:cs="仿宋"/>
          <w:b/>
          <w:bCs/>
          <w:color w:val="auto"/>
          <w:sz w:val="24"/>
          <w:szCs w:val="24"/>
          <w:u w:val="single"/>
        </w:rPr>
        <w:t>项目（项目名称）</w:t>
      </w:r>
      <w:r>
        <w:rPr>
          <w:rFonts w:hint="eastAsia" w:ascii="仿宋" w:hAnsi="仿宋" w:eastAsia="仿宋" w:cs="仿宋"/>
          <w:color w:val="auto"/>
          <w:sz w:val="24"/>
          <w:szCs w:val="24"/>
        </w:rPr>
        <w:t>采购活动，服务全部由符合政策要求的中小企业承接。相关企业（含联合体中的中小企业、签订分包意向协议的中小企业）的具体情况如下：</w:t>
      </w:r>
    </w:p>
    <w:p w14:paraId="6B92DB2E">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
          <w:bCs/>
          <w:color w:val="auto"/>
          <w:sz w:val="24"/>
          <w:szCs w:val="24"/>
          <w:u w:val="single"/>
        </w:rPr>
        <w:t xml:space="preserve"> （标的名称）</w:t>
      </w:r>
      <w:r>
        <w:rPr>
          <w:rFonts w:hint="eastAsia" w:ascii="仿宋" w:hAnsi="仿宋" w:eastAsia="仿宋" w:cs="仿宋"/>
          <w:color w:val="auto"/>
          <w:sz w:val="24"/>
          <w:szCs w:val="24"/>
        </w:rPr>
        <w:t xml:space="preserve"> ，属于</w:t>
      </w:r>
      <w:r>
        <w:rPr>
          <w:rFonts w:hint="eastAsia" w:ascii="仿宋" w:hAnsi="仿宋" w:eastAsia="仿宋" w:cs="仿宋"/>
          <w:b/>
          <w:bCs/>
          <w:color w:val="auto"/>
          <w:sz w:val="24"/>
          <w:szCs w:val="24"/>
          <w:u w:val="single"/>
        </w:rPr>
        <w:t xml:space="preserve">（采购文件中明确的所属行业） </w:t>
      </w:r>
      <w:r>
        <w:rPr>
          <w:rFonts w:hint="eastAsia" w:ascii="仿宋" w:hAnsi="仿宋" w:eastAsia="仿宋" w:cs="仿宋"/>
          <w:color w:val="auto"/>
          <w:sz w:val="24"/>
          <w:szCs w:val="24"/>
        </w:rPr>
        <w:t>行业；承接企业为</w:t>
      </w:r>
      <w:r>
        <w:rPr>
          <w:rFonts w:hint="eastAsia" w:ascii="仿宋" w:hAnsi="仿宋" w:eastAsia="仿宋" w:cs="仿宋"/>
          <w:b/>
          <w:bCs/>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b/>
          <w:bCs/>
          <w:color w:val="auto"/>
          <w:sz w:val="24"/>
          <w:szCs w:val="24"/>
          <w:u w:val="single"/>
        </w:rPr>
        <w:t>（中型企业、小型企业、微型企业）</w:t>
      </w:r>
      <w:r>
        <w:rPr>
          <w:rFonts w:hint="eastAsia" w:ascii="仿宋" w:hAnsi="仿宋" w:eastAsia="仿宋" w:cs="仿宋"/>
          <w:color w:val="auto"/>
          <w:sz w:val="24"/>
          <w:szCs w:val="24"/>
        </w:rPr>
        <w:t xml:space="preserve">； </w:t>
      </w:r>
    </w:p>
    <w:p w14:paraId="1DE84E68">
      <w:pPr>
        <w:ind w:firstLine="480" w:firstLineChars="200"/>
        <w:outlineLvl w:val="3"/>
        <w:rPr>
          <w:rFonts w:hint="eastAsia" w:ascii="仿宋" w:hAnsi="仿宋" w:eastAsia="仿宋" w:cs="仿宋"/>
          <w:color w:val="auto"/>
          <w:sz w:val="24"/>
          <w:szCs w:val="24"/>
          <w:u w:val="single"/>
        </w:rPr>
      </w:pPr>
      <w:r>
        <w:rPr>
          <w:rFonts w:hint="eastAsia" w:ascii="仿宋" w:hAnsi="仿宋" w:eastAsia="仿宋" w:cs="仿宋"/>
          <w:color w:val="auto"/>
          <w:sz w:val="24"/>
          <w:szCs w:val="24"/>
        </w:rPr>
        <w:t>2.</w:t>
      </w:r>
      <w:r>
        <w:rPr>
          <w:rFonts w:hint="eastAsia" w:ascii="仿宋" w:hAnsi="仿宋" w:eastAsia="仿宋" w:cs="仿宋"/>
          <w:b/>
          <w:bCs/>
          <w:color w:val="auto"/>
          <w:sz w:val="24"/>
          <w:szCs w:val="24"/>
          <w:u w:val="single"/>
        </w:rPr>
        <w:t xml:space="preserve"> （标的名称）</w:t>
      </w:r>
      <w:r>
        <w:rPr>
          <w:rFonts w:hint="eastAsia" w:ascii="仿宋" w:hAnsi="仿宋" w:eastAsia="仿宋" w:cs="仿宋"/>
          <w:color w:val="auto"/>
          <w:sz w:val="24"/>
          <w:szCs w:val="24"/>
        </w:rPr>
        <w:t xml:space="preserve"> ，属于</w:t>
      </w:r>
      <w:r>
        <w:rPr>
          <w:rFonts w:hint="eastAsia" w:ascii="仿宋" w:hAnsi="仿宋" w:eastAsia="仿宋" w:cs="仿宋"/>
          <w:b/>
          <w:bCs/>
          <w:color w:val="auto"/>
          <w:sz w:val="24"/>
          <w:szCs w:val="24"/>
          <w:u w:val="single"/>
        </w:rPr>
        <w:t xml:space="preserve">（采购文件中明确的所属行业） </w:t>
      </w:r>
      <w:r>
        <w:rPr>
          <w:rFonts w:hint="eastAsia" w:ascii="仿宋" w:hAnsi="仿宋" w:eastAsia="仿宋" w:cs="仿宋"/>
          <w:color w:val="auto"/>
          <w:sz w:val="24"/>
          <w:szCs w:val="24"/>
        </w:rPr>
        <w:t>行业；承接企业为</w:t>
      </w:r>
      <w:r>
        <w:rPr>
          <w:rFonts w:hint="eastAsia" w:ascii="仿宋" w:hAnsi="仿宋" w:eastAsia="仿宋" w:cs="仿宋"/>
          <w:b/>
          <w:bCs/>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b/>
          <w:bCs/>
          <w:color w:val="auto"/>
          <w:sz w:val="24"/>
          <w:szCs w:val="24"/>
          <w:u w:val="single"/>
        </w:rPr>
        <w:t>（中型企业、小型企业、微型企业）</w:t>
      </w:r>
      <w:r>
        <w:rPr>
          <w:rFonts w:hint="eastAsia" w:ascii="仿宋" w:hAnsi="仿宋" w:eastAsia="仿宋" w:cs="仿宋"/>
          <w:color w:val="auto"/>
          <w:sz w:val="24"/>
          <w:szCs w:val="24"/>
        </w:rPr>
        <w:t>；</w:t>
      </w:r>
    </w:p>
    <w:p w14:paraId="600474A0">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2B39964">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71279E7A">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14:paraId="3888C39E">
      <w:pPr>
        <w:ind w:firstLine="440" w:firstLineChars="200"/>
        <w:jc w:val="right"/>
        <w:rPr>
          <w:rFonts w:hint="eastAsia" w:ascii="仿宋" w:hAnsi="仿宋" w:eastAsia="仿宋" w:cs="仿宋"/>
          <w:color w:val="auto"/>
          <w:sz w:val="22"/>
          <w:szCs w:val="22"/>
        </w:rPr>
      </w:pPr>
    </w:p>
    <w:p w14:paraId="1ED8B898">
      <w:pPr>
        <w:wordWrap w:val="0"/>
        <w:ind w:firstLine="440" w:firstLineChars="200"/>
        <w:jc w:val="right"/>
        <w:rPr>
          <w:rFonts w:hint="eastAsia" w:ascii="仿宋" w:hAnsi="仿宋" w:eastAsia="仿宋" w:cs="仿宋"/>
          <w:color w:val="auto"/>
          <w:sz w:val="22"/>
          <w:szCs w:val="22"/>
        </w:rPr>
      </w:pPr>
      <w:r>
        <w:rPr>
          <w:rFonts w:hint="eastAsia" w:ascii="仿宋" w:hAnsi="仿宋" w:eastAsia="仿宋" w:cs="仿宋"/>
          <w:color w:val="auto"/>
          <w:sz w:val="22"/>
          <w:szCs w:val="22"/>
        </w:rPr>
        <w:t xml:space="preserve">企业名称：                </w:t>
      </w:r>
    </w:p>
    <w:p w14:paraId="36D3B292">
      <w:pPr>
        <w:wordWrap w:val="0"/>
        <w:ind w:firstLine="440" w:firstLineChars="200"/>
        <w:jc w:val="right"/>
        <w:rPr>
          <w:color w:val="auto"/>
        </w:rPr>
      </w:pPr>
      <w:r>
        <w:rPr>
          <w:rFonts w:hint="eastAsia" w:ascii="仿宋" w:hAnsi="仿宋" w:eastAsia="仿宋" w:cs="仿宋"/>
          <w:color w:val="auto"/>
          <w:sz w:val="22"/>
          <w:szCs w:val="22"/>
        </w:rPr>
        <w:t xml:space="preserve">日 期：          </w:t>
      </w:r>
      <w:r>
        <w:rPr>
          <w:rFonts w:hint="eastAsia"/>
          <w:color w:val="auto"/>
        </w:rPr>
        <w:t xml:space="preserve">      </w:t>
      </w:r>
    </w:p>
    <w:p w14:paraId="26847EBC">
      <w:pPr>
        <w:ind w:firstLine="420" w:firstLineChars="200"/>
        <w:rPr>
          <w:color w:val="auto"/>
        </w:rPr>
      </w:pPr>
    </w:p>
    <w:p w14:paraId="5250A4F2">
      <w:pPr>
        <w:jc w:val="center"/>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2、残疾人福利性单位声明函（服务类）</w:t>
      </w:r>
    </w:p>
    <w:p w14:paraId="2B66AE4E">
      <w:pPr>
        <w:rPr>
          <w:rFonts w:hint="eastAsia" w:ascii="仿宋" w:hAnsi="仿宋" w:eastAsia="仿宋" w:cs="仿宋"/>
          <w:b/>
          <w:bCs/>
          <w:color w:val="auto"/>
          <w:sz w:val="24"/>
          <w:szCs w:val="24"/>
        </w:rPr>
      </w:pPr>
    </w:p>
    <w:p w14:paraId="485037CB">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本单位郑重声明，根据《财政部民政部中国残疾人联合会关于促进残疾人就业政府采购政策的通知》（财库〔2017〕141 号）的规定，本单位为符合条件的残疾人福利性单位，且本单位参加</w:t>
      </w:r>
      <w:r>
        <w:rPr>
          <w:rFonts w:hint="eastAsia" w:ascii="仿宋" w:hAnsi="仿宋" w:eastAsia="仿宋" w:cs="仿宋"/>
          <w:b/>
          <w:bCs/>
          <w:color w:val="auto"/>
          <w:sz w:val="24"/>
          <w:szCs w:val="24"/>
          <w:u w:val="single"/>
        </w:rPr>
        <w:t>（单位名称）</w:t>
      </w:r>
      <w:r>
        <w:rPr>
          <w:rFonts w:hint="eastAsia" w:ascii="仿宋" w:hAnsi="仿宋" w:eastAsia="仿宋" w:cs="仿宋"/>
          <w:color w:val="auto"/>
          <w:sz w:val="24"/>
          <w:szCs w:val="24"/>
          <w:u w:val="single"/>
        </w:rPr>
        <w:t>单位</w:t>
      </w:r>
      <w:r>
        <w:rPr>
          <w:rFonts w:hint="eastAsia" w:ascii="仿宋" w:hAnsi="仿宋" w:eastAsia="仿宋" w:cs="仿宋"/>
          <w:color w:val="auto"/>
          <w:sz w:val="24"/>
          <w:szCs w:val="24"/>
        </w:rPr>
        <w:t>的</w:t>
      </w:r>
      <w:r>
        <w:rPr>
          <w:rFonts w:hint="eastAsia" w:ascii="仿宋" w:hAnsi="仿宋" w:eastAsia="仿宋" w:cs="仿宋"/>
          <w:b/>
          <w:bCs/>
          <w:color w:val="auto"/>
          <w:sz w:val="24"/>
          <w:szCs w:val="24"/>
          <w:u w:val="single"/>
        </w:rPr>
        <w:t>（项目名称）</w:t>
      </w:r>
      <w:r>
        <w:rPr>
          <w:rFonts w:hint="eastAsia" w:ascii="仿宋" w:hAnsi="仿宋" w:eastAsia="仿宋" w:cs="仿宋"/>
          <w:color w:val="auto"/>
          <w:sz w:val="24"/>
          <w:szCs w:val="24"/>
          <w:u w:val="single"/>
        </w:rPr>
        <w:t>项目</w:t>
      </w:r>
      <w:r>
        <w:rPr>
          <w:rFonts w:hint="eastAsia" w:ascii="仿宋" w:hAnsi="仿宋" w:eastAsia="仿宋" w:cs="仿宋"/>
          <w:color w:val="auto"/>
          <w:sz w:val="24"/>
          <w:szCs w:val="24"/>
        </w:rPr>
        <w:t>采购活动提供本单位服务。</w:t>
      </w:r>
    </w:p>
    <w:p w14:paraId="474E3A76">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7201AC7B">
      <w:pPr>
        <w:ind w:firstLine="480" w:firstLineChars="200"/>
        <w:rPr>
          <w:rFonts w:hint="eastAsia" w:ascii="仿宋" w:hAnsi="仿宋" w:eastAsia="仿宋" w:cs="仿宋"/>
          <w:color w:val="auto"/>
          <w:sz w:val="24"/>
          <w:szCs w:val="24"/>
        </w:rPr>
      </w:pPr>
    </w:p>
    <w:p w14:paraId="2547F052">
      <w:pPr>
        <w:wordWrap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企业名称：            </w:t>
      </w:r>
    </w:p>
    <w:p w14:paraId="1A8C4F4A">
      <w:pPr>
        <w:wordWrap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日  期：            </w:t>
      </w:r>
    </w:p>
    <w:p w14:paraId="5184B148">
      <w:pPr>
        <w:ind w:firstLine="480" w:firstLineChars="200"/>
        <w:rPr>
          <w:rFonts w:hint="eastAsia" w:ascii="仿宋" w:hAnsi="仿宋" w:eastAsia="仿宋" w:cs="仿宋"/>
          <w:color w:val="auto"/>
          <w:sz w:val="24"/>
          <w:szCs w:val="24"/>
        </w:rPr>
      </w:pPr>
    </w:p>
    <w:p w14:paraId="53C22FD3">
      <w:pPr>
        <w:jc w:val="center"/>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3、监狱企业声明函【服务类，监狱企业如需享受优惠政策，还须另行提供省级以上监狱管理局、戒毒管理局（含新疆生产建设兵团）出具的监狱企业证明文件】</w:t>
      </w:r>
    </w:p>
    <w:p w14:paraId="28DF1958">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本投标人郑重声明，根据《财政部司法部关于政府采购支持监狱企业发展有关问题的通知》（财库〔2014〕68号）的规定，本投标人参加</w:t>
      </w:r>
      <w:r>
        <w:rPr>
          <w:rFonts w:hint="eastAsia" w:ascii="仿宋" w:hAnsi="仿宋" w:eastAsia="仿宋" w:cs="仿宋"/>
          <w:b/>
          <w:bCs/>
          <w:color w:val="auto"/>
          <w:sz w:val="24"/>
          <w:szCs w:val="24"/>
          <w:u w:val="single"/>
        </w:rPr>
        <w:t>（单位名称）</w:t>
      </w:r>
      <w:r>
        <w:rPr>
          <w:rFonts w:hint="eastAsia" w:ascii="仿宋" w:hAnsi="仿宋" w:eastAsia="仿宋" w:cs="仿宋"/>
          <w:color w:val="auto"/>
          <w:sz w:val="24"/>
          <w:szCs w:val="24"/>
        </w:rPr>
        <w:t>的</w:t>
      </w:r>
      <w:r>
        <w:rPr>
          <w:rFonts w:hint="eastAsia" w:ascii="仿宋" w:hAnsi="仿宋" w:eastAsia="仿宋" w:cs="仿宋"/>
          <w:b/>
          <w:bCs/>
          <w:color w:val="auto"/>
          <w:sz w:val="24"/>
          <w:szCs w:val="24"/>
          <w:u w:val="single"/>
        </w:rPr>
        <w:t>（项目名称）</w:t>
      </w:r>
      <w:r>
        <w:rPr>
          <w:rFonts w:hint="eastAsia" w:ascii="仿宋" w:hAnsi="仿宋" w:eastAsia="仿宋" w:cs="仿宋"/>
          <w:color w:val="auto"/>
          <w:sz w:val="24"/>
          <w:szCs w:val="24"/>
        </w:rPr>
        <w:t>采购活动，服务全部由符合政策要求的监狱企业承接。相关监狱企业的具体情况如下：</w:t>
      </w:r>
    </w:p>
    <w:p w14:paraId="79F5F3E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
          <w:bCs/>
          <w:color w:val="auto"/>
          <w:sz w:val="24"/>
          <w:szCs w:val="24"/>
          <w:u w:val="single"/>
        </w:rPr>
        <w:t xml:space="preserve"> （标的名称）</w:t>
      </w:r>
      <w:r>
        <w:rPr>
          <w:rFonts w:hint="eastAsia" w:ascii="仿宋" w:hAnsi="仿宋" w:eastAsia="仿宋" w:cs="仿宋"/>
          <w:color w:val="auto"/>
          <w:sz w:val="24"/>
          <w:szCs w:val="24"/>
        </w:rPr>
        <w:t xml:space="preserve"> ，承接单位为</w:t>
      </w:r>
      <w:r>
        <w:rPr>
          <w:rFonts w:hint="eastAsia" w:ascii="仿宋" w:hAnsi="仿宋" w:eastAsia="仿宋" w:cs="仿宋"/>
          <w:b/>
          <w:bCs/>
          <w:color w:val="auto"/>
          <w:sz w:val="24"/>
          <w:szCs w:val="24"/>
          <w:u w:val="single"/>
        </w:rPr>
        <w:t>（企业名称）</w:t>
      </w:r>
      <w:r>
        <w:rPr>
          <w:rFonts w:hint="eastAsia" w:ascii="仿宋" w:hAnsi="仿宋" w:eastAsia="仿宋" w:cs="仿宋"/>
          <w:color w:val="auto"/>
          <w:sz w:val="24"/>
          <w:szCs w:val="24"/>
        </w:rPr>
        <w:t>，属于</w:t>
      </w:r>
      <w:r>
        <w:rPr>
          <w:rFonts w:hint="eastAsia" w:ascii="仿宋" w:hAnsi="仿宋" w:eastAsia="仿宋" w:cs="仿宋"/>
          <w:b/>
          <w:bCs/>
          <w:color w:val="auto"/>
          <w:sz w:val="24"/>
          <w:szCs w:val="24"/>
          <w:u w:val="single"/>
        </w:rPr>
        <w:t>监狱企业</w:t>
      </w:r>
      <w:r>
        <w:rPr>
          <w:rFonts w:hint="eastAsia" w:ascii="仿宋" w:hAnsi="仿宋" w:eastAsia="仿宋" w:cs="仿宋"/>
          <w:color w:val="auto"/>
          <w:sz w:val="24"/>
          <w:szCs w:val="24"/>
        </w:rPr>
        <w:t>；</w:t>
      </w:r>
    </w:p>
    <w:p w14:paraId="3F7FA9A1">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
          <w:bCs/>
          <w:color w:val="auto"/>
          <w:sz w:val="24"/>
          <w:szCs w:val="24"/>
          <w:u w:val="single"/>
        </w:rPr>
        <w:t xml:space="preserve"> （标的名称）</w:t>
      </w:r>
      <w:r>
        <w:rPr>
          <w:rFonts w:hint="eastAsia" w:ascii="仿宋" w:hAnsi="仿宋" w:eastAsia="仿宋" w:cs="仿宋"/>
          <w:color w:val="auto"/>
          <w:sz w:val="24"/>
          <w:szCs w:val="24"/>
        </w:rPr>
        <w:t xml:space="preserve"> ，承接单位为</w:t>
      </w:r>
      <w:r>
        <w:rPr>
          <w:rFonts w:hint="eastAsia" w:ascii="仿宋" w:hAnsi="仿宋" w:eastAsia="仿宋" w:cs="仿宋"/>
          <w:b/>
          <w:bCs/>
          <w:color w:val="auto"/>
          <w:sz w:val="24"/>
          <w:szCs w:val="24"/>
          <w:u w:val="single"/>
        </w:rPr>
        <w:t>（企业名称）</w:t>
      </w:r>
      <w:r>
        <w:rPr>
          <w:rFonts w:hint="eastAsia" w:ascii="仿宋" w:hAnsi="仿宋" w:eastAsia="仿宋" w:cs="仿宋"/>
          <w:color w:val="auto"/>
          <w:sz w:val="24"/>
          <w:szCs w:val="24"/>
        </w:rPr>
        <w:t>，属于</w:t>
      </w:r>
      <w:r>
        <w:rPr>
          <w:rFonts w:hint="eastAsia" w:ascii="仿宋" w:hAnsi="仿宋" w:eastAsia="仿宋" w:cs="仿宋"/>
          <w:b/>
          <w:bCs/>
          <w:color w:val="auto"/>
          <w:sz w:val="24"/>
          <w:szCs w:val="24"/>
          <w:u w:val="single"/>
        </w:rPr>
        <w:t>监狱企业</w:t>
      </w:r>
      <w:r>
        <w:rPr>
          <w:rFonts w:hint="eastAsia" w:ascii="仿宋" w:hAnsi="仿宋" w:eastAsia="仿宋" w:cs="仿宋"/>
          <w:color w:val="auto"/>
          <w:sz w:val="24"/>
          <w:szCs w:val="24"/>
        </w:rPr>
        <w:t>。</w:t>
      </w:r>
    </w:p>
    <w:p w14:paraId="5D091A72">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5BCDC17F">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本投标人对上述声明内容的真实性负责。如有虚假，将依法承担相应责任。</w:t>
      </w:r>
    </w:p>
    <w:p w14:paraId="43815DBA">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附：省级以上监狱管理局、戒毒管理局（含新疆生产建设兵团）出具的监狱企业证明文件。</w:t>
      </w:r>
    </w:p>
    <w:p w14:paraId="41D9EB0C">
      <w:pPr>
        <w:ind w:firstLine="480" w:firstLineChars="200"/>
        <w:rPr>
          <w:rFonts w:hint="eastAsia" w:ascii="仿宋" w:hAnsi="仿宋" w:eastAsia="仿宋" w:cs="仿宋"/>
          <w:color w:val="auto"/>
          <w:sz w:val="24"/>
          <w:szCs w:val="24"/>
        </w:rPr>
      </w:pPr>
    </w:p>
    <w:p w14:paraId="55ED1DDB">
      <w:pPr>
        <w:wordWrap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企业名称：            </w:t>
      </w:r>
    </w:p>
    <w:p w14:paraId="3371EEE5">
      <w:pPr>
        <w:pStyle w:val="4"/>
        <w:spacing w:line="360" w:lineRule="auto"/>
        <w:jc w:val="center"/>
        <w:rPr>
          <w:rFonts w:hint="eastAsia" w:ascii="仿宋" w:hAnsi="仿宋" w:eastAsia="仿宋" w:cs="仿宋"/>
          <w:color w:val="auto"/>
          <w:sz w:val="24"/>
          <w:szCs w:val="24"/>
        </w:rPr>
      </w:pPr>
      <w:r>
        <w:rPr>
          <w:rFonts w:hint="eastAsia" w:ascii="仿宋" w:hAnsi="仿宋" w:eastAsia="仿宋" w:cs="仿宋"/>
          <w:b w:val="0"/>
          <w:bCs w:val="0"/>
          <w:color w:val="auto"/>
          <w:kern w:val="2"/>
          <w:sz w:val="24"/>
          <w:szCs w:val="24"/>
          <w:lang w:val="en-US" w:eastAsia="zh-CN" w:bidi="ar-SA"/>
        </w:rPr>
        <w:t xml:space="preserve">                                     日  期：</w:t>
      </w:r>
      <w:r>
        <w:rPr>
          <w:rFonts w:hint="eastAsia" w:ascii="仿宋" w:hAnsi="仿宋" w:eastAsia="仿宋" w:cs="仿宋"/>
          <w:color w:val="auto"/>
          <w:sz w:val="24"/>
          <w:szCs w:val="24"/>
        </w:rPr>
        <w:t xml:space="preserve">  </w:t>
      </w:r>
    </w:p>
    <w:p w14:paraId="6B6F2AF1">
      <w:pPr>
        <w:pStyle w:val="4"/>
        <w:spacing w:line="360" w:lineRule="auto"/>
        <w:jc w:val="both"/>
        <w:rPr>
          <w:rFonts w:hint="eastAsia" w:ascii="仿宋" w:hAnsi="仿宋" w:eastAsia="仿宋" w:cs="仿宋"/>
          <w:sz w:val="24"/>
          <w:szCs w:val="24"/>
        </w:rPr>
      </w:pPr>
      <w:r>
        <w:rPr>
          <w:rFonts w:hint="eastAsia" w:ascii="仿宋" w:hAnsi="仿宋" w:eastAsia="仿宋" w:cs="仿宋"/>
          <w:color w:val="FF0000"/>
          <w:sz w:val="24"/>
          <w:szCs w:val="24"/>
        </w:rPr>
        <w:t xml:space="preserve">   </w:t>
      </w:r>
      <w:r>
        <w:rPr>
          <w:rFonts w:hint="eastAsia" w:ascii="仿宋" w:hAnsi="仿宋" w:eastAsia="仿宋" w:cs="仿宋"/>
          <w:sz w:val="24"/>
          <w:szCs w:val="24"/>
        </w:rPr>
        <w:t xml:space="preserve">  </w:t>
      </w:r>
    </w:p>
    <w:p w14:paraId="0BA3972D">
      <w:pPr>
        <w:rPr>
          <w:rFonts w:hint="eastAsia" w:ascii="仿宋" w:hAnsi="仿宋" w:eastAsia="仿宋" w:cs="仿宋"/>
          <w:sz w:val="24"/>
          <w:szCs w:val="24"/>
        </w:rPr>
      </w:pPr>
    </w:p>
    <w:p w14:paraId="2CB9F203">
      <w:pPr>
        <w:pStyle w:val="6"/>
        <w:rPr>
          <w:rFonts w:hint="eastAsia"/>
        </w:rPr>
      </w:pPr>
    </w:p>
    <w:p w14:paraId="53367AC9">
      <w:pPr>
        <w:jc w:val="center"/>
        <w:rPr>
          <w:rFonts w:eastAsia="宋体"/>
        </w:rPr>
      </w:pPr>
      <w:r>
        <w:rPr>
          <w:rFonts w:hint="eastAsia" w:ascii="仿宋" w:hAnsi="仿宋" w:eastAsia="仿宋" w:cs="仿宋"/>
          <w:b/>
          <w:bCs/>
          <w:color w:val="000000"/>
          <w:kern w:val="0"/>
          <w:sz w:val="28"/>
          <w:szCs w:val="28"/>
          <w:lang w:val="en-US" w:eastAsia="zh-CN" w:bidi="ar-SA"/>
        </w:rPr>
        <w:t>三、</w:t>
      </w:r>
      <w:bookmarkStart w:id="2" w:name="OLE_LINK7"/>
      <w:r>
        <w:rPr>
          <w:rFonts w:hint="eastAsia" w:ascii="仿宋" w:hAnsi="仿宋" w:eastAsia="仿宋" w:cs="仿宋"/>
          <w:b/>
          <w:bCs/>
          <w:color w:val="000000"/>
          <w:kern w:val="0"/>
          <w:sz w:val="28"/>
          <w:szCs w:val="28"/>
          <w:lang w:val="en-US" w:eastAsia="zh-CN" w:bidi="ar-SA"/>
        </w:rPr>
        <w:t>法定代表人/负责人资格证明书及授权委托书</w:t>
      </w:r>
      <w:bookmarkEnd w:id="2"/>
    </w:p>
    <w:p w14:paraId="5C684EB6">
      <w:pPr>
        <w:rPr>
          <w:rFonts w:ascii="仿宋" w:hAnsi="仿宋" w:eastAsia="仿宋" w:cs="仿宋"/>
        </w:rPr>
      </w:pPr>
    </w:p>
    <w:p w14:paraId="20077563">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（1）法定代表人/负责人资格证明书</w:t>
      </w:r>
    </w:p>
    <w:p w14:paraId="60357294">
      <w:pPr>
        <w:spacing w:line="360" w:lineRule="auto"/>
        <w:jc w:val="center"/>
        <w:rPr>
          <w:rFonts w:ascii="仿宋" w:hAnsi="仿宋" w:eastAsia="仿宋" w:cs="仿宋"/>
          <w:b/>
          <w:color w:val="000000"/>
          <w:sz w:val="24"/>
        </w:rPr>
      </w:pPr>
    </w:p>
    <w:p w14:paraId="3F554565">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14:paraId="7255C845">
      <w:pPr>
        <w:adjustRightInd w:val="0"/>
        <w:snapToGrid w:val="0"/>
        <w:spacing w:line="360" w:lineRule="auto"/>
        <w:ind w:firstLine="105" w:firstLineChars="50"/>
        <w:rPr>
          <w:rFonts w:ascii="仿宋" w:hAnsi="仿宋" w:eastAsia="仿宋" w:cs="仿宋"/>
          <w:color w:val="000000"/>
          <w:szCs w:val="21"/>
        </w:rPr>
      </w:pPr>
    </w:p>
    <w:p w14:paraId="27C1BA8D">
      <w:pPr>
        <w:rPr>
          <w:rFonts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14:paraId="201B6223">
      <w:pPr>
        <w:ind w:firstLine="240" w:firstLineChars="100"/>
        <w:rPr>
          <w:rFonts w:ascii="仿宋" w:hAnsi="仿宋" w:eastAsia="仿宋" w:cs="仿宋"/>
          <w:color w:val="000000"/>
          <w:sz w:val="24"/>
        </w:rPr>
      </w:pPr>
      <w:r>
        <w:rPr>
          <w:rFonts w:hint="eastAsia" w:ascii="仿宋" w:hAnsi="仿宋" w:eastAsia="仿宋" w:cs="仿宋"/>
          <w:color w:val="000000"/>
          <w:sz w:val="24"/>
        </w:rPr>
        <w:t>签发日期：           单位：           （盖章）</w:t>
      </w:r>
    </w:p>
    <w:p w14:paraId="4E86EFD3">
      <w:pPr>
        <w:ind w:firstLine="240" w:firstLineChars="100"/>
        <w:rPr>
          <w:rFonts w:ascii="仿宋" w:hAnsi="仿宋" w:eastAsia="仿宋" w:cs="仿宋"/>
          <w:color w:val="000000"/>
          <w:sz w:val="24"/>
        </w:rPr>
      </w:pPr>
      <w:r>
        <w:rPr>
          <w:rFonts w:hint="eastAsia" w:ascii="仿宋" w:hAnsi="仿宋" w:eastAsia="仿宋" w:cs="仿宋"/>
          <w:color w:val="000000"/>
          <w:sz w:val="24"/>
        </w:rPr>
        <w:t>附：代表人性别：            年龄：           身份证号码：</w:t>
      </w:r>
    </w:p>
    <w:p w14:paraId="64ADF978">
      <w:pPr>
        <w:ind w:firstLine="240" w:firstLineChars="100"/>
        <w:rPr>
          <w:rFonts w:ascii="仿宋" w:hAnsi="仿宋" w:eastAsia="仿宋" w:cs="仿宋"/>
          <w:color w:val="000000"/>
          <w:sz w:val="24"/>
        </w:rPr>
      </w:pPr>
      <w:r>
        <w:rPr>
          <w:rFonts w:hint="eastAsia" w:ascii="仿宋" w:hAnsi="仿宋" w:eastAsia="仿宋" w:cs="仿宋"/>
          <w:color w:val="000000"/>
          <w:sz w:val="24"/>
        </w:rPr>
        <w:t>联系电话：</w:t>
      </w:r>
    </w:p>
    <w:p w14:paraId="14E0BB18">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14:paraId="6E781AFB">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14:paraId="320C6203">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14:paraId="6BEE2739">
      <w:pPr>
        <w:rPr>
          <w:rFonts w:ascii="仿宋" w:hAnsi="仿宋" w:eastAsia="仿宋" w:cs="仿宋"/>
          <w:color w:val="000000"/>
          <w:sz w:val="24"/>
        </w:rPr>
      </w:pPr>
    </w:p>
    <w:p w14:paraId="34B4EBDC">
      <w:pPr>
        <w:rPr>
          <w:rFonts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14:paraId="2ED8FFDA">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14:paraId="493AB2EB">
      <w:pPr>
        <w:ind w:firstLine="720" w:firstLineChars="300"/>
        <w:rPr>
          <w:rFonts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14:paraId="6CD6CF2A">
      <w:pPr>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14:paraId="171D8143">
      <w:pPr>
        <w:spacing w:line="360" w:lineRule="auto"/>
        <w:rPr>
          <w:rFonts w:ascii="仿宋" w:hAnsi="仿宋" w:eastAsia="仿宋" w:cs="仿宋"/>
          <w:b/>
          <w:color w:val="000000"/>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291465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0CA523">
                            <w:pPr>
                              <w:jc w:val="center"/>
                              <w:rPr>
                                <w:rFonts w:hAnsi="宋体"/>
                                <w:szCs w:val="21"/>
                              </w:rPr>
                            </w:pPr>
                          </w:p>
                          <w:p w14:paraId="3EA22E1B">
                            <w:pPr>
                              <w:jc w:val="center"/>
                              <w:rPr>
                                <w:rFonts w:hAnsi="宋体"/>
                                <w:szCs w:val="21"/>
                              </w:rPr>
                            </w:pPr>
                          </w:p>
                          <w:p w14:paraId="5A056CAA">
                            <w:pPr>
                              <w:jc w:val="center"/>
                              <w:rPr>
                                <w:rFonts w:hAnsi="宋体"/>
                                <w:szCs w:val="21"/>
                              </w:rPr>
                            </w:pPr>
                          </w:p>
                          <w:p w14:paraId="37755EC4">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60288;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14:paraId="1E0CA523">
                      <w:pPr>
                        <w:jc w:val="center"/>
                        <w:rPr>
                          <w:rFonts w:hAnsi="宋体"/>
                          <w:szCs w:val="21"/>
                        </w:rPr>
                      </w:pPr>
                    </w:p>
                    <w:p w14:paraId="3EA22E1B">
                      <w:pPr>
                        <w:jc w:val="center"/>
                        <w:rPr>
                          <w:rFonts w:hAnsi="宋体"/>
                          <w:szCs w:val="21"/>
                        </w:rPr>
                      </w:pPr>
                    </w:p>
                    <w:p w14:paraId="5A056CAA">
                      <w:pPr>
                        <w:jc w:val="center"/>
                        <w:rPr>
                          <w:rFonts w:hAnsi="宋体"/>
                          <w:szCs w:val="21"/>
                        </w:rPr>
                      </w:pPr>
                    </w:p>
                    <w:p w14:paraId="37755EC4">
                      <w:pPr>
                        <w:jc w:val="center"/>
                        <w:rPr>
                          <w:szCs w:val="21"/>
                        </w:rPr>
                      </w:pPr>
                      <w:r>
                        <w:rPr>
                          <w:rFonts w:hint="eastAsia" w:ascii="仿宋" w:hAnsi="仿宋" w:eastAsia="仿宋" w:cs="仿宋"/>
                          <w:szCs w:val="21"/>
                        </w:rPr>
                        <w:t>法定代表人/负责人身份证复印件</w:t>
                      </w:r>
                    </w:p>
                  </w:txbxContent>
                </v:textbox>
              </v:shape>
            </w:pict>
          </mc:Fallback>
        </mc:AlternateContent>
      </w:r>
    </w:p>
    <w:p w14:paraId="324A6DEE">
      <w:pPr>
        <w:spacing w:line="360" w:lineRule="auto"/>
        <w:rPr>
          <w:rFonts w:ascii="仿宋" w:hAnsi="仿宋" w:eastAsia="仿宋" w:cs="仿宋"/>
          <w:b/>
          <w:color w:val="000000"/>
          <w:sz w:val="28"/>
          <w:szCs w:val="28"/>
        </w:rPr>
      </w:pPr>
    </w:p>
    <w:p w14:paraId="72CF6181">
      <w:pPr>
        <w:spacing w:line="360" w:lineRule="auto"/>
        <w:rPr>
          <w:rFonts w:ascii="仿宋" w:hAnsi="仿宋" w:eastAsia="仿宋" w:cs="仿宋"/>
          <w:b/>
          <w:color w:val="000000"/>
          <w:sz w:val="28"/>
          <w:szCs w:val="28"/>
        </w:rPr>
      </w:pPr>
    </w:p>
    <w:p w14:paraId="3B8A1068">
      <w:pPr>
        <w:spacing w:line="360" w:lineRule="auto"/>
        <w:rPr>
          <w:rFonts w:ascii="仿宋" w:hAnsi="仿宋" w:eastAsia="仿宋" w:cs="仿宋"/>
          <w:b/>
          <w:color w:val="000000"/>
          <w:sz w:val="28"/>
          <w:szCs w:val="28"/>
        </w:rPr>
      </w:pPr>
    </w:p>
    <w:p w14:paraId="1261E9B7">
      <w:pPr>
        <w:spacing w:line="360" w:lineRule="auto"/>
        <w:rPr>
          <w:rFonts w:ascii="仿宋" w:hAnsi="仿宋" w:eastAsia="仿宋" w:cs="仿宋"/>
          <w:b/>
          <w:color w:val="000000"/>
          <w:sz w:val="28"/>
          <w:szCs w:val="28"/>
        </w:rPr>
      </w:pPr>
    </w:p>
    <w:p w14:paraId="78146ACA">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ascii="仿宋" w:hAnsi="仿宋" w:eastAsia="仿宋" w:cs="仿宋"/>
          <w:b/>
          <w:color w:val="000000"/>
          <w:sz w:val="24"/>
        </w:rPr>
      </w:pPr>
    </w:p>
    <w:p w14:paraId="6F94A44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14:paraId="4CBEC83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r>
        <w:rPr>
          <w:rFonts w:hint="eastAsia" w:ascii="仿宋" w:hAnsi="仿宋" w:eastAsia="仿宋" w:cs="仿宋"/>
          <w:b/>
          <w:color w:val="000000"/>
          <w:sz w:val="24"/>
        </w:rPr>
        <w:t>（2）法定代表人/负责人授权委托书</w:t>
      </w:r>
    </w:p>
    <w:p w14:paraId="2981050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14:paraId="01965FF3">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14:paraId="6A3A2FD3">
      <w:pPr>
        <w:ind w:firstLine="480" w:firstLineChars="200"/>
        <w:rPr>
          <w:rFonts w:ascii="仿宋" w:hAnsi="仿宋" w:eastAsia="仿宋" w:cs="仿宋"/>
          <w:color w:val="000000"/>
          <w:sz w:val="24"/>
        </w:rPr>
      </w:pPr>
    </w:p>
    <w:p w14:paraId="42C56BE3">
      <w:pPr>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7F1368CB">
      <w:pPr>
        <w:rPr>
          <w:rFonts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14:paraId="44512CBF">
      <w:pPr>
        <w:rPr>
          <w:rFonts w:ascii="仿宋" w:hAnsi="仿宋" w:eastAsia="仿宋" w:cs="仿宋"/>
          <w:color w:val="000000"/>
          <w:sz w:val="24"/>
        </w:rPr>
      </w:pPr>
      <w:r>
        <w:rPr>
          <w:rFonts w:hint="eastAsia" w:ascii="仿宋" w:hAnsi="仿宋" w:eastAsia="仿宋" w:cs="仿宋"/>
          <w:color w:val="000000"/>
          <w:sz w:val="24"/>
        </w:rPr>
        <w:t>有效期限：至        年       月      日       签发日期：</w:t>
      </w:r>
    </w:p>
    <w:p w14:paraId="4357FFE9">
      <w:pPr>
        <w:rPr>
          <w:rFonts w:ascii="仿宋" w:hAnsi="仿宋" w:eastAsia="仿宋" w:cs="仿宋"/>
          <w:color w:val="000000"/>
          <w:sz w:val="24"/>
        </w:rPr>
      </w:pPr>
      <w:r>
        <w:rPr>
          <w:rFonts w:hint="eastAsia" w:ascii="仿宋" w:hAnsi="仿宋" w:eastAsia="仿宋" w:cs="仿宋"/>
          <w:color w:val="000000"/>
          <w:sz w:val="24"/>
        </w:rPr>
        <w:t>附：代理人性别：        年龄：       职务：         身份证号码：</w:t>
      </w:r>
    </w:p>
    <w:p w14:paraId="43831F26">
      <w:pPr>
        <w:rPr>
          <w:rFonts w:ascii="仿宋" w:hAnsi="仿宋" w:eastAsia="仿宋" w:cs="仿宋"/>
          <w:color w:val="000000"/>
          <w:sz w:val="24"/>
        </w:rPr>
      </w:pPr>
      <w:r>
        <w:rPr>
          <w:rFonts w:hint="eastAsia" w:ascii="仿宋" w:hAnsi="仿宋" w:eastAsia="仿宋" w:cs="仿宋"/>
          <w:color w:val="000000"/>
          <w:sz w:val="24"/>
        </w:rPr>
        <w:t xml:space="preserve">  联系电话：</w:t>
      </w:r>
    </w:p>
    <w:p w14:paraId="01A97DA9">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14:paraId="03BBCB6A">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14:paraId="1FF872C0">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14:paraId="1C6D5F63">
      <w:pPr>
        <w:ind w:firstLine="240" w:firstLineChars="100"/>
        <w:rPr>
          <w:rFonts w:ascii="仿宋" w:hAnsi="仿宋" w:eastAsia="仿宋" w:cs="仿宋"/>
          <w:color w:val="000000"/>
          <w:sz w:val="24"/>
        </w:rPr>
      </w:pPr>
    </w:p>
    <w:p w14:paraId="59B71EFB">
      <w:pPr>
        <w:rPr>
          <w:rFonts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14:paraId="36E23780">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14:paraId="512A1520">
      <w:pPr>
        <w:ind w:firstLine="720" w:firstLineChars="300"/>
        <w:rPr>
          <w:rFonts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14:paraId="5F64FE55">
      <w:pPr>
        <w:ind w:firstLine="720" w:firstLineChars="300"/>
        <w:rPr>
          <w:rFonts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14:paraId="2CB05C0F">
      <w:pPr>
        <w:ind w:firstLine="736" w:firstLineChars="307"/>
        <w:rPr>
          <w:rFonts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14:paraId="507ECEA2">
      <w:pPr>
        <w:ind w:firstLine="736" w:firstLineChars="307"/>
        <w:rPr>
          <w:rFonts w:ascii="仿宋" w:hAnsi="仿宋" w:eastAsia="仿宋" w:cs="仿宋"/>
          <w:color w:val="000000"/>
          <w:sz w:val="24"/>
        </w:rPr>
      </w:pPr>
      <w:r>
        <w:rPr>
          <w:rFonts w:hint="eastAsia" w:ascii="仿宋" w:hAnsi="仿宋" w:eastAsia="仿宋" w:cs="仿宋"/>
          <w:color w:val="000000"/>
          <w:sz w:val="24"/>
        </w:rPr>
        <w:t>6.投标签字代表为法定代表人，则本表不适用。</w:t>
      </w:r>
    </w:p>
    <w:p w14:paraId="1BA31EBF">
      <w:pPr>
        <w:spacing w:line="360" w:lineRule="auto"/>
        <w:ind w:firstLine="420"/>
        <w:rPr>
          <w:rFonts w:ascii="仿宋" w:hAnsi="仿宋" w:eastAsia="仿宋" w:cs="仿宋"/>
          <w:color w:val="000000"/>
          <w:sz w:val="24"/>
          <w:u w:val="single"/>
        </w:rPr>
      </w:pPr>
    </w:p>
    <w:p w14:paraId="3B1036CA">
      <w:pPr>
        <w:jc w:val="center"/>
        <w:rPr>
          <w:rFonts w:ascii="仿宋" w:hAnsi="仿宋" w:eastAsia="仿宋" w:cs="仿宋"/>
          <w:color w:val="000000"/>
          <w:szCs w:val="21"/>
        </w:rPr>
      </w:pPr>
    </w:p>
    <w:p w14:paraId="4F1CB77F">
      <w:pPr>
        <w:spacing w:line="360" w:lineRule="auto"/>
        <w:ind w:firstLine="420"/>
        <w:rPr>
          <w:rFonts w:ascii="仿宋" w:hAnsi="仿宋" w:eastAsia="仿宋" w:cs="仿宋"/>
          <w:color w:val="000000"/>
          <w:sz w:val="28"/>
          <w:szCs w:val="28"/>
          <w:u w:val="single"/>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-139700</wp:posOffset>
                </wp:positionV>
                <wp:extent cx="1933575" cy="1173480"/>
                <wp:effectExtent l="4445" t="4445" r="5080" b="22225"/>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13EB09">
                            <w:pPr>
                              <w:jc w:val="center"/>
                              <w:rPr>
                                <w:rFonts w:hAnsi="宋体"/>
                                <w:szCs w:val="21"/>
                              </w:rPr>
                            </w:pPr>
                          </w:p>
                          <w:p w14:paraId="19AEF5A6">
                            <w:pPr>
                              <w:jc w:val="center"/>
                              <w:rPr>
                                <w:rFonts w:hAnsi="宋体"/>
                                <w:szCs w:val="21"/>
                              </w:rPr>
                            </w:pPr>
                          </w:p>
                          <w:p w14:paraId="39E18D2F">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1312;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14:paraId="3313EB09">
                      <w:pPr>
                        <w:jc w:val="center"/>
                        <w:rPr>
                          <w:rFonts w:hAnsi="宋体"/>
                          <w:szCs w:val="21"/>
                        </w:rPr>
                      </w:pPr>
                    </w:p>
                    <w:p w14:paraId="19AEF5A6">
                      <w:pPr>
                        <w:jc w:val="center"/>
                        <w:rPr>
                          <w:rFonts w:hAnsi="宋体"/>
                          <w:szCs w:val="21"/>
                        </w:rPr>
                      </w:pPr>
                    </w:p>
                    <w:p w14:paraId="39E18D2F">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14:paraId="065AB080">
      <w:pPr>
        <w:spacing w:line="360" w:lineRule="auto"/>
        <w:ind w:firstLine="420"/>
        <w:rPr>
          <w:rFonts w:ascii="仿宋" w:hAnsi="仿宋" w:eastAsia="仿宋" w:cs="仿宋"/>
          <w:color w:val="000000"/>
          <w:sz w:val="28"/>
          <w:szCs w:val="28"/>
          <w:u w:val="single"/>
        </w:rPr>
      </w:pPr>
    </w:p>
    <w:p w14:paraId="722B327C">
      <w:pPr>
        <w:spacing w:line="360" w:lineRule="auto"/>
        <w:ind w:firstLine="420"/>
        <w:rPr>
          <w:rFonts w:ascii="仿宋" w:hAnsi="仿宋" w:eastAsia="仿宋" w:cs="仿宋"/>
          <w:color w:val="000000"/>
          <w:sz w:val="28"/>
          <w:szCs w:val="28"/>
          <w:u w:val="single"/>
        </w:rPr>
      </w:pPr>
    </w:p>
    <w:p w14:paraId="624062B9">
      <w:pPr>
        <w:spacing w:line="360" w:lineRule="auto"/>
        <w:ind w:firstLine="420"/>
        <w:rPr>
          <w:rFonts w:ascii="仿宋" w:hAnsi="仿宋" w:eastAsia="仿宋" w:cs="仿宋"/>
          <w:color w:val="000000"/>
          <w:sz w:val="28"/>
          <w:szCs w:val="28"/>
          <w:u w:val="single"/>
        </w:rPr>
      </w:pPr>
    </w:p>
    <w:p w14:paraId="5D3090AE">
      <w:pPr>
        <w:spacing w:line="360" w:lineRule="auto"/>
        <w:ind w:firstLine="420"/>
        <w:rPr>
          <w:rFonts w:ascii="仿宋" w:hAnsi="仿宋" w:eastAsia="仿宋" w:cs="仿宋"/>
          <w:color w:val="000000"/>
          <w:sz w:val="28"/>
          <w:szCs w:val="28"/>
          <w:u w:val="single"/>
        </w:rPr>
      </w:pPr>
    </w:p>
    <w:p w14:paraId="75FFA0E8">
      <w:pPr>
        <w:pStyle w:val="15"/>
        <w:numPr>
          <w:ilvl w:val="0"/>
          <w:numId w:val="0"/>
        </w:numPr>
        <w:autoSpaceDE w:val="0"/>
        <w:autoSpaceDN w:val="0"/>
        <w:spacing w:line="360" w:lineRule="auto"/>
        <w:ind w:leftChars="0"/>
        <w:jc w:val="center"/>
        <w:rPr>
          <w:rFonts w:ascii="仿宋" w:hAnsi="仿宋" w:eastAsia="仿宋" w:cs="仿宋"/>
          <w:b/>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4"/>
          <w:lang w:val="en-US" w:eastAsia="zh-CN"/>
        </w:rPr>
        <w:t>四、</w:t>
      </w:r>
      <w:r>
        <w:rPr>
          <w:rFonts w:hint="eastAsia" w:ascii="仿宋" w:hAnsi="仿宋" w:eastAsia="仿宋" w:cs="仿宋"/>
          <w:b/>
          <w:color w:val="000000"/>
          <w:sz w:val="28"/>
          <w:szCs w:val="28"/>
        </w:rPr>
        <w:t>开标一览表</w:t>
      </w:r>
    </w:p>
    <w:p w14:paraId="44D81B29">
      <w:pPr>
        <w:autoSpaceDE w:val="0"/>
        <w:autoSpaceDN w:val="0"/>
        <w:spacing w:line="360" w:lineRule="auto"/>
        <w:rPr>
          <w:rFonts w:ascii="仿宋" w:hAnsi="仿宋" w:eastAsia="仿宋" w:cs="仿宋"/>
          <w:b/>
          <w:color w:val="000000"/>
          <w:sz w:val="28"/>
          <w:szCs w:val="28"/>
        </w:rPr>
      </w:pPr>
    </w:p>
    <w:p w14:paraId="28FE9169">
      <w:pPr>
        <w:adjustRightInd w:val="0"/>
        <w:snapToGrid w:val="0"/>
        <w:spacing w:line="360" w:lineRule="auto"/>
        <w:rPr>
          <w:rFonts w:ascii="仿宋" w:hAnsi="仿宋" w:eastAsia="仿宋" w:cs="仿宋"/>
          <w:color w:val="000000"/>
          <w:sz w:val="24"/>
        </w:rPr>
      </w:pPr>
    </w:p>
    <w:p w14:paraId="7A53C0AF">
      <w:pPr>
        <w:adjustRightInd w:val="0"/>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14:paraId="37EC93FD">
      <w:pPr>
        <w:adjustRightInd w:val="0"/>
        <w:snapToGrid w:val="0"/>
        <w:spacing w:line="360" w:lineRule="auto"/>
        <w:rPr>
          <w:rFonts w:ascii="仿宋" w:hAnsi="仿宋" w:eastAsia="仿宋" w:cs="仿宋"/>
          <w:color w:val="000000"/>
          <w:sz w:val="24"/>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14:paraId="1C01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14:paraId="0D6BC135">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vAlign w:val="center"/>
          </w:tcPr>
          <w:p w14:paraId="5FD3F868">
            <w:pPr>
              <w:spacing w:line="360" w:lineRule="auto"/>
              <w:jc w:val="center"/>
              <w:rPr>
                <w:rFonts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14:paraId="1A717281">
      <w:pPr>
        <w:adjustRightInd w:val="0"/>
        <w:snapToGrid w:val="0"/>
        <w:spacing w:line="360" w:lineRule="auto"/>
        <w:rPr>
          <w:rFonts w:ascii="仿宋" w:hAnsi="仿宋" w:eastAsia="仿宋" w:cs="仿宋"/>
          <w:color w:val="000000"/>
          <w:sz w:val="24"/>
        </w:rPr>
      </w:pPr>
    </w:p>
    <w:p w14:paraId="7A21F23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14:paraId="654582D3">
      <w:pPr>
        <w:spacing w:line="360" w:lineRule="auto"/>
        <w:ind w:firstLine="964" w:firstLineChars="400"/>
        <w:rPr>
          <w:rFonts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14:paraId="5F506344">
      <w:pPr>
        <w:adjustRightInd w:val="0"/>
        <w:snapToGrid w:val="0"/>
        <w:spacing w:line="360" w:lineRule="auto"/>
        <w:rPr>
          <w:rFonts w:ascii="仿宋" w:hAnsi="仿宋" w:eastAsia="仿宋" w:cs="仿宋"/>
          <w:color w:val="000000"/>
          <w:sz w:val="24"/>
        </w:rPr>
      </w:pPr>
    </w:p>
    <w:p w14:paraId="077CD992">
      <w:pPr>
        <w:adjustRightInd w:val="0"/>
        <w:snapToGrid w:val="0"/>
        <w:spacing w:line="360" w:lineRule="auto"/>
        <w:rPr>
          <w:rFonts w:ascii="仿宋" w:hAnsi="仿宋" w:eastAsia="仿宋" w:cs="仿宋"/>
          <w:color w:val="000000"/>
          <w:sz w:val="24"/>
        </w:rPr>
      </w:pPr>
    </w:p>
    <w:p w14:paraId="681D9714">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14:paraId="1919C501">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投标人名称（签章） ： </w:t>
      </w:r>
    </w:p>
    <w:p w14:paraId="1494EFF4">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日期：  年  月  日</w:t>
      </w:r>
    </w:p>
    <w:p w14:paraId="09D73905">
      <w:pPr>
        <w:adjustRightInd w:val="0"/>
        <w:snapToGrid w:val="0"/>
        <w:spacing w:line="360" w:lineRule="auto"/>
        <w:ind w:left="-88" w:leftChars="-42"/>
        <w:jc w:val="center"/>
        <w:outlineLvl w:val="3"/>
        <w:rPr>
          <w:rFonts w:ascii="仿宋" w:hAnsi="仿宋" w:eastAsia="仿宋" w:cs="仿宋"/>
          <w:b/>
          <w:bCs/>
          <w:color w:val="000000"/>
          <w:sz w:val="24"/>
        </w:rPr>
      </w:pPr>
    </w:p>
    <w:p w14:paraId="2B714886">
      <w:pPr>
        <w:adjustRightInd w:val="0"/>
        <w:snapToGrid w:val="0"/>
        <w:spacing w:line="360" w:lineRule="auto"/>
        <w:ind w:left="-88" w:leftChars="-42"/>
        <w:jc w:val="center"/>
        <w:outlineLvl w:val="3"/>
        <w:rPr>
          <w:rFonts w:ascii="仿宋" w:hAnsi="仿宋" w:eastAsia="仿宋" w:cs="仿宋"/>
          <w:b/>
          <w:bCs/>
          <w:color w:val="000000"/>
          <w:sz w:val="24"/>
        </w:rPr>
      </w:pPr>
    </w:p>
    <w:p w14:paraId="7279C53D">
      <w:pPr>
        <w:adjustRightInd w:val="0"/>
        <w:snapToGrid w:val="0"/>
        <w:spacing w:line="360" w:lineRule="auto"/>
        <w:ind w:left="-88" w:leftChars="-42"/>
        <w:jc w:val="center"/>
        <w:outlineLvl w:val="3"/>
        <w:rPr>
          <w:rFonts w:ascii="仿宋" w:hAnsi="仿宋" w:eastAsia="仿宋" w:cs="仿宋"/>
          <w:b/>
          <w:bCs/>
          <w:color w:val="000000"/>
          <w:sz w:val="24"/>
        </w:rPr>
      </w:pPr>
    </w:p>
    <w:p w14:paraId="29D71508">
      <w:pPr>
        <w:adjustRightInd w:val="0"/>
        <w:snapToGrid w:val="0"/>
        <w:spacing w:line="360" w:lineRule="auto"/>
        <w:ind w:left="-88" w:leftChars="-42"/>
        <w:jc w:val="center"/>
        <w:outlineLvl w:val="3"/>
        <w:rPr>
          <w:rFonts w:ascii="仿宋" w:hAnsi="仿宋" w:eastAsia="仿宋" w:cs="仿宋"/>
          <w:b/>
          <w:bCs/>
          <w:color w:val="000000"/>
          <w:sz w:val="24"/>
        </w:rPr>
      </w:pPr>
    </w:p>
    <w:p w14:paraId="50B12725">
      <w:pPr>
        <w:adjustRightInd w:val="0"/>
        <w:snapToGrid w:val="0"/>
        <w:spacing w:line="360" w:lineRule="auto"/>
        <w:ind w:left="-88" w:leftChars="-42"/>
        <w:jc w:val="center"/>
        <w:outlineLvl w:val="3"/>
        <w:rPr>
          <w:rFonts w:ascii="仿宋" w:hAnsi="仿宋" w:eastAsia="仿宋" w:cs="仿宋"/>
          <w:b/>
          <w:bCs/>
          <w:color w:val="000000"/>
          <w:sz w:val="24"/>
        </w:rPr>
      </w:pPr>
      <w:r>
        <w:rPr>
          <w:rFonts w:hint="eastAsia" w:ascii="仿宋" w:hAnsi="仿宋" w:eastAsia="仿宋" w:cs="仿宋"/>
          <w:b/>
          <w:bCs/>
          <w:color w:val="000000"/>
          <w:sz w:val="24"/>
        </w:rPr>
        <w:br w:type="page"/>
      </w:r>
      <w:r>
        <w:rPr>
          <w:rFonts w:hint="eastAsia" w:ascii="仿宋" w:hAnsi="仿宋" w:eastAsia="仿宋" w:cs="仿宋"/>
          <w:b/>
          <w:bCs/>
          <w:color w:val="000000"/>
          <w:sz w:val="24"/>
          <w:lang w:val="en-US" w:eastAsia="zh-CN"/>
        </w:rPr>
        <w:t>五</w:t>
      </w:r>
      <w:r>
        <w:rPr>
          <w:rFonts w:hint="eastAsia" w:ascii="仿宋" w:hAnsi="仿宋" w:eastAsia="仿宋" w:cs="仿宋"/>
          <w:b/>
          <w:color w:val="000000"/>
          <w:sz w:val="28"/>
          <w:szCs w:val="28"/>
        </w:rPr>
        <w:t>、投标明细报价表</w:t>
      </w:r>
    </w:p>
    <w:p w14:paraId="2D28D1D9">
      <w:pPr>
        <w:adjustRightInd w:val="0"/>
        <w:snapToGrid w:val="0"/>
        <w:jc w:val="center"/>
        <w:rPr>
          <w:rFonts w:ascii="仿宋" w:hAnsi="仿宋" w:eastAsia="仿宋" w:cs="仿宋"/>
          <w:bCs/>
          <w:color w:val="000000"/>
          <w:sz w:val="28"/>
          <w:szCs w:val="28"/>
        </w:rPr>
      </w:pPr>
    </w:p>
    <w:p w14:paraId="762A91B0">
      <w:pPr>
        <w:numPr>
          <w:ilvl w:val="0"/>
          <w:numId w:val="7"/>
        </w:numPr>
        <w:adjustRightInd w:val="0"/>
        <w:spacing w:line="20" w:lineRule="atLeast"/>
        <w:rPr>
          <w:rFonts w:ascii="仿宋" w:hAnsi="仿宋" w:eastAsia="仿宋" w:cs="仿宋"/>
          <w:bCs/>
          <w:color w:val="000000"/>
          <w:sz w:val="28"/>
          <w:szCs w:val="28"/>
        </w:rPr>
      </w:pPr>
      <w:r>
        <w:rPr>
          <w:rFonts w:hint="eastAsia" w:ascii="仿宋" w:hAnsi="仿宋" w:eastAsia="仿宋" w:cs="仿宋"/>
          <w:bCs/>
          <w:color w:val="000000"/>
          <w:sz w:val="28"/>
          <w:szCs w:val="28"/>
        </w:rPr>
        <w:t>提供设备详细报价单。</w:t>
      </w:r>
    </w:p>
    <w:p w14:paraId="26AEB89C">
      <w:pPr>
        <w:adjustRightInd w:val="0"/>
        <w:spacing w:line="2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1.报价内容必须与服务方案中所介绍的内容、汇总金额与《投标报价一览表》相对应的金额一致。</w:t>
      </w:r>
    </w:p>
    <w:p w14:paraId="1B52A070">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 本项目所有价格均应以人民币报价，金额单位为元</w:t>
      </w:r>
    </w:p>
    <w:p w14:paraId="4B7F2E74">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3.报价明细表中的内容，可根据自身的实际情况、招标文件项目清单编制，体现服务项目内容、数量、单价及合价金额，分析说明和理由，格式不限。</w:t>
      </w:r>
    </w:p>
    <w:p w14:paraId="1A374A2E">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4.在报价表内未有明确列述的项目费用应视为包括在报价单价之内。</w:t>
      </w:r>
    </w:p>
    <w:p w14:paraId="2497A30A">
      <w:pPr>
        <w:adjustRightInd w:val="0"/>
        <w:spacing w:line="20" w:lineRule="atLeast"/>
        <w:ind w:firstLine="546" w:firstLineChars="195"/>
        <w:rPr>
          <w:rFonts w:ascii="仿宋" w:hAnsi="仿宋" w:eastAsia="仿宋" w:cs="仿宋"/>
          <w:bCs/>
          <w:color w:val="000000"/>
          <w:sz w:val="28"/>
          <w:szCs w:val="28"/>
        </w:rPr>
      </w:pPr>
      <w:r>
        <w:rPr>
          <w:rFonts w:hint="eastAsia" w:ascii="仿宋" w:hAnsi="仿宋" w:eastAsia="仿宋" w:cs="仿宋"/>
          <w:bCs/>
          <w:color w:val="000000"/>
          <w:sz w:val="28"/>
          <w:szCs w:val="28"/>
        </w:rPr>
        <w:t>5.如果不提供明细报价将视为没有实质性响应招标文件。</w:t>
      </w:r>
    </w:p>
    <w:p w14:paraId="415CC643">
      <w:pPr>
        <w:adjustRightInd w:val="0"/>
        <w:spacing w:line="20" w:lineRule="atLeast"/>
        <w:ind w:firstLine="546" w:firstLineChars="195"/>
        <w:rPr>
          <w:rFonts w:ascii="仿宋" w:hAnsi="仿宋" w:eastAsia="仿宋" w:cs="仿宋"/>
          <w:bCs/>
          <w:color w:val="000000"/>
          <w:sz w:val="24"/>
        </w:rPr>
      </w:pPr>
      <w:r>
        <w:rPr>
          <w:rFonts w:hint="eastAsia" w:ascii="仿宋" w:hAnsi="仿宋" w:eastAsia="仿宋" w:cs="仿宋"/>
          <w:bCs/>
          <w:color w:val="000000"/>
          <w:sz w:val="28"/>
          <w:szCs w:val="28"/>
        </w:rPr>
        <w:t xml:space="preserve">6. 详细报价表有投标人法定代表人/负责人（或法定代表人/负责人授权代表）签字，投标人名称(加盖公章)。 </w:t>
      </w:r>
    </w:p>
    <w:p w14:paraId="2EBD8DFA">
      <w:pPr>
        <w:spacing w:line="360" w:lineRule="auto"/>
        <w:rPr>
          <w:rFonts w:ascii="仿宋" w:hAnsi="仿宋" w:eastAsia="仿宋" w:cs="仿宋"/>
          <w:color w:val="000000"/>
        </w:rPr>
      </w:pPr>
    </w:p>
    <w:p w14:paraId="57CC9E18">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6、商务部分应提供的资料</w:t>
      </w:r>
    </w:p>
    <w:p w14:paraId="6B4976DF">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7、质保期承诺函（须加盖投标人公章）</w:t>
      </w:r>
    </w:p>
    <w:p w14:paraId="4FB24DC8">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8、技术部分资料</w:t>
      </w:r>
    </w:p>
    <w:p w14:paraId="72D18801">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9、投标人认为应该提供的其他资料</w:t>
      </w:r>
    </w:p>
    <w:p w14:paraId="2BD15E68">
      <w:pPr>
        <w:tabs>
          <w:tab w:val="left" w:pos="540"/>
        </w:tabs>
        <w:spacing w:line="360" w:lineRule="auto"/>
        <w:rPr>
          <w:rFonts w:ascii="仿宋" w:hAnsi="仿宋" w:eastAsia="仿宋" w:cs="仿宋"/>
          <w:b/>
          <w:color w:val="000000"/>
          <w:sz w:val="28"/>
          <w:szCs w:val="28"/>
        </w:rPr>
      </w:pPr>
    </w:p>
    <w:p w14:paraId="34AC6108">
      <w:pPr>
        <w:rPr>
          <w:rFonts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14:paraId="62D5BBF5">
      <w:pPr>
        <w:pStyle w:val="7"/>
        <w:rPr>
          <w:rFonts w:hint="eastAsia"/>
          <w:lang w:val="en-US" w:eastAsia="zh-CN"/>
        </w:rPr>
      </w:pPr>
    </w:p>
    <w:p w14:paraId="5883D1DA">
      <w:pPr>
        <w:rPr>
          <w:lang w:val="zh-CN"/>
        </w:rPr>
      </w:pPr>
    </w:p>
    <w:p w14:paraId="34BD73E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DE2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F5C8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1F5C8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57E6">
    <w:pPr>
      <w:pStyle w:val="10"/>
    </w:pPr>
  </w:p>
  <w:p w14:paraId="1B6FEC9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1A87"/>
    <w:multiLevelType w:val="singleLevel"/>
    <w:tmpl w:val="86F91A87"/>
    <w:lvl w:ilvl="0" w:tentative="0">
      <w:start w:val="2"/>
      <w:numFmt w:val="chineseCounting"/>
      <w:suff w:val="space"/>
      <w:lvlText w:val="第%1部分"/>
      <w:lvlJc w:val="left"/>
      <w:pPr>
        <w:ind w:left="0" w:firstLine="0"/>
      </w:pPr>
    </w:lvl>
  </w:abstractNum>
  <w:abstractNum w:abstractNumId="1">
    <w:nsid w:val="CF08B3D0"/>
    <w:multiLevelType w:val="singleLevel"/>
    <w:tmpl w:val="CF08B3D0"/>
    <w:lvl w:ilvl="0" w:tentative="0">
      <w:start w:val="1"/>
      <w:numFmt w:val="chineseCounting"/>
      <w:suff w:val="nothing"/>
      <w:lvlText w:val="%1、"/>
      <w:lvlJc w:val="left"/>
      <w:pPr>
        <w:ind w:left="105" w:firstLine="0"/>
      </w:pPr>
    </w:lvl>
  </w:abstractNum>
  <w:abstractNum w:abstractNumId="2">
    <w:nsid w:val="FC75BFC5"/>
    <w:multiLevelType w:val="singleLevel"/>
    <w:tmpl w:val="FC75BFC5"/>
    <w:lvl w:ilvl="0" w:tentative="0">
      <w:start w:val="1"/>
      <w:numFmt w:val="chineseCounting"/>
      <w:suff w:val="nothing"/>
      <w:lvlText w:val="%1、"/>
      <w:lvlJc w:val="left"/>
      <w:pPr>
        <w:ind w:left="0" w:firstLine="0"/>
      </w:pPr>
    </w:lvl>
  </w:abstractNum>
  <w:abstractNum w:abstractNumId="3">
    <w:nsid w:val="2D090AEC"/>
    <w:multiLevelType w:val="singleLevel"/>
    <w:tmpl w:val="2D090AEC"/>
    <w:lvl w:ilvl="0" w:tentative="0">
      <w:start w:val="2"/>
      <w:numFmt w:val="decimal"/>
      <w:suff w:val="space"/>
      <w:lvlText w:val="%1."/>
      <w:lvlJc w:val="left"/>
      <w:pPr>
        <w:ind w:left="0" w:firstLine="0"/>
      </w:pPr>
    </w:lvl>
  </w:abstractNum>
  <w:abstractNum w:abstractNumId="4">
    <w:nsid w:val="4E589F72"/>
    <w:multiLevelType w:val="singleLevel"/>
    <w:tmpl w:val="4E589F72"/>
    <w:lvl w:ilvl="0" w:tentative="0">
      <w:start w:val="1"/>
      <w:numFmt w:val="chineseCounting"/>
      <w:suff w:val="nothing"/>
      <w:lvlText w:val="%1、"/>
      <w:lvlJc w:val="left"/>
      <w:rPr>
        <w:rFonts w:hint="eastAsia"/>
      </w:rPr>
    </w:lvl>
  </w:abstractNum>
  <w:abstractNum w:abstractNumId="5">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pStyle w:val="2"/>
      <w:suff w:val="nothing"/>
      <w:lvlText w:val="%2. "/>
      <w:lvlJc w:val="left"/>
      <w:pPr>
        <w:ind w:left="0"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72AABAE8"/>
    <w:multiLevelType w:val="singleLevel"/>
    <w:tmpl w:val="72AABAE8"/>
    <w:lvl w:ilvl="0" w:tentative="0">
      <w:start w:val="2"/>
      <w:numFmt w:val="decimal"/>
      <w:suff w:val="space"/>
      <w:lvlText w:val="%1)"/>
      <w:lvlJc w:val="left"/>
      <w:pPr>
        <w:ind w:left="0" w:firstLine="0"/>
      </w:pPr>
    </w:lvl>
  </w:abstractNum>
  <w:num w:numId="1">
    <w:abstractNumId w:val="5"/>
  </w:num>
  <w:num w:numId="2">
    <w:abstractNumId w:val="3"/>
    <w:lvlOverride w:ilvl="0">
      <w:startOverride w:val="2"/>
    </w:lvlOverride>
  </w:num>
  <w:num w:numId="3">
    <w:abstractNumId w:val="0"/>
    <w:lvlOverride w:ilvl="0">
      <w:startOverride w:val="2"/>
    </w:lvlOverride>
  </w:num>
  <w:num w:numId="4">
    <w:abstractNumId w:val="4"/>
  </w:num>
  <w:num w:numId="5">
    <w:abstractNumId w:val="2"/>
    <w:lvlOverride w:ilvl="0">
      <w:startOverride w:val="1"/>
    </w:lvlOverride>
  </w:num>
  <w:num w:numId="6">
    <w:abstractNumId w:val="6"/>
    <w:lvlOverride w:ilvl="0">
      <w:startOverride w:val="2"/>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MTRiMjBhNzNjZDIyZjIwYjhlNjM2NmRmNDI3ZmMifQ=="/>
  </w:docVars>
  <w:rsids>
    <w:rsidRoot w:val="00000000"/>
    <w:rsid w:val="01F719E3"/>
    <w:rsid w:val="0F195384"/>
    <w:rsid w:val="11B32271"/>
    <w:rsid w:val="16500A3A"/>
    <w:rsid w:val="1A75281D"/>
    <w:rsid w:val="1D1B6FFA"/>
    <w:rsid w:val="21957C48"/>
    <w:rsid w:val="25E1520A"/>
    <w:rsid w:val="30907F59"/>
    <w:rsid w:val="32D70904"/>
    <w:rsid w:val="337F42B4"/>
    <w:rsid w:val="39C40613"/>
    <w:rsid w:val="435272F0"/>
    <w:rsid w:val="43A769EB"/>
    <w:rsid w:val="4A3A01E5"/>
    <w:rsid w:val="4E432731"/>
    <w:rsid w:val="56D976B4"/>
    <w:rsid w:val="587873A1"/>
    <w:rsid w:val="5AD81504"/>
    <w:rsid w:val="61A438E0"/>
    <w:rsid w:val="69043A1E"/>
    <w:rsid w:val="6E7855AD"/>
    <w:rsid w:val="70227EC6"/>
    <w:rsid w:val="75CD61DE"/>
    <w:rsid w:val="7D56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3">
    <w:name w:val="heading 3"/>
    <w:basedOn w:val="4"/>
    <w:next w:val="1"/>
    <w:autoRedefine/>
    <w:qFormat/>
    <w:uiPriority w:val="9"/>
    <w:pPr>
      <w:spacing w:before="260" w:after="260" w:line="240" w:lineRule="auto"/>
      <w:outlineLvl w:val="2"/>
    </w:pPr>
    <w:rPr>
      <w:rFonts w:ascii="宋体" w:hAnsi="宋体" w:eastAsia="宋体"/>
      <w:szCs w:val="32"/>
    </w:rPr>
  </w:style>
  <w:style w:type="paragraph" w:styleId="4">
    <w:name w:val="heading 4"/>
    <w:basedOn w:val="1"/>
    <w:next w:val="1"/>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autoRedefine/>
    <w:semiHidden/>
    <w:unhideWhenUsed/>
    <w:qFormat/>
    <w:uiPriority w:val="0"/>
    <w:pPr>
      <w:ind w:firstLine="420"/>
    </w:pPr>
    <w:rPr>
      <w:rFonts w:asciiTheme="minorHAnsi" w:hAnsiTheme="minorHAnsi" w:eastAsiaTheme="minorEastAsia" w:cstheme="minorBidi"/>
      <w:szCs w:val="22"/>
    </w:rPr>
  </w:style>
  <w:style w:type="paragraph" w:styleId="6">
    <w:name w:val="Body Text"/>
    <w:basedOn w:val="1"/>
    <w:next w:val="7"/>
    <w:autoRedefine/>
    <w:unhideWhenUsed/>
    <w:qFormat/>
    <w:uiPriority w:val="0"/>
    <w:pPr>
      <w:spacing w:after="120"/>
    </w:pPr>
  </w:style>
  <w:style w:type="paragraph" w:styleId="7">
    <w:name w:val="Body Text 2"/>
    <w:basedOn w:val="1"/>
    <w:autoRedefine/>
    <w:qFormat/>
    <w:uiPriority w:val="0"/>
    <w:pPr>
      <w:spacing w:line="360" w:lineRule="auto"/>
    </w:pPr>
    <w:rPr>
      <w:sz w:val="24"/>
    </w:rPr>
  </w:style>
  <w:style w:type="paragraph" w:styleId="8">
    <w:name w:val="Plain Text"/>
    <w:basedOn w:val="1"/>
    <w:next w:val="1"/>
    <w:autoRedefine/>
    <w:unhideWhenUsed/>
    <w:qFormat/>
    <w:uiPriority w:val="0"/>
    <w:rPr>
      <w:rFonts w:ascii="宋体" w:hAnsi="Courier New" w:cs="Courier New"/>
      <w:szCs w:val="21"/>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Emphasis"/>
    <w:autoRedefine/>
    <w:qFormat/>
    <w:uiPriority w:val="0"/>
    <w:rPr>
      <w:i/>
      <w:iCs/>
    </w:rPr>
  </w:style>
  <w:style w:type="paragraph" w:customStyle="1" w:styleId="14">
    <w:name w:val="表格文字"/>
    <w:basedOn w:val="1"/>
    <w:autoRedefine/>
    <w:qFormat/>
    <w:uiPriority w:val="0"/>
    <w:pPr>
      <w:spacing w:before="25" w:after="25"/>
      <w:jc w:val="left"/>
    </w:pPr>
    <w:rPr>
      <w:bCs/>
      <w:spacing w:val="10"/>
      <w:kern w:val="0"/>
      <w:sz w:val="24"/>
      <w:szCs w:val="20"/>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5440</Words>
  <Characters>5647</Characters>
  <Lines>0</Lines>
  <Paragraphs>0</Paragraphs>
  <TotalTime>7</TotalTime>
  <ScaleCrop>false</ScaleCrop>
  <LinksUpToDate>false</LinksUpToDate>
  <CharactersWithSpaces>5687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2023-11-13T03:11:00Z</dcterms:created>
  <dc:creator>Dell</dc:creator>
  <cp:lastModifiedBy>小容</cp:lastModifiedBy>
  <cp:lastPrinted>2024-11-22T01:13:00Z</cp:lastPrinted>
  <dcterms:modified xsi:type="dcterms:W3CDTF">2024-11-28T01:51:42Z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E1A536DBD3774911BD7764701B7FF7D8_13</vt:lpwstr>
  </property>
</Properties>
</file>