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eastAsia="黑体"/>
          <w:bCs/>
          <w:sz w:val="4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b/>
          <w:sz w:val="24"/>
          <w:szCs w:val="24"/>
        </w:rPr>
      </w:pPr>
      <w:r>
        <w:rPr>
          <w:rFonts w:ascii="Times New Roman" w:eastAsia="黑体"/>
          <w:bCs/>
          <w:sz w:val="44"/>
        </w:rPr>
        <w:t>评审办法和评审标准</w:t>
      </w:r>
    </w:p>
    <w:p>
      <w:pPr>
        <w:spacing w:line="440" w:lineRule="exact"/>
        <w:ind w:firstLine="542" w:firstLineChars="225"/>
        <w:rPr>
          <w:b/>
          <w:sz w:val="24"/>
          <w:szCs w:val="24"/>
        </w:rPr>
      </w:pPr>
    </w:p>
    <w:p>
      <w:pPr>
        <w:spacing w:line="440" w:lineRule="exact"/>
        <w:ind w:firstLine="542" w:firstLineChars="225"/>
        <w:rPr>
          <w:b/>
          <w:sz w:val="24"/>
          <w:szCs w:val="24"/>
        </w:rPr>
      </w:pPr>
      <w:r>
        <w:rPr>
          <w:b/>
          <w:sz w:val="24"/>
          <w:szCs w:val="24"/>
        </w:rPr>
        <w:t>一、评审办法</w:t>
      </w:r>
    </w:p>
    <w:p>
      <w:pPr>
        <w:spacing w:line="440" w:lineRule="exact"/>
        <w:ind w:firstLine="540" w:firstLineChars="225"/>
        <w:rPr>
          <w:sz w:val="24"/>
        </w:rPr>
      </w:pPr>
      <w:r>
        <w:rPr>
          <w:sz w:val="24"/>
        </w:rPr>
        <w:t>本项目采用综合评分法，评审结果按评审后得分由高到低顺序排列。得分相同的，按报价由低到高顺序排列，得分且报价相同的并列。</w:t>
      </w:r>
      <w:r>
        <w:rPr>
          <w:rFonts w:hint="eastAsia"/>
          <w:sz w:val="24"/>
          <w:lang w:val="en-US" w:eastAsia="zh-CN"/>
        </w:rPr>
        <w:t>评审</w:t>
      </w:r>
      <w:r>
        <w:rPr>
          <w:sz w:val="24"/>
        </w:rPr>
        <w:t>小组仅对确定为实质上</w:t>
      </w:r>
      <w:r>
        <w:rPr>
          <w:rFonts w:hint="eastAsia"/>
          <w:sz w:val="24"/>
          <w:lang w:val="en-US" w:eastAsia="zh-CN"/>
        </w:rPr>
        <w:t>满足</w:t>
      </w:r>
      <w:r>
        <w:rPr>
          <w:sz w:val="24"/>
        </w:rPr>
        <w:t>要求的</w:t>
      </w:r>
      <w:r>
        <w:rPr>
          <w:rFonts w:hint="eastAsia"/>
          <w:sz w:val="24"/>
          <w:lang w:val="en-US" w:eastAsia="zh-CN"/>
        </w:rPr>
        <w:t>应标</w:t>
      </w:r>
      <w:r>
        <w:rPr>
          <w:sz w:val="24"/>
        </w:rPr>
        <w:t>文件进行评价和比较，且按照评审因素的量化指标评审得分最高的供应商为排名第一的成交候选人。</w:t>
      </w:r>
      <w:bookmarkStart w:id="0" w:name="_GoBack"/>
      <w:bookmarkEnd w:id="0"/>
    </w:p>
    <w:p>
      <w:pPr>
        <w:spacing w:line="440" w:lineRule="exact"/>
        <w:ind w:firstLine="542" w:firstLineChars="225"/>
        <w:rPr>
          <w:b/>
          <w:sz w:val="24"/>
          <w:szCs w:val="24"/>
        </w:rPr>
      </w:pPr>
    </w:p>
    <w:p>
      <w:pPr>
        <w:spacing w:line="440" w:lineRule="exact"/>
        <w:ind w:firstLine="542" w:firstLineChars="225"/>
        <w:rPr>
          <w:rFonts w:hint="eastAsia" w:asciiTheme="minorEastAsia" w:hAnsiTheme="minorEastAsia" w:eastAsiaTheme="minorEastAsia"/>
          <w:sz w:val="24"/>
        </w:rPr>
      </w:pPr>
      <w:r>
        <w:rPr>
          <w:b/>
          <w:sz w:val="24"/>
          <w:szCs w:val="24"/>
        </w:rPr>
        <w:t>二、评审标准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（一）价格分</w:t>
      </w:r>
      <w:r>
        <w:rPr>
          <w:rFonts w:hint="eastAsia" w:asciiTheme="minorEastAsia" w:hAnsiTheme="minorEastAsia" w:eastAsiaTheme="minorEastAsia"/>
          <w:sz w:val="24"/>
          <w:lang w:val="en-US" w:eastAsia="zh-CN"/>
        </w:rPr>
        <w:t>20</w:t>
      </w:r>
      <w:r>
        <w:rPr>
          <w:rFonts w:hint="eastAsia" w:asciiTheme="minorEastAsia" w:hAnsiTheme="minorEastAsia" w:eastAsiaTheme="minorEastAsia"/>
          <w:sz w:val="24"/>
        </w:rPr>
        <w:t>分</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对各供应商的最后报价按照低价优先法计算，满足</w:t>
      </w:r>
      <w:r>
        <w:rPr>
          <w:rFonts w:hint="eastAsia" w:asciiTheme="minorEastAsia" w:hAnsiTheme="minorEastAsia" w:eastAsiaTheme="minorEastAsia"/>
          <w:sz w:val="24"/>
          <w:lang w:val="en-US" w:eastAsia="zh-CN"/>
        </w:rPr>
        <w:t>应标</w:t>
      </w:r>
      <w:r>
        <w:rPr>
          <w:rFonts w:hint="eastAsia" w:asciiTheme="minorEastAsia" w:hAnsiTheme="minorEastAsia" w:eastAsiaTheme="minorEastAsia"/>
          <w:sz w:val="24"/>
        </w:rPr>
        <w:t>文件要求且最后报价最低的供应商的价格为基准价，其价格分为满分。其他供应商的价格分统一按照下列公式计算：</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报价得分=（基准价/最后报价）×价格权值×100</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（二）技术分</w:t>
      </w:r>
      <w:r>
        <w:rPr>
          <w:rFonts w:hint="eastAsia" w:asciiTheme="minorEastAsia" w:hAnsiTheme="minorEastAsia" w:eastAsiaTheme="minorEastAsia"/>
          <w:sz w:val="24"/>
          <w:lang w:val="en-US" w:eastAsia="zh-CN"/>
        </w:rPr>
        <w:t>80</w:t>
      </w:r>
      <w:r>
        <w:rPr>
          <w:rFonts w:hint="eastAsia" w:asciiTheme="minorEastAsia" w:hAnsiTheme="minorEastAsia" w:eastAsiaTheme="minorEastAsia"/>
          <w:sz w:val="24"/>
        </w:rPr>
        <w:t>分</w:t>
      </w:r>
    </w:p>
    <w:tbl>
      <w:tblPr>
        <w:tblStyle w:val="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34"/>
        <w:gridCol w:w="617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9" w:type="dxa"/>
            <w:vAlign w:val="center"/>
          </w:tcPr>
          <w:p>
            <w:pPr>
              <w:spacing w:line="276" w:lineRule="auto"/>
              <w:jc w:val="center"/>
              <w:rPr>
                <w:rFonts w:ascii="宋体" w:hAnsi="宋体" w:cs="宋体"/>
                <w:szCs w:val="21"/>
              </w:rPr>
            </w:pPr>
            <w:r>
              <w:rPr>
                <w:rFonts w:hint="eastAsia" w:ascii="宋体" w:hAnsi="宋体" w:cs="宋体"/>
                <w:szCs w:val="21"/>
              </w:rPr>
              <w:t>序号</w:t>
            </w:r>
          </w:p>
        </w:tc>
        <w:tc>
          <w:tcPr>
            <w:tcW w:w="7513" w:type="dxa"/>
            <w:gridSpan w:val="2"/>
            <w:vAlign w:val="center"/>
          </w:tcPr>
          <w:p>
            <w:pPr>
              <w:spacing w:line="276" w:lineRule="auto"/>
              <w:jc w:val="center"/>
              <w:rPr>
                <w:rFonts w:ascii="宋体" w:hAnsi="宋体"/>
                <w:szCs w:val="21"/>
              </w:rPr>
            </w:pPr>
            <w:r>
              <w:rPr>
                <w:rFonts w:hint="eastAsia" w:ascii="宋体" w:hAnsi="宋体" w:cs="宋体"/>
                <w:szCs w:val="21"/>
              </w:rPr>
              <w:t>评审标准</w:t>
            </w:r>
          </w:p>
        </w:tc>
        <w:tc>
          <w:tcPr>
            <w:tcW w:w="851" w:type="dxa"/>
            <w:vAlign w:val="center"/>
          </w:tcPr>
          <w:p>
            <w:pPr>
              <w:spacing w:line="276" w:lineRule="auto"/>
              <w:jc w:val="center"/>
              <w:rPr>
                <w:rFonts w:ascii="宋体" w:hAnsi="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1</w:t>
            </w:r>
          </w:p>
        </w:tc>
        <w:tc>
          <w:tcPr>
            <w:tcW w:w="1334" w:type="dxa"/>
            <w:vAlign w:val="center"/>
          </w:tcPr>
          <w:p>
            <w:pPr>
              <w:snapToGrid w:val="0"/>
              <w:spacing w:line="276" w:lineRule="auto"/>
              <w:jc w:val="center"/>
              <w:rPr>
                <w:rFonts w:ascii="宋体" w:hAnsi="宋体"/>
                <w:szCs w:val="21"/>
              </w:rPr>
            </w:pPr>
            <w:r>
              <w:rPr>
                <w:rFonts w:hint="eastAsia" w:ascii="宋体" w:hAnsi="宋体"/>
                <w:szCs w:val="21"/>
              </w:rPr>
              <w:t>响应度</w:t>
            </w:r>
          </w:p>
        </w:tc>
        <w:tc>
          <w:tcPr>
            <w:tcW w:w="6179" w:type="dxa"/>
            <w:vAlign w:val="center"/>
          </w:tcPr>
          <w:p>
            <w:pPr>
              <w:snapToGrid w:val="0"/>
              <w:spacing w:line="276" w:lineRule="auto"/>
              <w:jc w:val="left"/>
              <w:rPr>
                <w:rFonts w:hint="eastAsia" w:ascii="宋体" w:hAnsi="宋体"/>
                <w:szCs w:val="21"/>
                <w:lang w:eastAsia="zh-CN"/>
              </w:rPr>
            </w:pPr>
            <w:r>
              <w:rPr>
                <w:rFonts w:ascii="宋体" w:hAnsi="宋体"/>
                <w:szCs w:val="21"/>
              </w:rPr>
              <w:t>根据</w:t>
            </w:r>
            <w:r>
              <w:rPr>
                <w:rFonts w:hint="eastAsia" w:ascii="宋体" w:hAnsi="宋体"/>
                <w:szCs w:val="21"/>
                <w:lang w:val="en-US" w:eastAsia="zh-CN"/>
              </w:rPr>
              <w:t>(1)</w:t>
            </w:r>
            <w:r>
              <w:rPr>
                <w:rFonts w:ascii="宋体" w:hAnsi="宋体"/>
                <w:szCs w:val="21"/>
              </w:rPr>
              <w:t>投标文件的完整性、规范性情况；</w:t>
            </w:r>
            <w:r>
              <w:rPr>
                <w:rFonts w:hint="eastAsia" w:ascii="宋体" w:hAnsi="宋体"/>
                <w:szCs w:val="21"/>
                <w:lang w:val="en-US" w:eastAsia="zh-CN"/>
              </w:rPr>
              <w:t>(2)</w:t>
            </w:r>
            <w:r>
              <w:rPr>
                <w:rFonts w:ascii="宋体" w:hAnsi="宋体"/>
                <w:szCs w:val="21"/>
              </w:rPr>
              <w:t>投标格式的符合性、各资料要件、报告的齐全程度详细程度</w:t>
            </w:r>
            <w:r>
              <w:rPr>
                <w:rFonts w:hint="eastAsia" w:ascii="宋体" w:hAnsi="宋体"/>
                <w:szCs w:val="21"/>
                <w:lang w:eastAsia="zh-CN"/>
              </w:rPr>
              <w:t>；</w:t>
            </w:r>
            <w:r>
              <w:rPr>
                <w:rFonts w:hint="eastAsia" w:ascii="宋体" w:hAnsi="宋体"/>
                <w:szCs w:val="21"/>
                <w:lang w:val="en-US" w:eastAsia="zh-CN"/>
              </w:rPr>
              <w:t>(3)</w:t>
            </w:r>
            <w:r>
              <w:rPr>
                <w:rFonts w:ascii="宋体" w:hAnsi="宋体"/>
                <w:szCs w:val="21"/>
              </w:rPr>
              <w:t>内容表述是否简明扼要、是否对项目要求做出全面、相对应的承诺；</w:t>
            </w:r>
            <w:r>
              <w:rPr>
                <w:rFonts w:hint="eastAsia" w:ascii="宋体" w:hAnsi="宋体"/>
                <w:szCs w:val="21"/>
                <w:lang w:val="en-US" w:eastAsia="zh-CN"/>
              </w:rPr>
              <w:t>(4)</w:t>
            </w:r>
            <w:r>
              <w:rPr>
                <w:rFonts w:ascii="宋体" w:hAnsi="宋体"/>
                <w:szCs w:val="21"/>
              </w:rPr>
              <w:t>参与本次招标其他有关方面的配合度情况等进行综合评价</w:t>
            </w:r>
            <w:r>
              <w:rPr>
                <w:rFonts w:hint="eastAsia" w:ascii="宋体" w:hAnsi="宋体"/>
                <w:szCs w:val="21"/>
                <w:lang w:eastAsia="zh-CN"/>
              </w:rPr>
              <w:t>。</w:t>
            </w:r>
          </w:p>
          <w:p>
            <w:pPr>
              <w:snapToGrid w:val="0"/>
              <w:spacing w:line="276" w:lineRule="auto"/>
              <w:jc w:val="left"/>
              <w:rPr>
                <w:rFonts w:hint="eastAsia" w:ascii="宋体" w:hAnsi="宋体"/>
                <w:szCs w:val="21"/>
                <w:lang w:eastAsia="zh-CN"/>
              </w:rPr>
            </w:pPr>
          </w:p>
          <w:p>
            <w:pPr>
              <w:snapToGrid w:val="0"/>
              <w:spacing w:line="276" w:lineRule="auto"/>
              <w:jc w:val="left"/>
              <w:rPr>
                <w:rFonts w:hint="eastAsia" w:ascii="宋体" w:hAnsi="宋体"/>
                <w:szCs w:val="21"/>
                <w:lang w:eastAsia="zh-CN"/>
              </w:rPr>
            </w:pPr>
            <w:r>
              <w:rPr>
                <w:rFonts w:hint="eastAsia" w:ascii="宋体" w:hAnsi="宋体"/>
                <w:szCs w:val="21"/>
                <w:lang w:val="en-US" w:eastAsia="zh-CN"/>
              </w:rPr>
              <w:t>(1)满足以上4点，内容</w:t>
            </w:r>
            <w:r>
              <w:rPr>
                <w:rFonts w:ascii="宋体" w:hAnsi="宋体"/>
                <w:szCs w:val="21"/>
              </w:rPr>
              <w:t>相对最</w:t>
            </w:r>
            <w:r>
              <w:rPr>
                <w:rFonts w:hint="eastAsia" w:ascii="宋体" w:hAnsi="宋体"/>
                <w:szCs w:val="21"/>
                <w:lang w:val="en-US" w:eastAsia="zh-CN"/>
              </w:rPr>
              <w:t>完整、详尽、全面、配合度高者为优：得</w:t>
            </w:r>
            <w:r>
              <w:rPr>
                <w:rFonts w:hint="eastAsia" w:ascii="宋体" w:hAnsi="宋体"/>
                <w:szCs w:val="21"/>
              </w:rPr>
              <w:t>8-10</w:t>
            </w:r>
            <w:r>
              <w:rPr>
                <w:rFonts w:ascii="宋体" w:hAnsi="宋体"/>
                <w:szCs w:val="21"/>
              </w:rPr>
              <w:t>分</w:t>
            </w:r>
            <w:r>
              <w:rPr>
                <w:rFonts w:hint="eastAsia" w:ascii="宋体" w:hAnsi="宋体"/>
                <w:szCs w:val="21"/>
                <w:lang w:eastAsia="zh-CN"/>
              </w:rPr>
              <w:t>；</w:t>
            </w:r>
          </w:p>
          <w:p>
            <w:pPr>
              <w:snapToGrid w:val="0"/>
              <w:spacing w:line="276" w:lineRule="auto"/>
              <w:jc w:val="left"/>
              <w:rPr>
                <w:rFonts w:hint="eastAsia" w:ascii="宋体" w:hAnsi="宋体"/>
                <w:szCs w:val="21"/>
                <w:lang w:eastAsia="zh-CN"/>
              </w:rPr>
            </w:pPr>
            <w:r>
              <w:rPr>
                <w:rFonts w:hint="eastAsia" w:ascii="宋体" w:hAnsi="宋体"/>
                <w:szCs w:val="21"/>
                <w:lang w:val="en-US" w:eastAsia="zh-CN"/>
              </w:rPr>
              <w:t>(2)满足以上3点，内容</w:t>
            </w:r>
            <w:r>
              <w:rPr>
                <w:rFonts w:ascii="宋体" w:hAnsi="宋体"/>
                <w:szCs w:val="21"/>
              </w:rPr>
              <w:t>大部分能响应的</w:t>
            </w:r>
            <w:r>
              <w:rPr>
                <w:rFonts w:hint="eastAsia" w:ascii="宋体" w:hAnsi="宋体"/>
                <w:szCs w:val="21"/>
                <w:lang w:val="en-US" w:eastAsia="zh-CN"/>
              </w:rPr>
              <w:t>为良：得5</w:t>
            </w:r>
            <w:r>
              <w:rPr>
                <w:rFonts w:ascii="宋体" w:hAnsi="宋体"/>
                <w:szCs w:val="21"/>
              </w:rPr>
              <w:t>-</w:t>
            </w:r>
            <w:r>
              <w:rPr>
                <w:rFonts w:hint="eastAsia" w:ascii="宋体" w:hAnsi="宋体"/>
                <w:szCs w:val="21"/>
                <w:lang w:val="en-US" w:eastAsia="zh-CN"/>
              </w:rPr>
              <w:t>7</w:t>
            </w:r>
            <w:r>
              <w:rPr>
                <w:rFonts w:ascii="宋体" w:hAnsi="宋体"/>
                <w:szCs w:val="21"/>
              </w:rPr>
              <w:t>分</w:t>
            </w:r>
            <w:r>
              <w:rPr>
                <w:rFonts w:hint="eastAsia" w:ascii="宋体" w:hAnsi="宋体"/>
                <w:szCs w:val="21"/>
                <w:lang w:eastAsia="zh-CN"/>
              </w:rPr>
              <w:t>；</w:t>
            </w:r>
          </w:p>
          <w:p>
            <w:pPr>
              <w:snapToGrid w:val="0"/>
              <w:spacing w:line="276" w:lineRule="auto"/>
              <w:jc w:val="left"/>
              <w:rPr>
                <w:rFonts w:hint="eastAsia" w:ascii="宋体" w:hAnsi="宋体"/>
                <w:szCs w:val="21"/>
                <w:lang w:eastAsia="zh-CN"/>
              </w:rPr>
            </w:pPr>
            <w:r>
              <w:rPr>
                <w:rFonts w:hint="eastAsia" w:ascii="宋体" w:hAnsi="宋体"/>
                <w:szCs w:val="21"/>
                <w:lang w:val="en-US" w:eastAsia="zh-CN"/>
              </w:rPr>
              <w:t>(3)满足以上2点，内容</w:t>
            </w:r>
            <w:r>
              <w:rPr>
                <w:rFonts w:ascii="宋体" w:hAnsi="宋体"/>
                <w:szCs w:val="21"/>
              </w:rPr>
              <w:t>相对响应</w:t>
            </w:r>
            <w:r>
              <w:rPr>
                <w:rFonts w:hint="eastAsia" w:ascii="宋体" w:hAnsi="宋体"/>
                <w:szCs w:val="21"/>
                <w:lang w:val="en-US" w:eastAsia="zh-CN"/>
              </w:rPr>
              <w:t>一般的为中：得2</w:t>
            </w:r>
            <w:r>
              <w:rPr>
                <w:rFonts w:ascii="宋体" w:hAnsi="宋体"/>
                <w:szCs w:val="21"/>
              </w:rPr>
              <w:t>-</w:t>
            </w:r>
            <w:r>
              <w:rPr>
                <w:rFonts w:hint="eastAsia" w:ascii="宋体" w:hAnsi="宋体"/>
                <w:szCs w:val="21"/>
                <w:lang w:val="en-US" w:eastAsia="zh-CN"/>
              </w:rPr>
              <w:t>4</w:t>
            </w:r>
            <w:r>
              <w:rPr>
                <w:rFonts w:ascii="宋体" w:hAnsi="宋体"/>
                <w:szCs w:val="21"/>
              </w:rPr>
              <w:t>分</w:t>
            </w:r>
            <w:r>
              <w:rPr>
                <w:rFonts w:hint="eastAsia" w:ascii="宋体" w:hAnsi="宋体"/>
                <w:szCs w:val="21"/>
                <w:lang w:eastAsia="zh-CN"/>
              </w:rPr>
              <w:t>；</w:t>
            </w:r>
          </w:p>
          <w:p>
            <w:pPr>
              <w:snapToGrid w:val="0"/>
              <w:spacing w:line="276" w:lineRule="auto"/>
              <w:jc w:val="left"/>
              <w:rPr>
                <w:rFonts w:hint="default" w:ascii="宋体" w:hAnsi="宋体" w:eastAsia="宋体"/>
                <w:szCs w:val="21"/>
                <w:lang w:val="en-US" w:eastAsia="zh-CN"/>
              </w:rPr>
            </w:pPr>
            <w:r>
              <w:rPr>
                <w:rFonts w:hint="eastAsia" w:ascii="宋体" w:hAnsi="宋体"/>
                <w:szCs w:val="21"/>
                <w:lang w:val="en-US" w:eastAsia="zh-CN"/>
              </w:rPr>
              <w:t>(4)满足以上1点，内容相对响应差的：得0-1分。</w:t>
            </w:r>
          </w:p>
        </w:tc>
        <w:tc>
          <w:tcPr>
            <w:tcW w:w="851" w:type="dxa"/>
            <w:shd w:val="clear" w:color="auto" w:fill="auto"/>
            <w:vAlign w:val="center"/>
          </w:tcPr>
          <w:p>
            <w:pPr>
              <w:snapToGrid w:val="0"/>
              <w:spacing w:line="276" w:lineRule="auto"/>
              <w:jc w:val="center"/>
              <w:rPr>
                <w:rFonts w:ascii="宋体" w:hAnsi="宋体"/>
                <w:szCs w:val="21"/>
              </w:rPr>
            </w:pP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2</w:t>
            </w:r>
          </w:p>
        </w:tc>
        <w:tc>
          <w:tcPr>
            <w:tcW w:w="1334" w:type="dxa"/>
            <w:shd w:val="clear" w:color="auto" w:fill="auto"/>
            <w:vAlign w:val="center"/>
          </w:tcPr>
          <w:p>
            <w:pPr>
              <w:snapToGrid w:val="0"/>
              <w:spacing w:line="276" w:lineRule="auto"/>
              <w:jc w:val="center"/>
              <w:rPr>
                <w:rFonts w:ascii="宋体" w:hAnsi="宋体"/>
                <w:szCs w:val="21"/>
              </w:rPr>
            </w:pPr>
            <w:r>
              <w:rPr>
                <w:rFonts w:hint="eastAsia" w:ascii="宋体" w:hAnsi="宋体" w:cs="宋体"/>
                <w:kern w:val="0"/>
                <w:szCs w:val="21"/>
              </w:rPr>
              <w:t>服务方案</w:t>
            </w:r>
          </w:p>
        </w:tc>
        <w:tc>
          <w:tcPr>
            <w:tcW w:w="6179" w:type="dxa"/>
            <w:shd w:val="clear" w:color="auto" w:fill="auto"/>
            <w:vAlign w:val="center"/>
          </w:tcPr>
          <w:p>
            <w:pPr>
              <w:spacing w:line="276" w:lineRule="auto"/>
              <w:jc w:val="left"/>
              <w:rPr>
                <w:rFonts w:hint="eastAsia" w:ascii="宋体" w:hAnsi="宋体" w:cs="宋体"/>
                <w:kern w:val="0"/>
                <w:szCs w:val="21"/>
                <w:lang w:eastAsia="zh-CN"/>
              </w:rPr>
            </w:pPr>
            <w:r>
              <w:rPr>
                <w:rFonts w:hint="eastAsia" w:ascii="宋体" w:hAnsi="宋体" w:cs="宋体"/>
                <w:kern w:val="0"/>
                <w:szCs w:val="21"/>
              </w:rPr>
              <w:t>根据</w:t>
            </w:r>
            <w:r>
              <w:rPr>
                <w:rFonts w:hint="eastAsia" w:ascii="宋体" w:hAnsi="宋体" w:cs="宋体"/>
                <w:kern w:val="0"/>
                <w:szCs w:val="21"/>
                <w:lang w:val="en-US" w:eastAsia="zh-CN"/>
              </w:rPr>
              <w:t>(1)投标人对相关国家标准、说明性材料、检验方法的掌握情况；(2)方案内容的详细程度；（3）工作方案与招标要求契合度、可执行度；(4)</w:t>
            </w:r>
            <w:r>
              <w:rPr>
                <w:rFonts w:hint="eastAsia" w:ascii="宋体" w:hAnsi="宋体" w:cs="宋体"/>
                <w:kern w:val="0"/>
                <w:szCs w:val="21"/>
              </w:rPr>
              <w:t>服务方案对需求的理解程度、方案的科学性、合理性、可操作性</w:t>
            </w:r>
            <w:r>
              <w:rPr>
                <w:rFonts w:hint="eastAsia" w:ascii="宋体" w:hAnsi="宋体" w:cs="宋体"/>
                <w:kern w:val="0"/>
                <w:szCs w:val="21"/>
                <w:lang w:eastAsia="zh-CN"/>
              </w:rPr>
              <w:t>。</w:t>
            </w:r>
          </w:p>
          <w:p>
            <w:pPr>
              <w:spacing w:line="276" w:lineRule="auto"/>
              <w:jc w:val="left"/>
              <w:rPr>
                <w:rFonts w:hint="eastAsia" w:ascii="宋体" w:hAnsi="宋体" w:cs="宋体"/>
                <w:kern w:val="0"/>
                <w:szCs w:val="21"/>
                <w:lang w:val="en-US" w:eastAsia="zh-CN"/>
              </w:rPr>
            </w:pPr>
          </w:p>
          <w:p>
            <w:pPr>
              <w:spacing w:line="276"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szCs w:val="21"/>
                <w:lang w:val="en-US" w:eastAsia="zh-CN"/>
              </w:rPr>
              <w:t>满足以上4点，方案</w:t>
            </w:r>
            <w:r>
              <w:rPr>
                <w:rFonts w:hint="eastAsia" w:ascii="宋体" w:hAnsi="宋体" w:cs="宋体"/>
                <w:kern w:val="0"/>
                <w:szCs w:val="21"/>
                <w:lang w:val="en-US" w:eastAsia="zh-CN"/>
              </w:rPr>
              <w:t>安排合理、详尽、可操作性强为优：得16-20分；</w:t>
            </w:r>
          </w:p>
          <w:p>
            <w:pPr>
              <w:spacing w:line="276"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(2)</w:t>
            </w:r>
            <w:r>
              <w:rPr>
                <w:rFonts w:hint="eastAsia" w:ascii="宋体" w:hAnsi="宋体"/>
                <w:szCs w:val="21"/>
                <w:lang w:val="en-US" w:eastAsia="zh-CN"/>
              </w:rPr>
              <w:t>足以上3点，方案</w:t>
            </w:r>
            <w:r>
              <w:rPr>
                <w:rFonts w:hint="eastAsia" w:ascii="宋体" w:hAnsi="宋体" w:cs="宋体"/>
                <w:kern w:val="0"/>
                <w:szCs w:val="21"/>
                <w:lang w:val="en-US" w:eastAsia="zh-CN"/>
              </w:rPr>
              <w:t>安排较好、可操作性良好为良：得11-15分；</w:t>
            </w:r>
          </w:p>
          <w:p>
            <w:pPr>
              <w:spacing w:line="276"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(3)</w:t>
            </w:r>
            <w:r>
              <w:rPr>
                <w:rFonts w:hint="eastAsia" w:ascii="宋体" w:hAnsi="宋体"/>
                <w:szCs w:val="21"/>
                <w:lang w:val="en-US" w:eastAsia="zh-CN"/>
              </w:rPr>
              <w:t>满足以上2点，方案</w:t>
            </w:r>
            <w:r>
              <w:rPr>
                <w:rFonts w:hint="eastAsia" w:ascii="宋体" w:hAnsi="宋体" w:cs="宋体"/>
                <w:kern w:val="0"/>
                <w:szCs w:val="21"/>
                <w:lang w:val="en-US" w:eastAsia="zh-CN"/>
              </w:rPr>
              <w:t>安排简略、可操作性一般为中：得6-10分；</w:t>
            </w:r>
          </w:p>
          <w:p>
            <w:pPr>
              <w:spacing w:line="276" w:lineRule="auto"/>
              <w:jc w:val="left"/>
              <w:rPr>
                <w:rFonts w:ascii="宋体" w:hAnsi="宋体"/>
                <w:szCs w:val="21"/>
              </w:rPr>
            </w:pPr>
            <w:r>
              <w:rPr>
                <w:rFonts w:hint="eastAsia" w:ascii="宋体" w:hAnsi="宋体" w:cs="宋体"/>
                <w:kern w:val="0"/>
                <w:szCs w:val="21"/>
                <w:lang w:val="en-US" w:eastAsia="zh-CN"/>
              </w:rPr>
              <w:t>(4)</w:t>
            </w:r>
            <w:r>
              <w:rPr>
                <w:rFonts w:hint="eastAsia" w:ascii="宋体" w:hAnsi="宋体"/>
                <w:szCs w:val="21"/>
                <w:lang w:val="en-US" w:eastAsia="zh-CN"/>
              </w:rPr>
              <w:t>满足以上1点，方案</w:t>
            </w:r>
            <w:r>
              <w:rPr>
                <w:rFonts w:hint="eastAsia" w:ascii="宋体" w:hAnsi="宋体" w:cs="宋体"/>
                <w:kern w:val="0"/>
                <w:szCs w:val="21"/>
                <w:lang w:val="en-US" w:eastAsia="zh-CN"/>
              </w:rPr>
              <w:t>安排不合理、可操作性差的：得0-5分。</w:t>
            </w:r>
          </w:p>
        </w:tc>
        <w:tc>
          <w:tcPr>
            <w:tcW w:w="851" w:type="dxa"/>
            <w:shd w:val="clear" w:color="auto" w:fill="auto"/>
            <w:vAlign w:val="center"/>
          </w:tcPr>
          <w:p>
            <w:pPr>
              <w:snapToGrid w:val="0"/>
              <w:spacing w:line="276" w:lineRule="auto"/>
              <w:jc w:val="center"/>
              <w:rPr>
                <w:rFonts w:ascii="宋体" w:hAnsi="宋体"/>
                <w:szCs w:val="21"/>
              </w:rPr>
            </w:pPr>
            <w:r>
              <w:rPr>
                <w:rFonts w:hint="eastAsia" w:ascii="宋体" w:hAnsi="宋体"/>
                <w:szCs w:val="21"/>
                <w:lang w:val="en-US" w:eastAsia="zh-CN"/>
              </w:rPr>
              <w:t>2</w:t>
            </w:r>
            <w:r>
              <w:rPr>
                <w:rFonts w:hint="eastAsia" w:ascii="宋体" w:hAnsi="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3</w:t>
            </w:r>
          </w:p>
        </w:tc>
        <w:tc>
          <w:tcPr>
            <w:tcW w:w="1334" w:type="dxa"/>
            <w:shd w:val="clear" w:color="auto" w:fill="auto"/>
            <w:vAlign w:val="center"/>
          </w:tcPr>
          <w:p>
            <w:pPr>
              <w:snapToGrid w:val="0"/>
              <w:spacing w:line="276" w:lineRule="auto"/>
              <w:jc w:val="center"/>
              <w:rPr>
                <w:rFonts w:ascii="宋体" w:hAnsi="宋体"/>
                <w:szCs w:val="21"/>
              </w:rPr>
            </w:pPr>
            <w:r>
              <w:rPr>
                <w:rFonts w:hint="eastAsia" w:ascii="宋体" w:hAnsi="宋体" w:cs="宋体"/>
                <w:kern w:val="0"/>
                <w:szCs w:val="21"/>
                <w:lang w:val="en-US" w:eastAsia="zh-CN"/>
              </w:rPr>
              <w:t>实验室</w:t>
            </w:r>
            <w:r>
              <w:rPr>
                <w:rFonts w:hint="eastAsia" w:ascii="宋体" w:hAnsi="宋体" w:cs="宋体"/>
                <w:kern w:val="0"/>
                <w:szCs w:val="21"/>
              </w:rPr>
              <w:t>资质</w:t>
            </w:r>
          </w:p>
        </w:tc>
        <w:tc>
          <w:tcPr>
            <w:tcW w:w="6179" w:type="dxa"/>
            <w:tcBorders>
              <w:top w:val="single" w:color="auto" w:sz="4" w:space="0"/>
              <w:left w:val="single" w:color="auto" w:sz="4" w:space="0"/>
              <w:right w:val="single" w:color="auto" w:sz="4" w:space="0"/>
            </w:tcBorders>
            <w:shd w:val="clear" w:color="auto" w:fill="auto"/>
            <w:vAlign w:val="center"/>
          </w:tcPr>
          <w:p>
            <w:pPr>
              <w:numPr>
                <w:ilvl w:val="0"/>
                <w:numId w:val="1"/>
              </w:numPr>
              <w:spacing w:line="276" w:lineRule="auto"/>
              <w:jc w:val="left"/>
              <w:rPr>
                <w:rFonts w:hint="eastAsia" w:ascii="宋体" w:hAnsi="宋体" w:cs="宋体"/>
                <w:color w:val="000000"/>
                <w:kern w:val="0"/>
                <w:szCs w:val="21"/>
                <w:lang w:val="en-US" w:eastAsia="zh-CN"/>
              </w:rPr>
            </w:pPr>
            <w:r>
              <w:rPr>
                <w:rFonts w:hint="eastAsia" w:ascii="宋体" w:hAnsi="宋体" w:cs="宋体"/>
                <w:color w:val="000000"/>
                <w:kern w:val="0"/>
                <w:szCs w:val="21"/>
              </w:rPr>
              <w:t>取得CMA资质认定证书得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numPr>
                <w:ilvl w:val="0"/>
                <w:numId w:val="1"/>
              </w:numPr>
              <w:spacing w:line="276" w:lineRule="auto"/>
              <w:jc w:val="left"/>
              <w:rPr>
                <w:rFonts w:hint="default" w:ascii="宋体" w:hAnsi="宋体" w:eastAsia="宋体"/>
                <w:szCs w:val="21"/>
                <w:lang w:val="en-US" w:eastAsia="zh-CN"/>
              </w:rPr>
            </w:pPr>
            <w:r>
              <w:rPr>
                <w:rFonts w:hint="eastAsia" w:ascii="宋体" w:hAnsi="宋体" w:cs="宋体"/>
                <w:color w:val="000000"/>
                <w:kern w:val="0"/>
                <w:szCs w:val="21"/>
              </w:rPr>
              <w:t>取得CANS实验室认可证书得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numPr>
                <w:ilvl w:val="0"/>
                <w:numId w:val="1"/>
              </w:numPr>
              <w:spacing w:line="276" w:lineRule="auto"/>
              <w:jc w:val="left"/>
              <w:rPr>
                <w:rFonts w:hint="default" w:ascii="宋体" w:hAnsi="宋体" w:eastAsia="宋体"/>
                <w:szCs w:val="21"/>
                <w:lang w:val="en-US" w:eastAsia="zh-CN"/>
              </w:rPr>
            </w:pPr>
            <w:r>
              <w:rPr>
                <w:rFonts w:hint="eastAsia" w:ascii="宋体" w:hAnsi="宋体" w:cs="宋体"/>
                <w:color w:val="000000"/>
                <w:kern w:val="0"/>
                <w:szCs w:val="21"/>
              </w:rPr>
              <w:t>取得CNAS检验机构认可证书得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r>
              <w:rPr>
                <w:rFonts w:hint="eastAsia" w:ascii="宋体" w:hAnsi="宋体" w:cs="宋体"/>
                <w:color w:val="000000"/>
                <w:kern w:val="0"/>
                <w:szCs w:val="21"/>
                <w:lang w:eastAsia="zh-CN"/>
              </w:rPr>
              <w:t>。</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4</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rPr>
              <w:t>业绩</w:t>
            </w:r>
          </w:p>
        </w:tc>
        <w:tc>
          <w:tcPr>
            <w:tcW w:w="6179" w:type="dxa"/>
            <w:tcBorders>
              <w:top w:val="single" w:color="auto" w:sz="4" w:space="0"/>
              <w:left w:val="single" w:color="auto" w:sz="4" w:space="0"/>
              <w:right w:val="single" w:color="auto" w:sz="4" w:space="0"/>
            </w:tcBorders>
            <w:shd w:val="clear" w:color="auto" w:fill="auto"/>
            <w:vAlign w:val="center"/>
          </w:tcPr>
          <w:p>
            <w:pPr>
              <w:spacing w:line="276" w:lineRule="auto"/>
              <w:jc w:val="left"/>
              <w:rPr>
                <w:rFonts w:ascii="宋体" w:hAnsi="宋体"/>
                <w:szCs w:val="21"/>
              </w:rPr>
            </w:pPr>
            <w:r>
              <w:rPr>
                <w:rFonts w:hint="eastAsia" w:ascii="宋体" w:hAnsi="宋体" w:cs="宋体"/>
                <w:color w:val="000000"/>
                <w:kern w:val="0"/>
                <w:szCs w:val="21"/>
              </w:rPr>
              <w:t>近三年来承担市级及以上体育相关产品政府监督检查或高危检测任务的，每提供一个实例得5分</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满分20分</w:t>
            </w:r>
            <w:r>
              <w:rPr>
                <w:rFonts w:hint="eastAsia" w:ascii="宋体" w:hAnsi="宋体" w:cs="宋体"/>
                <w:color w:val="000000"/>
                <w:kern w:val="0"/>
                <w:szCs w:val="21"/>
              </w:rPr>
              <w:t>(需提供相关证明资料，不提供不得分)”。</w:t>
            </w:r>
          </w:p>
        </w:tc>
        <w:tc>
          <w:tcPr>
            <w:tcW w:w="851" w:type="dxa"/>
            <w:tcBorders>
              <w:top w:val="single" w:color="auto" w:sz="4" w:space="0"/>
              <w:left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5</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color w:val="000000"/>
                <w:kern w:val="0"/>
                <w:szCs w:val="21"/>
              </w:rPr>
              <w:t>企业信誉</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rPr>
              <w:t>供应商提供信用评级机构出具的信用</w:t>
            </w:r>
            <w:r>
              <w:rPr>
                <w:rFonts w:hint="eastAsia" w:ascii="宋体" w:hAnsi="宋体" w:cs="宋体"/>
                <w:color w:val="000000"/>
                <w:kern w:val="0"/>
                <w:szCs w:val="21"/>
                <w:lang w:val="en-US" w:eastAsia="zh-CN"/>
              </w:rPr>
              <w:t>等级</w:t>
            </w:r>
            <w:r>
              <w:rPr>
                <w:rFonts w:hint="eastAsia" w:ascii="宋体" w:hAnsi="宋体" w:cs="宋体"/>
                <w:color w:val="000000"/>
                <w:kern w:val="0"/>
                <w:szCs w:val="21"/>
              </w:rPr>
              <w:t>报告</w:t>
            </w:r>
          </w:p>
          <w:p>
            <w:pPr>
              <w:numPr>
                <w:ilvl w:val="0"/>
                <w:numId w:val="2"/>
              </w:numPr>
              <w:spacing w:line="276" w:lineRule="auto"/>
              <w:jc w:val="left"/>
              <w:rPr>
                <w:rFonts w:hint="eastAsia" w:ascii="宋体" w:hAnsi="宋体" w:cs="宋体"/>
                <w:color w:val="000000"/>
                <w:kern w:val="0"/>
                <w:szCs w:val="21"/>
              </w:rPr>
            </w:pPr>
            <w:r>
              <w:rPr>
                <w:rFonts w:hint="eastAsia" w:ascii="宋体" w:hAnsi="宋体" w:cs="宋体"/>
                <w:color w:val="000000"/>
                <w:kern w:val="0"/>
                <w:szCs w:val="21"/>
              </w:rPr>
              <w:t>为AAA级的得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pPr>
              <w:numPr>
                <w:ilvl w:val="0"/>
                <w:numId w:val="2"/>
              </w:numPr>
              <w:spacing w:line="276" w:lineRule="auto"/>
              <w:jc w:val="left"/>
              <w:rPr>
                <w:rFonts w:ascii="宋体" w:hAnsi="宋体"/>
                <w:szCs w:val="21"/>
              </w:rPr>
            </w:pPr>
            <w:r>
              <w:rPr>
                <w:rFonts w:hint="eastAsia" w:ascii="宋体" w:hAnsi="宋体" w:cs="宋体"/>
                <w:color w:val="000000"/>
                <w:kern w:val="0"/>
                <w:szCs w:val="21"/>
              </w:rPr>
              <w:t>AA级的得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numPr>
                <w:ilvl w:val="0"/>
                <w:numId w:val="2"/>
              </w:numPr>
              <w:spacing w:line="276" w:lineRule="auto"/>
              <w:jc w:val="left"/>
              <w:rPr>
                <w:rFonts w:ascii="宋体" w:hAnsi="宋体"/>
                <w:szCs w:val="21"/>
              </w:rPr>
            </w:pPr>
            <w:r>
              <w:rPr>
                <w:rFonts w:hint="eastAsia" w:ascii="宋体" w:hAnsi="宋体" w:cs="宋体"/>
                <w:color w:val="000000"/>
                <w:kern w:val="0"/>
                <w:szCs w:val="21"/>
              </w:rPr>
              <w:t>A级的得</w:t>
            </w:r>
            <w:r>
              <w:rPr>
                <w:rFonts w:hint="eastAsia" w:ascii="宋体" w:hAnsi="宋体" w:cs="宋体"/>
                <w:color w:val="000000"/>
                <w:kern w:val="0"/>
                <w:szCs w:val="21"/>
                <w:lang w:val="en-US" w:eastAsia="zh-CN"/>
              </w:rPr>
              <w:t>1</w:t>
            </w:r>
            <w:r>
              <w:rPr>
                <w:rFonts w:hint="eastAsia" w:ascii="宋体" w:hAnsi="宋体" w:cs="宋体"/>
                <w:color w:val="000000"/>
                <w:kern w:val="0"/>
                <w:szCs w:val="21"/>
              </w:rPr>
              <w:t>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eastAsia" w:ascii="宋体" w:hAnsi="宋体" w:eastAsia="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6</w:t>
            </w:r>
          </w:p>
        </w:tc>
        <w:tc>
          <w:tcPr>
            <w:tcW w:w="1334" w:type="dxa"/>
            <w:shd w:val="clear" w:color="auto" w:fill="auto"/>
            <w:vAlign w:val="center"/>
          </w:tcPr>
          <w:p>
            <w:pPr>
              <w:spacing w:line="276" w:lineRule="auto"/>
              <w:jc w:val="center"/>
              <w:rPr>
                <w:rFonts w:hint="default" w:ascii="宋体" w:hAnsi="宋体" w:eastAsia="宋体"/>
                <w:szCs w:val="21"/>
                <w:lang w:val="en-US" w:eastAsia="zh-CN"/>
              </w:rPr>
            </w:pPr>
            <w:r>
              <w:rPr>
                <w:rFonts w:hint="eastAsia" w:ascii="宋体" w:hAnsi="宋体" w:cs="宋体"/>
                <w:kern w:val="0"/>
                <w:szCs w:val="21"/>
                <w:lang w:val="en-US" w:eastAsia="zh-CN"/>
              </w:rPr>
              <w:t>人员配备</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rPr>
              <w:t>根据拟投入本项目的负责人、检测人员等的类似检测项目现场管理经验、业绩和检测人员的素质、经验、综合水平及投入数量是否满足本项目需求进行综合评审</w:t>
            </w:r>
          </w:p>
          <w:p>
            <w:pPr>
              <w:spacing w:line="276" w:lineRule="auto"/>
              <w:jc w:val="left"/>
              <w:rPr>
                <w:rFonts w:hint="eastAsia" w:ascii="宋体" w:hAnsi="宋体" w:cs="宋体"/>
                <w:color w:val="000000"/>
                <w:kern w:val="0"/>
                <w:szCs w:val="21"/>
              </w:rPr>
            </w:pP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人员配备合理、专业性强的</w:t>
            </w:r>
            <w:r>
              <w:rPr>
                <w:rFonts w:hint="eastAsia" w:ascii="宋体" w:hAnsi="宋体" w:cs="宋体"/>
                <w:color w:val="000000"/>
                <w:kern w:val="0"/>
                <w:szCs w:val="21"/>
                <w:lang w:val="en-US" w:eastAsia="zh-CN"/>
              </w:rPr>
              <w:t>为优：</w:t>
            </w:r>
            <w:r>
              <w:rPr>
                <w:rFonts w:hint="eastAsia" w:ascii="宋体" w:hAnsi="宋体" w:cs="宋体"/>
                <w:color w:val="000000"/>
                <w:kern w:val="0"/>
                <w:szCs w:val="21"/>
              </w:rPr>
              <w:t>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人员配备较合理、专业性较强的</w:t>
            </w:r>
            <w:r>
              <w:rPr>
                <w:rFonts w:hint="eastAsia" w:ascii="宋体" w:hAnsi="宋体" w:cs="宋体"/>
                <w:color w:val="000000"/>
                <w:kern w:val="0"/>
                <w:szCs w:val="21"/>
                <w:lang w:val="en-US" w:eastAsia="zh-CN"/>
              </w:rPr>
              <w:t>为良：</w:t>
            </w:r>
            <w:r>
              <w:rPr>
                <w:rFonts w:hint="eastAsia" w:ascii="宋体" w:hAnsi="宋体" w:cs="宋体"/>
                <w:color w:val="000000"/>
                <w:kern w:val="0"/>
                <w:szCs w:val="21"/>
              </w:rPr>
              <w:t>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p>
            <w:pPr>
              <w:spacing w:line="276" w:lineRule="auto"/>
              <w:jc w:val="left"/>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人员配备一般、专业性一般的</w:t>
            </w:r>
            <w:r>
              <w:rPr>
                <w:rFonts w:hint="eastAsia" w:ascii="宋体" w:hAnsi="宋体" w:cs="宋体"/>
                <w:color w:val="000000"/>
                <w:kern w:val="0"/>
                <w:szCs w:val="21"/>
                <w:lang w:val="en-US" w:eastAsia="zh-CN"/>
              </w:rPr>
              <w:t>为中：</w:t>
            </w:r>
            <w:r>
              <w:rPr>
                <w:rFonts w:hint="eastAsia" w:ascii="宋体" w:hAnsi="宋体" w:cs="宋体"/>
                <w:color w:val="000000"/>
                <w:kern w:val="0"/>
                <w:szCs w:val="21"/>
              </w:rPr>
              <w:t>得1分</w:t>
            </w:r>
            <w:r>
              <w:rPr>
                <w:rFonts w:hint="eastAsia" w:ascii="宋体" w:hAnsi="宋体" w:cs="宋体"/>
                <w:color w:val="000000"/>
                <w:kern w:val="0"/>
                <w:szCs w:val="21"/>
                <w:lang w:eastAsia="zh-CN"/>
              </w:rPr>
              <w:t>；</w:t>
            </w:r>
          </w:p>
          <w:p>
            <w:pPr>
              <w:spacing w:line="276" w:lineRule="auto"/>
              <w:jc w:val="left"/>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(4)人员配备不合理、专业性差的，不得分。</w:t>
            </w:r>
          </w:p>
          <w:p>
            <w:pPr>
              <w:spacing w:line="276" w:lineRule="auto"/>
              <w:jc w:val="left"/>
              <w:rPr>
                <w:rFonts w:hint="eastAsia" w:ascii="宋体" w:hAnsi="宋体" w:cs="宋体"/>
                <w:color w:val="000000"/>
                <w:kern w:val="0"/>
                <w:szCs w:val="21"/>
              </w:rPr>
            </w:pPr>
          </w:p>
          <w:p>
            <w:pPr>
              <w:spacing w:line="276" w:lineRule="auto"/>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根据拟投入本项目的负责人，有类似检测项目现场管理经验的，每提供一份证明得1分，满分3分；</w:t>
            </w:r>
          </w:p>
          <w:p>
            <w:pPr>
              <w:spacing w:line="276" w:lineRule="auto"/>
              <w:jc w:val="left"/>
              <w:rPr>
                <w:rFonts w:ascii="宋体" w:hAnsi="宋体"/>
                <w:szCs w:val="21"/>
              </w:rPr>
            </w:pPr>
            <w:r>
              <w:rPr>
                <w:rFonts w:hint="eastAsia" w:ascii="宋体" w:hAnsi="宋体" w:cs="宋体"/>
                <w:color w:val="000000"/>
                <w:kern w:val="0"/>
                <w:szCs w:val="21"/>
                <w:lang w:val="en-US" w:eastAsia="zh-CN"/>
              </w:rPr>
              <w:t>拟投入本项目的检测人员具备相关检测经验，且具有检验项目的授权证明，每提供一个得0.5分，满分2分。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9" w:type="dxa"/>
            <w:vAlign w:val="center"/>
          </w:tcPr>
          <w:p>
            <w:pPr>
              <w:snapToGrid w:val="0"/>
              <w:spacing w:line="276" w:lineRule="auto"/>
              <w:jc w:val="center"/>
              <w:rPr>
                <w:rFonts w:ascii="宋体" w:hAnsi="宋体"/>
                <w:szCs w:val="21"/>
              </w:rPr>
            </w:pPr>
            <w:r>
              <w:rPr>
                <w:rFonts w:hint="eastAsia" w:ascii="宋体" w:hAnsi="宋体"/>
                <w:szCs w:val="21"/>
              </w:rPr>
              <w:t>7</w:t>
            </w:r>
          </w:p>
        </w:tc>
        <w:tc>
          <w:tcPr>
            <w:tcW w:w="1334" w:type="dxa"/>
            <w:shd w:val="clear" w:color="auto" w:fill="auto"/>
            <w:vAlign w:val="center"/>
          </w:tcPr>
          <w:p>
            <w:pPr>
              <w:spacing w:line="276" w:lineRule="auto"/>
              <w:jc w:val="center"/>
              <w:rPr>
                <w:rFonts w:ascii="宋体" w:hAnsi="宋体"/>
                <w:szCs w:val="21"/>
              </w:rPr>
            </w:pPr>
            <w:r>
              <w:rPr>
                <w:rFonts w:hint="eastAsia" w:ascii="宋体" w:hAnsi="宋体" w:cs="宋体"/>
                <w:kern w:val="0"/>
                <w:szCs w:val="21"/>
                <w:lang w:val="en-US" w:eastAsia="zh-CN"/>
              </w:rPr>
              <w:t>检测设备</w:t>
            </w:r>
          </w:p>
        </w:tc>
        <w:tc>
          <w:tcPr>
            <w:tcW w:w="61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根据拟投入设备的种类是否齐备，技术性能是否先进，数量是否满足检测工作要求，是否符合本项目检测的安全性和适应性的特点进行综合评审</w:t>
            </w:r>
            <w:r>
              <w:rPr>
                <w:rFonts w:hint="eastAsia" w:ascii="宋体" w:hAnsi="宋体" w:cs="宋体"/>
                <w:color w:val="000000"/>
                <w:kern w:val="0"/>
                <w:szCs w:val="21"/>
                <w:lang w:eastAsia="zh-CN"/>
              </w:rPr>
              <w:t>。</w:t>
            </w:r>
          </w:p>
          <w:p>
            <w:pPr>
              <w:spacing w:line="276" w:lineRule="auto"/>
              <w:jc w:val="left"/>
              <w:rPr>
                <w:rFonts w:hint="eastAsia" w:ascii="宋体" w:hAnsi="宋体" w:cs="宋体"/>
                <w:color w:val="000000"/>
                <w:kern w:val="0"/>
                <w:szCs w:val="21"/>
              </w:rPr>
            </w:pP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设备齐全、性能先进、完全满足检测工作要求的</w:t>
            </w:r>
            <w:r>
              <w:rPr>
                <w:rFonts w:hint="eastAsia" w:ascii="宋体" w:hAnsi="宋体" w:cs="宋体"/>
                <w:color w:val="000000"/>
                <w:kern w:val="0"/>
                <w:szCs w:val="21"/>
                <w:lang w:val="en-US" w:eastAsia="zh-CN"/>
              </w:rPr>
              <w:t>为优</w:t>
            </w:r>
            <w:r>
              <w:rPr>
                <w:rFonts w:hint="eastAsia" w:ascii="宋体" w:hAnsi="宋体" w:cs="宋体"/>
                <w:color w:val="000000"/>
                <w:kern w:val="0"/>
                <w:szCs w:val="21"/>
              </w:rPr>
              <w:t>，得</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p>
            <w:pPr>
              <w:spacing w:line="276" w:lineRule="auto"/>
              <w:jc w:val="lef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设备齐全、性能基本满足检测工作要求的</w:t>
            </w:r>
            <w:r>
              <w:rPr>
                <w:rFonts w:hint="eastAsia" w:ascii="宋体" w:hAnsi="宋体" w:cs="宋体"/>
                <w:color w:val="000000"/>
                <w:kern w:val="0"/>
                <w:szCs w:val="21"/>
                <w:lang w:val="en-US" w:eastAsia="zh-CN"/>
              </w:rPr>
              <w:t>为良</w:t>
            </w:r>
            <w:r>
              <w:rPr>
                <w:rFonts w:hint="eastAsia" w:ascii="宋体" w:hAnsi="宋体" w:cs="宋体"/>
                <w:color w:val="000000"/>
                <w:kern w:val="0"/>
                <w:szCs w:val="21"/>
              </w:rPr>
              <w:t>，得</w:t>
            </w: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p>
            <w:pPr>
              <w:spacing w:line="276" w:lineRule="auto"/>
              <w:jc w:val="left"/>
              <w:rPr>
                <w:rFonts w:hint="eastAsia" w:ascii="宋体" w:hAnsi="宋体" w:cs="宋体"/>
                <w:color w:val="auto"/>
                <w:kern w:val="0"/>
                <w:szCs w:val="21"/>
                <w:lang w:eastAsia="zh-CN"/>
              </w:rPr>
            </w:pPr>
            <w:r>
              <w:rPr>
                <w:rFonts w:hint="eastAsia" w:ascii="宋体" w:hAnsi="宋体" w:cs="宋体"/>
                <w:color w:val="000000"/>
                <w:kern w:val="0"/>
                <w:szCs w:val="21"/>
                <w:lang w:val="en-US" w:eastAsia="zh-CN"/>
              </w:rPr>
              <w:t>(3)</w:t>
            </w:r>
            <w:r>
              <w:rPr>
                <w:rFonts w:hint="eastAsia" w:ascii="宋体" w:hAnsi="宋体" w:cs="宋体"/>
                <w:color w:val="000000"/>
                <w:kern w:val="0"/>
                <w:szCs w:val="21"/>
              </w:rPr>
              <w:t>设备欠缺、无法满足检测工作要求的</w:t>
            </w:r>
            <w:r>
              <w:rPr>
                <w:rFonts w:hint="eastAsia" w:ascii="宋体" w:hAnsi="宋体" w:cs="宋体"/>
                <w:color w:val="000000"/>
                <w:kern w:val="0"/>
                <w:szCs w:val="21"/>
                <w:lang w:val="en-US" w:eastAsia="zh-CN"/>
              </w:rPr>
              <w:t>为差，</w:t>
            </w:r>
            <w:r>
              <w:rPr>
                <w:rFonts w:hint="eastAsia" w:ascii="宋体" w:hAnsi="宋体" w:cs="宋体"/>
                <w:color w:val="000000"/>
                <w:kern w:val="0"/>
                <w:szCs w:val="21"/>
              </w:rPr>
              <w:t>不得</w:t>
            </w:r>
            <w:r>
              <w:rPr>
                <w:rFonts w:hint="eastAsia" w:ascii="宋体" w:hAnsi="宋体" w:cs="宋体"/>
                <w:color w:val="auto"/>
                <w:kern w:val="0"/>
                <w:szCs w:val="21"/>
              </w:rPr>
              <w:t>分</w:t>
            </w:r>
            <w:r>
              <w:rPr>
                <w:rFonts w:hint="eastAsia" w:ascii="宋体" w:hAnsi="宋体" w:cs="宋体"/>
                <w:color w:val="auto"/>
                <w:kern w:val="0"/>
                <w:szCs w:val="21"/>
                <w:lang w:eastAsia="zh-CN"/>
              </w:rPr>
              <w:t>。</w:t>
            </w:r>
          </w:p>
          <w:p>
            <w:pPr>
              <w:spacing w:line="276" w:lineRule="auto"/>
              <w:jc w:val="left"/>
              <w:rPr>
                <w:rFonts w:hint="eastAsia" w:ascii="宋体" w:hAnsi="宋体" w:cs="宋体"/>
                <w:color w:val="auto"/>
                <w:kern w:val="0"/>
                <w:szCs w:val="21"/>
                <w:lang w:eastAsia="zh-CN"/>
              </w:rPr>
            </w:pPr>
          </w:p>
          <w:p>
            <w:pPr>
              <w:spacing w:line="276" w:lineRule="auto"/>
              <w:jc w:val="left"/>
              <w:rPr>
                <w:rFonts w:hint="eastAsia" w:ascii="宋体" w:hAnsi="宋体" w:cs="宋体"/>
                <w:color w:val="auto"/>
                <w:kern w:val="0"/>
                <w:szCs w:val="21"/>
                <w:lang w:val="en-US" w:eastAsia="zh-CN"/>
              </w:rPr>
            </w:pPr>
            <w:r>
              <w:rPr>
                <w:rFonts w:hint="eastAsia" w:ascii="宋体" w:hAnsi="宋体" w:cs="宋体"/>
                <w:color w:val="auto"/>
                <w:kern w:val="0"/>
                <w:szCs w:val="21"/>
              </w:rPr>
              <w:t>根据拟投入设备的种类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静摩擦系数测试仪、照度计、水深尺、激光测距仪、钢卷尺、温湿度计等是否齐全。每一种类得0.5分，满分3分；</w:t>
            </w:r>
          </w:p>
          <w:p>
            <w:pPr>
              <w:spacing w:line="276" w:lineRule="auto"/>
              <w:jc w:val="left"/>
              <w:rPr>
                <w:rFonts w:ascii="宋体" w:hAnsi="宋体"/>
                <w:szCs w:val="21"/>
              </w:rPr>
            </w:pPr>
            <w:r>
              <w:rPr>
                <w:rFonts w:hint="eastAsia" w:ascii="宋体" w:hAnsi="宋体" w:cs="宋体"/>
                <w:color w:val="auto"/>
                <w:kern w:val="0"/>
                <w:szCs w:val="21"/>
              </w:rPr>
              <w:t>技术性能是否先进，数量是否满足检测工作要求，是否符合本项目检测的安全性和适应性的特点</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每满足一项得0.5分，满分2分。</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jc w:val="center"/>
              <w:rPr>
                <w:rFonts w:hint="default" w:ascii="宋体" w:hAnsi="宋体" w:eastAsia="宋体"/>
                <w:szCs w:val="21"/>
                <w:lang w:val="en-US" w:eastAsia="zh-CN"/>
              </w:rPr>
            </w:pPr>
            <w:r>
              <w:rPr>
                <w:rFonts w:hint="eastAsia" w:ascii="宋体" w:hAnsi="宋体"/>
                <w:szCs w:val="21"/>
                <w:lang w:val="en-US" w:eastAsia="zh-CN"/>
              </w:rPr>
              <w:t>5</w:t>
            </w:r>
          </w:p>
        </w:tc>
      </w:tr>
    </w:tbl>
    <w:p>
      <w:pPr>
        <w:snapToGrid w:val="0"/>
        <w:spacing w:line="360" w:lineRule="auto"/>
        <w:ind w:firstLine="480" w:firstLineChars="200"/>
        <w:rPr>
          <w:rFonts w:asciiTheme="minorEastAsia" w:hAnsiTheme="minorEastAsia" w:eastAsiaTheme="minorEastAsia"/>
          <w:sz w:val="24"/>
        </w:rPr>
      </w:pPr>
    </w:p>
    <w:p>
      <w:pPr>
        <w:snapToGrid w:val="0"/>
        <w:spacing w:line="276"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en-US" w:eastAsia="zh-CN"/>
        </w:rPr>
        <w:t>评审</w:t>
      </w:r>
      <w:r>
        <w:rPr>
          <w:rFonts w:hint="eastAsia" w:asciiTheme="minorEastAsia" w:hAnsiTheme="minorEastAsia" w:eastAsiaTheme="minorEastAsia"/>
          <w:sz w:val="24"/>
        </w:rPr>
        <w:t>小组根据上述评审内容分析评定后各自独立打分。各位评委的打分经算术平均后即为各供应商技术标得分。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72881"/>
    <w:multiLevelType w:val="singleLevel"/>
    <w:tmpl w:val="01272881"/>
    <w:lvl w:ilvl="0" w:tentative="0">
      <w:start w:val="1"/>
      <w:numFmt w:val="decimal"/>
      <w:lvlText w:val="(%1)"/>
      <w:lvlJc w:val="left"/>
      <w:pPr>
        <w:tabs>
          <w:tab w:val="left" w:pos="312"/>
        </w:tabs>
      </w:pPr>
    </w:lvl>
  </w:abstractNum>
  <w:abstractNum w:abstractNumId="1">
    <w:nsid w:val="70CDA8C1"/>
    <w:multiLevelType w:val="singleLevel"/>
    <w:tmpl w:val="70CDA8C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95586"/>
    <w:rsid w:val="0BAD2E38"/>
    <w:rsid w:val="371F1E5C"/>
    <w:rsid w:val="3D7638FE"/>
    <w:rsid w:val="4148179D"/>
    <w:rsid w:val="48C701E3"/>
    <w:rsid w:val="4BE06161"/>
    <w:rsid w:val="4E7C6F0C"/>
    <w:rsid w:val="5A454895"/>
    <w:rsid w:val="5ADF09A6"/>
    <w:rsid w:val="609E7512"/>
    <w:rsid w:val="61756BC5"/>
    <w:rsid w:val="68FE14EE"/>
    <w:rsid w:val="6C7E1B5D"/>
    <w:rsid w:val="6F1F557C"/>
    <w:rsid w:val="77FFBCFA"/>
    <w:rsid w:val="7DDE6E29"/>
    <w:rsid w:val="7EF79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2021-04-15T19:24:00Z</dcterms:created>
  <dc:creator>18551156810</dc:creator>
  <cp:lastModifiedBy>tcc</cp:lastModifiedBy>
  <dcterms:modified xsi:type="dcterms:W3CDTF">2025-03-20T17:10:19Z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8BA7B8750A13CECA084F1666A6C18D74</vt:lpwstr>
  </property>
</Properties>
</file>