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45D5">
      <w:pPr>
        <w:spacing w:line="560" w:lineRule="exact"/>
        <w:ind w:firstLine="0" w:firstLineChars="0"/>
        <w:rPr>
          <w:rFonts w:hint="default"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14:paraId="1503995B">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ascii="方正小标宋_GBK" w:hAnsi="方正小标宋_GBK" w:eastAsia="方正小标宋_GBK" w:cs="方正小标宋_GBK"/>
          <w:sz w:val="44"/>
          <w:szCs w:val="44"/>
        </w:rPr>
      </w:pPr>
    </w:p>
    <w:p w14:paraId="65A503C6">
      <w:pPr>
        <w:keepNext w:val="0"/>
        <w:keepLines w:val="0"/>
        <w:pageBreakBefore w:val="0"/>
        <w:widowControl/>
        <w:kinsoku/>
        <w:wordWrap w:val="0"/>
        <w:overflowPunct/>
        <w:topLinePunct w:val="0"/>
        <w:autoSpaceDE/>
        <w:autoSpaceDN/>
        <w:bidi w:val="0"/>
        <w:adjustRightInd/>
        <w:snapToGrid/>
        <w:spacing w:before="0" w:after="0" w:line="560" w:lineRule="exact"/>
        <w:ind w:left="0" w:leftChars="0"/>
        <w:jc w:val="center"/>
        <w:textAlignment w:val="auto"/>
        <w:outlineLvl w:val="2"/>
        <w:rPr>
          <w:rFonts w:ascii="方正小标宋_GBK" w:hAnsi="方正小标宋_GBK" w:eastAsia="方正小标宋_GBK" w:cs="方正小标宋_GBK"/>
          <w:b w:val="0"/>
          <w:bCs/>
          <w:color w:val="000000"/>
          <w:kern w:val="2"/>
          <w:sz w:val="44"/>
          <w:szCs w:val="44"/>
          <w:lang w:val="en-US" w:eastAsia="zh-CN" w:bidi="ar-SA"/>
        </w:rPr>
      </w:pPr>
      <w:r>
        <w:rPr>
          <w:rFonts w:hint="eastAsia" w:ascii="方正小标宋_GBK" w:hAnsi="方正小标宋_GBK" w:eastAsia="方正小标宋_GBK" w:cs="方正小标宋_GBK"/>
          <w:b w:val="0"/>
          <w:bCs/>
          <w:color w:val="000000"/>
          <w:kern w:val="2"/>
          <w:sz w:val="44"/>
          <w:szCs w:val="44"/>
          <w:lang w:val="en-US" w:eastAsia="zh-CN" w:bidi="ar-SA"/>
        </w:rPr>
        <w:t>黄金内湾（深圳）滨海旅游总体策划</w:t>
      </w:r>
    </w:p>
    <w:p w14:paraId="40287263">
      <w:pPr>
        <w:keepNext w:val="0"/>
        <w:keepLines w:val="0"/>
        <w:pageBreakBefore w:val="0"/>
        <w:widowControl/>
        <w:kinsoku/>
        <w:wordWrap w:val="0"/>
        <w:overflowPunct/>
        <w:topLinePunct w:val="0"/>
        <w:autoSpaceDE/>
        <w:autoSpaceDN/>
        <w:bidi w:val="0"/>
        <w:adjustRightInd/>
        <w:snapToGrid/>
        <w:spacing w:before="0" w:after="0" w:line="560" w:lineRule="exact"/>
        <w:ind w:left="0" w:leftChars="0"/>
        <w:jc w:val="center"/>
        <w:textAlignment w:val="auto"/>
        <w:outlineLvl w:val="2"/>
        <w:rPr>
          <w:rFonts w:ascii="方正小标宋_GBK" w:hAnsi="方正小标宋_GBK" w:eastAsia="方正小标宋_GBK" w:cs="方正小标宋_GBK"/>
          <w:b w:val="0"/>
          <w:bCs/>
          <w:color w:val="000000"/>
          <w:kern w:val="2"/>
          <w:sz w:val="44"/>
          <w:szCs w:val="44"/>
          <w:lang w:val="en-US" w:eastAsia="zh-CN" w:bidi="ar-SA"/>
        </w:rPr>
      </w:pPr>
      <w:r>
        <w:rPr>
          <w:rFonts w:hint="eastAsia" w:ascii="方正小标宋_GBK" w:hAnsi="方正小标宋_GBK" w:eastAsia="方正小标宋_GBK" w:cs="方正小标宋_GBK"/>
          <w:b w:val="0"/>
          <w:bCs/>
          <w:color w:val="000000"/>
          <w:kern w:val="2"/>
          <w:sz w:val="44"/>
          <w:szCs w:val="44"/>
          <w:lang w:val="en-US" w:eastAsia="zh-CN" w:bidi="ar-SA"/>
        </w:rPr>
        <w:t>咨询服务评审评分表</w:t>
      </w:r>
    </w:p>
    <w:p w14:paraId="3B85662C">
      <w:pPr>
        <w:keepNext w:val="0"/>
        <w:keepLines w:val="0"/>
        <w:pageBreakBefore w:val="0"/>
        <w:widowControl w:val="0"/>
        <w:kinsoku/>
        <w:overflowPunct/>
        <w:topLinePunct w:val="0"/>
        <w:autoSpaceDE/>
        <w:autoSpaceDN/>
        <w:bidi w:val="0"/>
        <w:adjustRightInd/>
        <w:snapToGrid/>
        <w:spacing w:after="0" w:line="560" w:lineRule="exact"/>
        <w:ind w:left="0" w:leftChars="0"/>
        <w:jc w:val="both"/>
        <w:textAlignment w:val="auto"/>
        <w:rPr>
          <w:rFonts w:ascii="Times New Roman" w:hAnsi="Times New Roman" w:eastAsia="宋体" w:cs="等线"/>
          <w:kern w:val="2"/>
          <w:sz w:val="21"/>
          <w:szCs w:val="22"/>
          <w:lang w:val="en-US" w:eastAsia="zh-CN" w:bidi="ar-SA"/>
        </w:rPr>
      </w:pPr>
    </w:p>
    <w:tbl>
      <w:tblPr>
        <w:tblStyle w:val="1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94"/>
        <w:gridCol w:w="1551"/>
        <w:gridCol w:w="675"/>
        <w:gridCol w:w="6132"/>
      </w:tblGrid>
      <w:tr w14:paraId="107C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center"/>
          </w:tcPr>
          <w:p w14:paraId="5808A5B9">
            <w:pPr>
              <w:spacing w:line="240" w:lineRule="auto"/>
              <w:ind w:firstLine="0" w:firstLineChars="0"/>
              <w:jc w:val="center"/>
              <w:rPr>
                <w:rFonts w:ascii="仿宋" w:hAnsi="仿宋" w:eastAsia="仿宋" w:cs="宋体"/>
                <w:b/>
                <w:kern w:val="0"/>
                <w:sz w:val="22"/>
                <w:szCs w:val="21"/>
              </w:rPr>
            </w:pPr>
            <w:r>
              <w:rPr>
                <w:rFonts w:ascii="仿宋" w:hAnsi="仿宋" w:eastAsia="仿宋" w:cs="宋体"/>
                <w:b/>
                <w:kern w:val="0"/>
                <w:sz w:val="22"/>
                <w:szCs w:val="21"/>
              </w:rPr>
              <w:t>序号</w:t>
            </w:r>
          </w:p>
        </w:tc>
        <w:tc>
          <w:tcPr>
            <w:tcW w:w="2245" w:type="dxa"/>
            <w:gridSpan w:val="2"/>
            <w:vAlign w:val="center"/>
          </w:tcPr>
          <w:p w14:paraId="6D2119FE">
            <w:pPr>
              <w:spacing w:line="240" w:lineRule="auto"/>
              <w:ind w:firstLine="0" w:firstLineChars="0"/>
              <w:jc w:val="center"/>
              <w:rPr>
                <w:rFonts w:ascii="仿宋" w:hAnsi="仿宋" w:eastAsia="仿宋" w:cs="宋体"/>
                <w:b/>
                <w:kern w:val="0"/>
                <w:sz w:val="22"/>
                <w:szCs w:val="21"/>
              </w:rPr>
            </w:pPr>
            <w:r>
              <w:rPr>
                <w:rFonts w:ascii="仿宋" w:hAnsi="仿宋" w:eastAsia="仿宋" w:cs="宋体"/>
                <w:b/>
                <w:kern w:val="0"/>
                <w:sz w:val="22"/>
                <w:szCs w:val="21"/>
              </w:rPr>
              <w:t>评分项</w:t>
            </w:r>
          </w:p>
        </w:tc>
        <w:tc>
          <w:tcPr>
            <w:tcW w:w="6807" w:type="dxa"/>
            <w:gridSpan w:val="2"/>
            <w:vAlign w:val="center"/>
          </w:tcPr>
          <w:p w14:paraId="386D5CB2">
            <w:pPr>
              <w:spacing w:line="240" w:lineRule="auto"/>
              <w:ind w:firstLine="0" w:firstLineChars="0"/>
              <w:jc w:val="center"/>
              <w:rPr>
                <w:rFonts w:ascii="仿宋" w:hAnsi="仿宋" w:eastAsia="仿宋" w:cs="宋体"/>
                <w:b/>
                <w:kern w:val="0"/>
                <w:sz w:val="22"/>
                <w:szCs w:val="21"/>
              </w:rPr>
            </w:pPr>
            <w:r>
              <w:rPr>
                <w:rFonts w:ascii="仿宋" w:hAnsi="仿宋" w:eastAsia="仿宋" w:cs="宋体"/>
                <w:b/>
                <w:kern w:val="0"/>
                <w:sz w:val="22"/>
                <w:szCs w:val="21"/>
              </w:rPr>
              <w:t>权重</w:t>
            </w:r>
          </w:p>
        </w:tc>
      </w:tr>
      <w:tr w14:paraId="3D12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center"/>
          </w:tcPr>
          <w:p w14:paraId="1A53CD9A">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一</w:t>
            </w:r>
          </w:p>
        </w:tc>
        <w:tc>
          <w:tcPr>
            <w:tcW w:w="2245" w:type="dxa"/>
            <w:gridSpan w:val="2"/>
            <w:vAlign w:val="center"/>
          </w:tcPr>
          <w:p w14:paraId="3DB26705">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价格部分</w:t>
            </w:r>
          </w:p>
        </w:tc>
        <w:tc>
          <w:tcPr>
            <w:tcW w:w="6807" w:type="dxa"/>
            <w:gridSpan w:val="2"/>
            <w:vAlign w:val="center"/>
          </w:tcPr>
          <w:p w14:paraId="41DDCEBA">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20</w:t>
            </w:r>
          </w:p>
        </w:tc>
      </w:tr>
      <w:tr w14:paraId="0CA5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restart"/>
            <w:vAlign w:val="center"/>
          </w:tcPr>
          <w:p w14:paraId="70500A36">
            <w:pPr>
              <w:spacing w:line="240" w:lineRule="auto"/>
              <w:ind w:firstLine="0" w:firstLineChars="0"/>
              <w:jc w:val="center"/>
              <w:rPr>
                <w:rFonts w:ascii="仿宋" w:hAnsi="仿宋" w:eastAsia="仿宋" w:cs="宋体"/>
                <w:kern w:val="0"/>
                <w:sz w:val="21"/>
                <w:szCs w:val="21"/>
              </w:rPr>
            </w:pPr>
          </w:p>
        </w:tc>
        <w:tc>
          <w:tcPr>
            <w:tcW w:w="694" w:type="dxa"/>
            <w:vAlign w:val="center"/>
          </w:tcPr>
          <w:p w14:paraId="6133B6F9">
            <w:pPr>
              <w:spacing w:line="240" w:lineRule="auto"/>
              <w:ind w:firstLine="0" w:firstLineChars="0"/>
              <w:rPr>
                <w:rFonts w:ascii="仿宋" w:hAnsi="仿宋" w:eastAsia="仿宋" w:cs="宋体"/>
                <w:kern w:val="0"/>
                <w:sz w:val="21"/>
                <w:szCs w:val="21"/>
              </w:rPr>
            </w:pPr>
            <w:r>
              <w:rPr>
                <w:rFonts w:ascii="仿宋" w:hAnsi="仿宋" w:eastAsia="仿宋" w:cs="宋体"/>
                <w:kern w:val="0"/>
                <w:sz w:val="21"/>
                <w:szCs w:val="21"/>
              </w:rPr>
              <w:t>编号</w:t>
            </w:r>
          </w:p>
        </w:tc>
        <w:tc>
          <w:tcPr>
            <w:tcW w:w="1551" w:type="dxa"/>
            <w:vAlign w:val="center"/>
          </w:tcPr>
          <w:p w14:paraId="275CA10A">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评分因素</w:t>
            </w:r>
          </w:p>
        </w:tc>
        <w:tc>
          <w:tcPr>
            <w:tcW w:w="675" w:type="dxa"/>
            <w:vAlign w:val="center"/>
          </w:tcPr>
          <w:p w14:paraId="3F873B86">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权重</w:t>
            </w:r>
          </w:p>
        </w:tc>
        <w:tc>
          <w:tcPr>
            <w:tcW w:w="6132" w:type="dxa"/>
            <w:vAlign w:val="center"/>
          </w:tcPr>
          <w:p w14:paraId="41942159">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评分准则</w:t>
            </w:r>
          </w:p>
        </w:tc>
      </w:tr>
      <w:tr w14:paraId="2D09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vAlign w:val="center"/>
          </w:tcPr>
          <w:p w14:paraId="253B5D0A">
            <w:pPr>
              <w:spacing w:line="240" w:lineRule="auto"/>
              <w:ind w:firstLine="0" w:firstLineChars="0"/>
              <w:jc w:val="center"/>
              <w:rPr>
                <w:rFonts w:ascii="仿宋" w:hAnsi="仿宋" w:eastAsia="仿宋" w:cs="宋体"/>
                <w:kern w:val="0"/>
                <w:sz w:val="21"/>
                <w:szCs w:val="21"/>
              </w:rPr>
            </w:pPr>
          </w:p>
        </w:tc>
        <w:tc>
          <w:tcPr>
            <w:tcW w:w="694" w:type="dxa"/>
            <w:vAlign w:val="center"/>
          </w:tcPr>
          <w:p w14:paraId="32184880">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w:t>
            </w:r>
          </w:p>
        </w:tc>
        <w:tc>
          <w:tcPr>
            <w:tcW w:w="1551" w:type="dxa"/>
            <w:vAlign w:val="center"/>
          </w:tcPr>
          <w:p w14:paraId="3ACFFB25">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价格评分</w:t>
            </w:r>
          </w:p>
        </w:tc>
        <w:tc>
          <w:tcPr>
            <w:tcW w:w="675" w:type="dxa"/>
            <w:vAlign w:val="center"/>
          </w:tcPr>
          <w:p w14:paraId="19146B2E">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20</w:t>
            </w:r>
          </w:p>
        </w:tc>
        <w:tc>
          <w:tcPr>
            <w:tcW w:w="6132" w:type="dxa"/>
            <w:vAlign w:val="center"/>
          </w:tcPr>
          <w:p w14:paraId="0AE1E118">
            <w:pPr>
              <w:spacing w:line="240" w:lineRule="auto"/>
              <w:ind w:firstLine="0" w:firstLineChars="0"/>
              <w:rPr>
                <w:rFonts w:ascii="仿宋" w:hAnsi="仿宋" w:eastAsia="仿宋" w:cs="等线"/>
                <w:sz w:val="21"/>
                <w:szCs w:val="22"/>
              </w:rPr>
            </w:pPr>
            <w:r>
              <w:rPr>
                <w:rFonts w:ascii="仿宋" w:hAnsi="仿宋" w:eastAsia="仿宋" w:cs="Times New Roman"/>
                <w:sz w:val="21"/>
                <w:szCs w:val="22"/>
              </w:rPr>
              <w:t>价格分=</w:t>
            </w:r>
            <w:r>
              <w:rPr>
                <w:rFonts w:hint="eastAsia" w:ascii="仿宋" w:hAnsi="仿宋" w:eastAsia="仿宋" w:cs="Times New Roman"/>
                <w:sz w:val="21"/>
                <w:szCs w:val="22"/>
              </w:rPr>
              <w:t>（</w:t>
            </w:r>
            <w:r>
              <w:rPr>
                <w:rFonts w:ascii="仿宋" w:hAnsi="仿宋" w:eastAsia="仿宋" w:cs="Times New Roman"/>
                <w:sz w:val="21"/>
                <w:szCs w:val="22"/>
              </w:rPr>
              <w:t>评标基准价/投标报价</w:t>
            </w:r>
            <w:r>
              <w:rPr>
                <w:rFonts w:hint="eastAsia" w:ascii="仿宋" w:hAnsi="仿宋" w:eastAsia="仿宋" w:cs="Times New Roman"/>
                <w:sz w:val="21"/>
                <w:szCs w:val="22"/>
              </w:rPr>
              <w:t>）</w:t>
            </w:r>
            <w:r>
              <w:rPr>
                <w:rFonts w:ascii="仿宋" w:hAnsi="仿宋" w:eastAsia="仿宋" w:cs="Times New Roman"/>
                <w:sz w:val="21"/>
                <w:szCs w:val="22"/>
              </w:rPr>
              <w:t>×20（满足招标文件要求且投标价格最低的投标报价为评标基准价。对于报价明显偏低可能影响履约的，评审委员会经集体投票超过半数认为投标人的报价明显低于其他满足资格条件的投标人报价的，将其作为无效投标处理）</w:t>
            </w:r>
          </w:p>
        </w:tc>
      </w:tr>
      <w:tr w14:paraId="43C4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center"/>
          </w:tcPr>
          <w:p w14:paraId="6322E738">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二</w:t>
            </w:r>
          </w:p>
        </w:tc>
        <w:tc>
          <w:tcPr>
            <w:tcW w:w="2245" w:type="dxa"/>
            <w:gridSpan w:val="2"/>
            <w:vAlign w:val="center"/>
          </w:tcPr>
          <w:p w14:paraId="2297BC1D">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技术部分</w:t>
            </w:r>
          </w:p>
        </w:tc>
        <w:tc>
          <w:tcPr>
            <w:tcW w:w="6807" w:type="dxa"/>
            <w:gridSpan w:val="2"/>
            <w:vAlign w:val="center"/>
          </w:tcPr>
          <w:p w14:paraId="72C1ADC1">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40</w:t>
            </w:r>
          </w:p>
        </w:tc>
      </w:tr>
      <w:tr w14:paraId="21CE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center"/>
          </w:tcPr>
          <w:p w14:paraId="776CA3E0">
            <w:pPr>
              <w:spacing w:line="240" w:lineRule="auto"/>
              <w:ind w:firstLine="0" w:firstLineChars="0"/>
              <w:jc w:val="center"/>
              <w:rPr>
                <w:rFonts w:ascii="仿宋" w:hAnsi="仿宋" w:eastAsia="仿宋" w:cs="宋体"/>
                <w:kern w:val="0"/>
                <w:sz w:val="21"/>
                <w:szCs w:val="21"/>
              </w:rPr>
            </w:pPr>
          </w:p>
        </w:tc>
        <w:tc>
          <w:tcPr>
            <w:tcW w:w="694" w:type="dxa"/>
            <w:vAlign w:val="center"/>
          </w:tcPr>
          <w:p w14:paraId="3A2B2F9C">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序号</w:t>
            </w:r>
          </w:p>
        </w:tc>
        <w:tc>
          <w:tcPr>
            <w:tcW w:w="1551" w:type="dxa"/>
            <w:vAlign w:val="center"/>
          </w:tcPr>
          <w:p w14:paraId="16A89E5E">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评分因素</w:t>
            </w:r>
          </w:p>
        </w:tc>
        <w:tc>
          <w:tcPr>
            <w:tcW w:w="675" w:type="dxa"/>
            <w:vAlign w:val="center"/>
          </w:tcPr>
          <w:p w14:paraId="78D0D643">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权重</w:t>
            </w:r>
          </w:p>
        </w:tc>
        <w:tc>
          <w:tcPr>
            <w:tcW w:w="6132" w:type="dxa"/>
            <w:vAlign w:val="center"/>
          </w:tcPr>
          <w:p w14:paraId="0F3A6D7C">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评分准则</w:t>
            </w:r>
          </w:p>
        </w:tc>
      </w:tr>
      <w:tr w14:paraId="2DA5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24" w:type="dxa"/>
            <w:vAlign w:val="center"/>
          </w:tcPr>
          <w:p w14:paraId="5F24F3C7">
            <w:pPr>
              <w:spacing w:line="240" w:lineRule="auto"/>
              <w:ind w:firstLine="0" w:firstLineChars="0"/>
              <w:jc w:val="center"/>
              <w:rPr>
                <w:rFonts w:ascii="仿宋" w:hAnsi="仿宋" w:eastAsia="仿宋" w:cs="宋体"/>
                <w:kern w:val="0"/>
                <w:sz w:val="21"/>
                <w:szCs w:val="21"/>
              </w:rPr>
            </w:pPr>
          </w:p>
        </w:tc>
        <w:tc>
          <w:tcPr>
            <w:tcW w:w="694" w:type="dxa"/>
            <w:vAlign w:val="center"/>
          </w:tcPr>
          <w:p w14:paraId="371A316F">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w:t>
            </w:r>
          </w:p>
          <w:p w14:paraId="70163E1D">
            <w:pPr>
              <w:spacing w:line="240" w:lineRule="auto"/>
              <w:ind w:firstLine="0" w:firstLineChars="0"/>
              <w:jc w:val="center"/>
              <w:rPr>
                <w:rFonts w:ascii="仿宋" w:hAnsi="仿宋" w:eastAsia="仿宋" w:cs="宋体"/>
                <w:kern w:val="0"/>
                <w:sz w:val="21"/>
                <w:szCs w:val="21"/>
              </w:rPr>
            </w:pPr>
          </w:p>
        </w:tc>
        <w:tc>
          <w:tcPr>
            <w:tcW w:w="1551" w:type="dxa"/>
            <w:vAlign w:val="center"/>
          </w:tcPr>
          <w:p w14:paraId="55F65937">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背景解读与技术路线制定</w:t>
            </w:r>
          </w:p>
        </w:tc>
        <w:tc>
          <w:tcPr>
            <w:tcW w:w="675" w:type="dxa"/>
            <w:vAlign w:val="center"/>
          </w:tcPr>
          <w:p w14:paraId="70800A99">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10</w:t>
            </w:r>
          </w:p>
        </w:tc>
        <w:tc>
          <w:tcPr>
            <w:tcW w:w="6132" w:type="dxa"/>
            <w:vAlign w:val="center"/>
          </w:tcPr>
          <w:p w14:paraId="3DFCC9C8">
            <w:pPr>
              <w:spacing w:line="240" w:lineRule="auto"/>
              <w:ind w:firstLine="0" w:firstLineChars="0"/>
              <w:rPr>
                <w:rFonts w:ascii="仿宋" w:hAnsi="仿宋" w:eastAsia="仿宋" w:cs="Times New Roman"/>
                <w:sz w:val="21"/>
                <w:szCs w:val="22"/>
              </w:rPr>
            </w:pPr>
            <w:r>
              <w:rPr>
                <w:rFonts w:ascii="仿宋" w:hAnsi="仿宋" w:eastAsia="仿宋" w:cs="Times New Roman"/>
                <w:sz w:val="21"/>
                <w:szCs w:val="22"/>
              </w:rPr>
              <w:t>（1）解读项目背景；</w:t>
            </w:r>
          </w:p>
          <w:p w14:paraId="28018FB3">
            <w:pPr>
              <w:spacing w:line="240" w:lineRule="auto"/>
              <w:ind w:firstLine="0" w:firstLineChars="0"/>
              <w:rPr>
                <w:rFonts w:ascii="仿宋" w:hAnsi="仿宋" w:eastAsia="仿宋" w:cs="等线"/>
                <w:sz w:val="21"/>
                <w:szCs w:val="22"/>
              </w:rPr>
            </w:pPr>
            <w:r>
              <w:rPr>
                <w:rFonts w:ascii="仿宋" w:hAnsi="仿宋" w:eastAsia="仿宋" w:cs="等线"/>
                <w:sz w:val="21"/>
                <w:szCs w:val="22"/>
              </w:rPr>
              <w:t>（2）分析资源禀赋，包括但不限于海洋海岛、邮轮游艇、岸上旅游资源等；</w:t>
            </w:r>
          </w:p>
          <w:p w14:paraId="2CB1FF6C">
            <w:pPr>
              <w:spacing w:line="240" w:lineRule="auto"/>
              <w:ind w:firstLine="0" w:firstLineChars="0"/>
              <w:rPr>
                <w:rFonts w:ascii="仿宋" w:hAnsi="仿宋" w:eastAsia="仿宋" w:cs="等线"/>
                <w:sz w:val="21"/>
                <w:szCs w:val="22"/>
              </w:rPr>
            </w:pPr>
            <w:r>
              <w:rPr>
                <w:rFonts w:ascii="仿宋" w:hAnsi="仿宋" w:eastAsia="仿宋" w:cs="等线"/>
                <w:sz w:val="21"/>
                <w:szCs w:val="22"/>
              </w:rPr>
              <w:t>（3）响应工作目标，提出工作思路（包含技术路线与主要工作方法）。</w:t>
            </w:r>
          </w:p>
          <w:p w14:paraId="4D54C5D4">
            <w:pPr>
              <w:spacing w:line="240" w:lineRule="auto"/>
              <w:ind w:firstLine="0" w:firstLineChars="0"/>
              <w:rPr>
                <w:rFonts w:ascii="仿宋" w:hAnsi="仿宋" w:eastAsia="仿宋" w:cs="宋体"/>
                <w:kern w:val="0"/>
                <w:sz w:val="21"/>
                <w:szCs w:val="21"/>
              </w:rPr>
            </w:pPr>
            <w:r>
              <w:rPr>
                <w:rFonts w:ascii="仿宋" w:hAnsi="仿宋" w:eastAsia="仿宋" w:cs="等线"/>
                <w:sz w:val="21"/>
                <w:szCs w:val="22"/>
              </w:rPr>
              <w:t>满足以上三项要求，且分析准确，评价为优得8-10分；满足以上两项要求，评价为良得5-7分；满足以上一项要求，评价为中得2-4分；其他情况，评价为差得0-1分。</w:t>
            </w:r>
          </w:p>
        </w:tc>
      </w:tr>
      <w:tr w14:paraId="273A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724" w:type="dxa"/>
            <w:vAlign w:val="center"/>
          </w:tcPr>
          <w:p w14:paraId="074531DA">
            <w:pPr>
              <w:spacing w:line="240" w:lineRule="auto"/>
              <w:ind w:firstLine="0" w:firstLineChars="0"/>
              <w:jc w:val="center"/>
              <w:rPr>
                <w:rFonts w:ascii="仿宋" w:hAnsi="仿宋" w:eastAsia="仿宋" w:cs="宋体"/>
                <w:kern w:val="0"/>
                <w:sz w:val="21"/>
                <w:szCs w:val="21"/>
              </w:rPr>
            </w:pPr>
          </w:p>
        </w:tc>
        <w:tc>
          <w:tcPr>
            <w:tcW w:w="694" w:type="dxa"/>
            <w:vAlign w:val="center"/>
          </w:tcPr>
          <w:p w14:paraId="6DE23780">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2</w:t>
            </w:r>
          </w:p>
        </w:tc>
        <w:tc>
          <w:tcPr>
            <w:tcW w:w="1551" w:type="dxa"/>
            <w:vAlign w:val="center"/>
          </w:tcPr>
          <w:p w14:paraId="0CFDD171">
            <w:pPr>
              <w:spacing w:line="240" w:lineRule="auto"/>
              <w:ind w:firstLine="0" w:firstLineChars="0"/>
              <w:jc w:val="center"/>
              <w:rPr>
                <w:rFonts w:ascii="仿宋" w:hAnsi="仿宋" w:eastAsia="仿宋" w:cs="宋体"/>
                <w:color w:val="000000"/>
                <w:sz w:val="21"/>
                <w:szCs w:val="21"/>
              </w:rPr>
            </w:pPr>
            <w:r>
              <w:rPr>
                <w:rFonts w:ascii="仿宋" w:hAnsi="仿宋" w:eastAsia="仿宋" w:cs="宋体"/>
                <w:color w:val="000000"/>
                <w:sz w:val="21"/>
                <w:szCs w:val="21"/>
              </w:rPr>
              <w:t>项目难点重点分析及相关的合理化建议</w:t>
            </w:r>
          </w:p>
        </w:tc>
        <w:tc>
          <w:tcPr>
            <w:tcW w:w="675" w:type="dxa"/>
            <w:vAlign w:val="center"/>
          </w:tcPr>
          <w:p w14:paraId="32E95B6F">
            <w:pPr>
              <w:spacing w:line="240" w:lineRule="auto"/>
              <w:ind w:firstLine="0" w:firstLineChars="0"/>
              <w:jc w:val="center"/>
              <w:rPr>
                <w:rFonts w:ascii="仿宋" w:hAnsi="仿宋" w:eastAsia="仿宋" w:cs="宋体"/>
                <w:color w:val="000000"/>
                <w:sz w:val="21"/>
                <w:szCs w:val="21"/>
              </w:rPr>
            </w:pPr>
            <w:r>
              <w:rPr>
                <w:rFonts w:ascii="仿宋" w:hAnsi="仿宋" w:eastAsia="仿宋" w:cs="宋体"/>
                <w:color w:val="000000"/>
                <w:sz w:val="21"/>
                <w:szCs w:val="21"/>
              </w:rPr>
              <w:t>25</w:t>
            </w:r>
          </w:p>
        </w:tc>
        <w:tc>
          <w:tcPr>
            <w:tcW w:w="6132" w:type="dxa"/>
            <w:vAlign w:val="center"/>
          </w:tcPr>
          <w:p w14:paraId="4E9B3C45">
            <w:pPr>
              <w:spacing w:line="240" w:lineRule="auto"/>
              <w:ind w:firstLine="0" w:firstLineChars="0"/>
              <w:rPr>
                <w:rFonts w:ascii="仿宋" w:hAnsi="仿宋" w:eastAsia="仿宋" w:cs="等线"/>
                <w:sz w:val="21"/>
                <w:szCs w:val="22"/>
              </w:rPr>
            </w:pPr>
            <w:r>
              <w:rPr>
                <w:rFonts w:ascii="仿宋" w:hAnsi="仿宋" w:eastAsia="仿宋" w:cs="等线"/>
                <w:sz w:val="21"/>
                <w:szCs w:val="22"/>
              </w:rPr>
              <w:t>（1）黄金内湾（深圳）海岛旅游发展研判与策划；</w:t>
            </w:r>
          </w:p>
          <w:p w14:paraId="05B56E73">
            <w:pPr>
              <w:spacing w:line="240" w:lineRule="auto"/>
              <w:ind w:firstLine="0" w:firstLineChars="0"/>
              <w:rPr>
                <w:rFonts w:ascii="仿宋" w:hAnsi="仿宋" w:eastAsia="仿宋" w:cs="等线"/>
                <w:sz w:val="21"/>
                <w:szCs w:val="22"/>
              </w:rPr>
            </w:pPr>
            <w:r>
              <w:rPr>
                <w:rFonts w:ascii="仿宋" w:hAnsi="仿宋" w:eastAsia="仿宋" w:cs="等线"/>
                <w:sz w:val="21"/>
                <w:szCs w:val="22"/>
              </w:rPr>
              <w:t>（2）邮轮旅游目标制定与行动计划；</w:t>
            </w:r>
          </w:p>
          <w:p w14:paraId="7B0D04AE">
            <w:pPr>
              <w:spacing w:line="240" w:lineRule="auto"/>
              <w:ind w:firstLine="0" w:firstLineChars="0"/>
              <w:rPr>
                <w:rFonts w:ascii="仿宋" w:hAnsi="仿宋" w:eastAsia="仿宋" w:cs="等线"/>
                <w:sz w:val="21"/>
                <w:szCs w:val="22"/>
              </w:rPr>
            </w:pPr>
            <w:r>
              <w:rPr>
                <w:rFonts w:ascii="仿宋" w:hAnsi="仿宋" w:eastAsia="仿宋" w:cs="等线"/>
                <w:sz w:val="21"/>
                <w:szCs w:val="22"/>
              </w:rPr>
              <w:t>（3）湾区游“一程多站”基础分析与策划；</w:t>
            </w:r>
          </w:p>
          <w:p w14:paraId="56E83D8E">
            <w:pPr>
              <w:spacing w:line="240" w:lineRule="auto"/>
              <w:ind w:firstLine="0" w:firstLineChars="0"/>
              <w:rPr>
                <w:rFonts w:ascii="仿宋" w:hAnsi="仿宋" w:eastAsia="仿宋" w:cs="等线"/>
                <w:sz w:val="21"/>
                <w:szCs w:val="22"/>
              </w:rPr>
            </w:pPr>
            <w:r>
              <w:rPr>
                <w:rFonts w:ascii="仿宋" w:hAnsi="仿宋" w:eastAsia="仿宋" w:cs="等线"/>
                <w:sz w:val="21"/>
                <w:szCs w:val="22"/>
              </w:rPr>
              <w:t>（4）其他项目难点重点，包括但不限于海上运动、活动引流等。</w:t>
            </w:r>
          </w:p>
          <w:p w14:paraId="261CC48C">
            <w:pPr>
              <w:spacing w:line="240" w:lineRule="auto"/>
              <w:ind w:firstLine="0" w:firstLineChars="0"/>
              <w:rPr>
                <w:rFonts w:ascii="仿宋" w:hAnsi="仿宋" w:eastAsia="仿宋" w:cs="宋体"/>
                <w:kern w:val="0"/>
                <w:sz w:val="21"/>
                <w:szCs w:val="21"/>
              </w:rPr>
            </w:pPr>
            <w:r>
              <w:rPr>
                <w:rFonts w:ascii="仿宋" w:hAnsi="仿宋" w:eastAsia="仿宋" w:cs="等线"/>
                <w:sz w:val="21"/>
                <w:szCs w:val="22"/>
              </w:rPr>
              <w:t>满足以上四项要求，且分析深入、结论准确评价为优得21-25分；满足以上三项要求，且分析基本准确评价为良得11-20分；满足以上两项要求，评价为中得6-10分；其他情况，评价为差得0-5分。</w:t>
            </w:r>
          </w:p>
        </w:tc>
      </w:tr>
      <w:tr w14:paraId="419F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724" w:type="dxa"/>
            <w:vAlign w:val="center"/>
          </w:tcPr>
          <w:p w14:paraId="7FEA86BC">
            <w:pPr>
              <w:spacing w:line="240" w:lineRule="auto"/>
              <w:ind w:firstLine="0" w:firstLineChars="0"/>
              <w:jc w:val="center"/>
              <w:rPr>
                <w:rFonts w:ascii="仿宋" w:hAnsi="仿宋" w:eastAsia="仿宋" w:cs="宋体"/>
                <w:kern w:val="0"/>
                <w:sz w:val="21"/>
                <w:szCs w:val="21"/>
              </w:rPr>
            </w:pPr>
          </w:p>
        </w:tc>
        <w:tc>
          <w:tcPr>
            <w:tcW w:w="694" w:type="dxa"/>
            <w:vAlign w:val="center"/>
          </w:tcPr>
          <w:p w14:paraId="2BB271DD">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3</w:t>
            </w:r>
          </w:p>
        </w:tc>
        <w:tc>
          <w:tcPr>
            <w:tcW w:w="1551" w:type="dxa"/>
            <w:vAlign w:val="center"/>
          </w:tcPr>
          <w:p w14:paraId="55D2227A">
            <w:pPr>
              <w:spacing w:line="240" w:lineRule="auto"/>
              <w:ind w:firstLine="0" w:firstLineChars="0"/>
              <w:jc w:val="center"/>
              <w:rPr>
                <w:rFonts w:ascii="仿宋" w:hAnsi="仿宋" w:eastAsia="仿宋" w:cs="宋体"/>
                <w:color w:val="000000"/>
                <w:sz w:val="21"/>
                <w:szCs w:val="21"/>
              </w:rPr>
            </w:pPr>
            <w:r>
              <w:rPr>
                <w:rFonts w:ascii="仿宋" w:hAnsi="仿宋" w:eastAsia="仿宋" w:cs="宋体"/>
                <w:color w:val="000000"/>
                <w:sz w:val="21"/>
                <w:szCs w:val="21"/>
              </w:rPr>
              <w:t>质量保障措施及方案</w:t>
            </w:r>
          </w:p>
        </w:tc>
        <w:tc>
          <w:tcPr>
            <w:tcW w:w="675" w:type="dxa"/>
            <w:vAlign w:val="center"/>
          </w:tcPr>
          <w:p w14:paraId="0C572880">
            <w:pPr>
              <w:spacing w:line="240" w:lineRule="auto"/>
              <w:ind w:firstLine="0" w:firstLineChars="0"/>
              <w:jc w:val="center"/>
              <w:rPr>
                <w:rFonts w:ascii="仿宋" w:hAnsi="仿宋" w:eastAsia="仿宋" w:cs="宋体"/>
                <w:color w:val="000000"/>
                <w:sz w:val="21"/>
                <w:szCs w:val="21"/>
              </w:rPr>
            </w:pPr>
            <w:r>
              <w:rPr>
                <w:rFonts w:ascii="仿宋" w:hAnsi="仿宋" w:eastAsia="仿宋" w:cs="宋体"/>
                <w:color w:val="000000"/>
                <w:sz w:val="21"/>
                <w:szCs w:val="21"/>
              </w:rPr>
              <w:t>5</w:t>
            </w:r>
          </w:p>
        </w:tc>
        <w:tc>
          <w:tcPr>
            <w:tcW w:w="6132" w:type="dxa"/>
            <w:vAlign w:val="center"/>
          </w:tcPr>
          <w:p w14:paraId="5D5A6BC5">
            <w:pPr>
              <w:numPr>
                <w:ilvl w:val="0"/>
                <w:numId w:val="2"/>
              </w:numPr>
              <w:spacing w:line="240" w:lineRule="auto"/>
              <w:ind w:firstLine="0" w:firstLineChars="0"/>
              <w:rPr>
                <w:rFonts w:ascii="仿宋" w:hAnsi="仿宋" w:eastAsia="仿宋" w:cs="Times New Roman"/>
                <w:sz w:val="21"/>
                <w:szCs w:val="22"/>
              </w:rPr>
            </w:pPr>
            <w:r>
              <w:rPr>
                <w:rFonts w:ascii="仿宋" w:hAnsi="仿宋" w:eastAsia="仿宋" w:cs="Times New Roman"/>
                <w:sz w:val="21"/>
                <w:szCs w:val="22"/>
              </w:rPr>
              <w:t>进度控制；</w:t>
            </w:r>
          </w:p>
          <w:p w14:paraId="371C0E36">
            <w:pPr>
              <w:numPr>
                <w:ilvl w:val="0"/>
                <w:numId w:val="2"/>
              </w:numPr>
              <w:spacing w:line="240" w:lineRule="auto"/>
              <w:ind w:firstLine="0" w:firstLineChars="0"/>
              <w:rPr>
                <w:rFonts w:ascii="仿宋" w:hAnsi="仿宋" w:eastAsia="仿宋" w:cs="Times New Roman"/>
                <w:sz w:val="21"/>
                <w:szCs w:val="22"/>
              </w:rPr>
            </w:pPr>
            <w:r>
              <w:rPr>
                <w:rFonts w:ascii="仿宋" w:hAnsi="仿宋" w:eastAsia="仿宋" w:cs="Times New Roman"/>
                <w:sz w:val="21"/>
                <w:szCs w:val="22"/>
              </w:rPr>
              <w:t>质量管理；</w:t>
            </w:r>
          </w:p>
          <w:p w14:paraId="0AD8EC9D">
            <w:pPr>
              <w:numPr>
                <w:ilvl w:val="0"/>
                <w:numId w:val="2"/>
              </w:numPr>
              <w:spacing w:line="240" w:lineRule="auto"/>
              <w:ind w:firstLine="0" w:firstLineChars="0"/>
              <w:rPr>
                <w:rFonts w:ascii="仿宋" w:hAnsi="仿宋" w:eastAsia="仿宋" w:cs="Times New Roman"/>
                <w:sz w:val="21"/>
                <w:szCs w:val="22"/>
              </w:rPr>
            </w:pPr>
            <w:r>
              <w:rPr>
                <w:rFonts w:ascii="仿宋" w:hAnsi="仿宋" w:eastAsia="仿宋" w:cs="Times New Roman"/>
                <w:sz w:val="21"/>
                <w:szCs w:val="22"/>
              </w:rPr>
              <w:t>保障措施。</w:t>
            </w:r>
          </w:p>
          <w:p w14:paraId="115BAFCE">
            <w:pPr>
              <w:spacing w:line="240" w:lineRule="auto"/>
              <w:ind w:firstLine="0" w:firstLineChars="0"/>
              <w:rPr>
                <w:rFonts w:ascii="仿宋" w:hAnsi="仿宋" w:eastAsia="仿宋" w:cs="等线"/>
                <w:sz w:val="21"/>
                <w:szCs w:val="22"/>
              </w:rPr>
            </w:pPr>
            <w:r>
              <w:rPr>
                <w:rFonts w:ascii="仿宋" w:hAnsi="仿宋" w:eastAsia="仿宋" w:cs="等线"/>
                <w:sz w:val="21"/>
                <w:szCs w:val="22"/>
              </w:rPr>
              <w:t>满足以上三项要求，评价为优得4-5分；满足以上两项要求，评价为良得2-3分；满足以上一项要求，评价为中得1-2分；其他情况，评价为差得0分。</w:t>
            </w:r>
          </w:p>
        </w:tc>
      </w:tr>
      <w:tr w14:paraId="54C7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Align w:val="center"/>
          </w:tcPr>
          <w:p w14:paraId="6F1764DF">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三</w:t>
            </w:r>
          </w:p>
        </w:tc>
        <w:tc>
          <w:tcPr>
            <w:tcW w:w="2245" w:type="dxa"/>
            <w:gridSpan w:val="2"/>
            <w:vAlign w:val="center"/>
          </w:tcPr>
          <w:p w14:paraId="4A2A9300">
            <w:pPr>
              <w:spacing w:line="240" w:lineRule="auto"/>
              <w:ind w:firstLine="0" w:firstLineChars="0"/>
              <w:jc w:val="center"/>
              <w:rPr>
                <w:rFonts w:ascii="仿宋" w:hAnsi="仿宋" w:eastAsia="仿宋" w:cs="宋体"/>
                <w:b/>
                <w:kern w:val="0"/>
                <w:sz w:val="21"/>
                <w:szCs w:val="21"/>
              </w:rPr>
            </w:pPr>
            <w:r>
              <w:rPr>
                <w:rFonts w:ascii="仿宋" w:hAnsi="仿宋" w:eastAsia="仿宋" w:cs="宋体"/>
                <w:b/>
                <w:kern w:val="0"/>
                <w:sz w:val="21"/>
                <w:szCs w:val="21"/>
              </w:rPr>
              <w:t>商务部分</w:t>
            </w:r>
          </w:p>
        </w:tc>
        <w:tc>
          <w:tcPr>
            <w:tcW w:w="6807" w:type="dxa"/>
            <w:gridSpan w:val="2"/>
            <w:vAlign w:val="center"/>
          </w:tcPr>
          <w:p w14:paraId="516D6BC8">
            <w:pPr>
              <w:spacing w:line="240" w:lineRule="auto"/>
              <w:ind w:firstLine="0" w:firstLineChars="0"/>
              <w:jc w:val="center"/>
              <w:rPr>
                <w:rFonts w:ascii="仿宋" w:hAnsi="仿宋" w:eastAsia="仿宋" w:cs="宋体"/>
                <w:b/>
                <w:kern w:val="0"/>
                <w:sz w:val="21"/>
                <w:szCs w:val="21"/>
              </w:rPr>
            </w:pPr>
            <w:r>
              <w:rPr>
                <w:rFonts w:ascii="仿宋" w:hAnsi="仿宋" w:eastAsia="仿宋" w:cs="等线"/>
                <w:b/>
                <w:kern w:val="0"/>
                <w:sz w:val="21"/>
                <w:szCs w:val="22"/>
              </w:rPr>
              <w:t>40</w:t>
            </w:r>
          </w:p>
        </w:tc>
      </w:tr>
      <w:tr w14:paraId="1CF2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restart"/>
            <w:vAlign w:val="center"/>
          </w:tcPr>
          <w:p w14:paraId="3E09F1E3">
            <w:pPr>
              <w:spacing w:line="240" w:lineRule="auto"/>
              <w:ind w:firstLine="0" w:firstLineChars="0"/>
              <w:jc w:val="center"/>
              <w:rPr>
                <w:rFonts w:ascii="仿宋" w:hAnsi="仿宋" w:eastAsia="仿宋" w:cs="宋体"/>
                <w:kern w:val="0"/>
                <w:sz w:val="21"/>
                <w:szCs w:val="21"/>
              </w:rPr>
            </w:pPr>
          </w:p>
        </w:tc>
        <w:tc>
          <w:tcPr>
            <w:tcW w:w="694" w:type="dxa"/>
            <w:vAlign w:val="center"/>
          </w:tcPr>
          <w:p w14:paraId="099E0D9F">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序号</w:t>
            </w:r>
          </w:p>
        </w:tc>
        <w:tc>
          <w:tcPr>
            <w:tcW w:w="1551" w:type="dxa"/>
            <w:vAlign w:val="center"/>
          </w:tcPr>
          <w:p w14:paraId="693AB73D">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评分因素</w:t>
            </w:r>
          </w:p>
        </w:tc>
        <w:tc>
          <w:tcPr>
            <w:tcW w:w="675" w:type="dxa"/>
            <w:vAlign w:val="center"/>
          </w:tcPr>
          <w:p w14:paraId="3581B9ED">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权重</w:t>
            </w:r>
          </w:p>
        </w:tc>
        <w:tc>
          <w:tcPr>
            <w:tcW w:w="6132" w:type="dxa"/>
            <w:vAlign w:val="center"/>
          </w:tcPr>
          <w:p w14:paraId="2380D1CF">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评分准则</w:t>
            </w:r>
          </w:p>
        </w:tc>
      </w:tr>
      <w:tr w14:paraId="788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vAlign w:val="center"/>
          </w:tcPr>
          <w:p w14:paraId="108D9145">
            <w:pPr>
              <w:spacing w:line="240" w:lineRule="auto"/>
              <w:ind w:firstLine="0" w:firstLineChars="0"/>
              <w:jc w:val="center"/>
              <w:rPr>
                <w:rFonts w:ascii="仿宋" w:hAnsi="仿宋" w:eastAsia="仿宋" w:cs="宋体"/>
                <w:kern w:val="0"/>
                <w:sz w:val="21"/>
                <w:szCs w:val="21"/>
              </w:rPr>
            </w:pPr>
          </w:p>
        </w:tc>
        <w:tc>
          <w:tcPr>
            <w:tcW w:w="694" w:type="dxa"/>
            <w:vAlign w:val="center"/>
          </w:tcPr>
          <w:p w14:paraId="62475260">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w:t>
            </w:r>
          </w:p>
        </w:tc>
        <w:tc>
          <w:tcPr>
            <w:tcW w:w="1551" w:type="dxa"/>
            <w:vAlign w:val="center"/>
          </w:tcPr>
          <w:p w14:paraId="6C64CE5C">
            <w:pPr>
              <w:spacing w:line="240" w:lineRule="auto"/>
              <w:ind w:firstLine="0" w:firstLineChars="0"/>
              <w:jc w:val="center"/>
              <w:rPr>
                <w:rFonts w:ascii="仿宋" w:hAnsi="仿宋" w:eastAsia="仿宋" w:cs="宋体"/>
                <w:kern w:val="0"/>
                <w:sz w:val="21"/>
                <w:szCs w:val="21"/>
              </w:rPr>
            </w:pPr>
            <w:r>
              <w:rPr>
                <w:rFonts w:ascii="仿宋" w:hAnsi="仿宋" w:eastAsia="仿宋" w:cs="等线"/>
                <w:sz w:val="21"/>
                <w:szCs w:val="22"/>
              </w:rPr>
              <w:t>企业资质</w:t>
            </w:r>
          </w:p>
        </w:tc>
        <w:tc>
          <w:tcPr>
            <w:tcW w:w="675" w:type="dxa"/>
            <w:vAlign w:val="center"/>
          </w:tcPr>
          <w:p w14:paraId="76A904EB">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10</w:t>
            </w:r>
          </w:p>
        </w:tc>
        <w:tc>
          <w:tcPr>
            <w:tcW w:w="6132" w:type="dxa"/>
            <w:vAlign w:val="center"/>
          </w:tcPr>
          <w:p w14:paraId="21800CD9">
            <w:pPr>
              <w:spacing w:line="240" w:lineRule="auto"/>
              <w:ind w:firstLine="0" w:firstLineChars="0"/>
              <w:rPr>
                <w:rFonts w:ascii="仿宋" w:hAnsi="仿宋" w:eastAsia="仿宋" w:cs="等线"/>
                <w:sz w:val="21"/>
                <w:szCs w:val="22"/>
              </w:rPr>
            </w:pPr>
            <w:r>
              <w:rPr>
                <w:rFonts w:ascii="仿宋" w:hAnsi="仿宋" w:eastAsia="仿宋" w:cs="等线"/>
                <w:sz w:val="21"/>
                <w:szCs w:val="22"/>
              </w:rPr>
              <w:t>投标人具备城乡规划编制资质甲级得10分；乙级得5分。</w:t>
            </w:r>
          </w:p>
          <w:p w14:paraId="3A956FBD">
            <w:pPr>
              <w:spacing w:line="240" w:lineRule="auto"/>
              <w:ind w:firstLine="0" w:firstLineChars="0"/>
              <w:rPr>
                <w:rFonts w:ascii="仿宋" w:hAnsi="仿宋" w:eastAsia="仿宋" w:cs="等线"/>
                <w:sz w:val="21"/>
                <w:szCs w:val="22"/>
              </w:rPr>
            </w:pPr>
            <w:r>
              <w:rPr>
                <w:rFonts w:ascii="仿宋" w:hAnsi="仿宋" w:eastAsia="仿宋" w:cs="Times New Roman"/>
                <w:sz w:val="21"/>
                <w:szCs w:val="22"/>
              </w:rPr>
              <w:t>提供相关证书（均为扫描件加盖公章，原件备查）作为得分依据。</w:t>
            </w:r>
          </w:p>
        </w:tc>
      </w:tr>
      <w:tr w14:paraId="7103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24" w:type="dxa"/>
            <w:vMerge w:val="continue"/>
            <w:vAlign w:val="center"/>
          </w:tcPr>
          <w:p w14:paraId="4E884B99">
            <w:pPr>
              <w:spacing w:line="240" w:lineRule="auto"/>
              <w:ind w:firstLine="0" w:firstLineChars="0"/>
              <w:jc w:val="center"/>
              <w:rPr>
                <w:rFonts w:ascii="仿宋" w:hAnsi="仿宋" w:eastAsia="仿宋" w:cs="宋体"/>
                <w:kern w:val="0"/>
                <w:sz w:val="21"/>
                <w:szCs w:val="21"/>
              </w:rPr>
            </w:pPr>
          </w:p>
        </w:tc>
        <w:tc>
          <w:tcPr>
            <w:tcW w:w="694" w:type="dxa"/>
            <w:vAlign w:val="center"/>
          </w:tcPr>
          <w:p w14:paraId="1901A623">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2</w:t>
            </w:r>
          </w:p>
        </w:tc>
        <w:tc>
          <w:tcPr>
            <w:tcW w:w="1551" w:type="dxa"/>
            <w:vAlign w:val="center"/>
          </w:tcPr>
          <w:p w14:paraId="2C0AFA63">
            <w:pPr>
              <w:spacing w:line="240" w:lineRule="auto"/>
              <w:ind w:firstLine="0" w:firstLineChars="0"/>
              <w:jc w:val="center"/>
              <w:rPr>
                <w:rFonts w:ascii="仿宋" w:hAnsi="仿宋" w:eastAsia="仿宋" w:cs="等线"/>
                <w:kern w:val="0"/>
                <w:sz w:val="21"/>
                <w:szCs w:val="21"/>
              </w:rPr>
            </w:pPr>
            <w:r>
              <w:rPr>
                <w:rFonts w:ascii="仿宋" w:hAnsi="仿宋" w:eastAsia="仿宋" w:cs="等线"/>
                <w:kern w:val="0"/>
                <w:sz w:val="21"/>
                <w:szCs w:val="21"/>
              </w:rPr>
              <w:t>企业业绩</w:t>
            </w:r>
          </w:p>
        </w:tc>
        <w:tc>
          <w:tcPr>
            <w:tcW w:w="675" w:type="dxa"/>
            <w:vAlign w:val="center"/>
          </w:tcPr>
          <w:p w14:paraId="39486598">
            <w:pPr>
              <w:spacing w:line="240" w:lineRule="auto"/>
              <w:ind w:firstLine="0" w:firstLineChars="0"/>
              <w:jc w:val="center"/>
              <w:rPr>
                <w:rFonts w:ascii="仿宋" w:hAnsi="仿宋" w:eastAsia="仿宋" w:cs="等线"/>
                <w:kern w:val="0"/>
                <w:sz w:val="21"/>
                <w:szCs w:val="21"/>
              </w:rPr>
            </w:pPr>
            <w:r>
              <w:rPr>
                <w:rFonts w:ascii="仿宋" w:hAnsi="仿宋" w:eastAsia="仿宋" w:cs="等线"/>
                <w:kern w:val="0"/>
                <w:sz w:val="21"/>
                <w:szCs w:val="21"/>
              </w:rPr>
              <w:t>20</w:t>
            </w:r>
          </w:p>
        </w:tc>
        <w:tc>
          <w:tcPr>
            <w:tcW w:w="6132" w:type="dxa"/>
            <w:vAlign w:val="center"/>
          </w:tcPr>
          <w:p w14:paraId="7691A444">
            <w:pPr>
              <w:spacing w:line="240" w:lineRule="auto"/>
              <w:ind w:firstLine="0" w:firstLineChars="0"/>
              <w:rPr>
                <w:rFonts w:ascii="仿宋" w:hAnsi="仿宋" w:eastAsia="仿宋" w:cs="等线"/>
                <w:sz w:val="21"/>
                <w:szCs w:val="22"/>
              </w:rPr>
            </w:pPr>
            <w:r>
              <w:rPr>
                <w:rFonts w:ascii="仿宋" w:hAnsi="仿宋" w:eastAsia="仿宋" w:cs="等线"/>
                <w:sz w:val="21"/>
                <w:szCs w:val="22"/>
              </w:rPr>
              <w:t>分为项目经验和质量管理两项得分。承担过副省级及以上地区旅游规划项目，每提供一个得3分，最高得18分；投标人具有有效期内的ISO质量管理体系认证证书（覆盖范围包括城乡规划编制），得2分。</w:t>
            </w:r>
          </w:p>
          <w:p w14:paraId="4BD8F53A">
            <w:pPr>
              <w:spacing w:line="240" w:lineRule="auto"/>
              <w:ind w:firstLine="0" w:firstLineChars="0"/>
              <w:rPr>
                <w:rFonts w:ascii="Times New Roman" w:hAnsi="Times New Roman" w:eastAsia="宋体" w:cs="等线"/>
                <w:sz w:val="21"/>
                <w:szCs w:val="22"/>
              </w:rPr>
            </w:pPr>
            <w:r>
              <w:rPr>
                <w:rFonts w:ascii="仿宋" w:hAnsi="仿宋" w:eastAsia="仿宋" w:cs="等线"/>
                <w:sz w:val="21"/>
                <w:szCs w:val="22"/>
              </w:rPr>
              <w:t>提供合同关键信息、</w:t>
            </w:r>
            <w:r>
              <w:rPr>
                <w:rFonts w:ascii="仿宋" w:hAnsi="仿宋" w:eastAsia="仿宋" w:cs="Times New Roman"/>
                <w:sz w:val="21"/>
                <w:szCs w:val="22"/>
              </w:rPr>
              <w:t>证书</w:t>
            </w:r>
            <w:r>
              <w:rPr>
                <w:rFonts w:ascii="仿宋" w:hAnsi="仿宋" w:eastAsia="仿宋" w:cs="等线"/>
                <w:sz w:val="21"/>
                <w:szCs w:val="22"/>
              </w:rPr>
              <w:t>及能证明得分的其他证明资料（均为扫描件，原件备查）作为得分依据。</w:t>
            </w:r>
          </w:p>
        </w:tc>
      </w:tr>
      <w:tr w14:paraId="5F77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vAlign w:val="center"/>
          </w:tcPr>
          <w:p w14:paraId="69800377">
            <w:pPr>
              <w:spacing w:line="240" w:lineRule="auto"/>
              <w:ind w:firstLine="0" w:firstLineChars="0"/>
              <w:jc w:val="center"/>
              <w:rPr>
                <w:rFonts w:ascii="仿宋" w:hAnsi="仿宋" w:eastAsia="仿宋" w:cs="宋体"/>
                <w:kern w:val="0"/>
                <w:sz w:val="21"/>
                <w:szCs w:val="21"/>
              </w:rPr>
            </w:pPr>
          </w:p>
        </w:tc>
        <w:tc>
          <w:tcPr>
            <w:tcW w:w="694" w:type="dxa"/>
            <w:vAlign w:val="center"/>
          </w:tcPr>
          <w:p w14:paraId="645EC963">
            <w:pPr>
              <w:spacing w:line="240" w:lineRule="auto"/>
              <w:ind w:firstLine="0" w:firstLineChars="0"/>
              <w:jc w:val="center"/>
              <w:rPr>
                <w:rFonts w:ascii="仿宋" w:hAnsi="仿宋" w:eastAsia="仿宋" w:cs="等线"/>
                <w:kern w:val="0"/>
                <w:sz w:val="21"/>
                <w:szCs w:val="21"/>
              </w:rPr>
            </w:pPr>
            <w:r>
              <w:rPr>
                <w:rFonts w:ascii="仿宋" w:hAnsi="仿宋" w:eastAsia="仿宋" w:cs="等线"/>
                <w:kern w:val="0"/>
                <w:sz w:val="21"/>
                <w:szCs w:val="21"/>
              </w:rPr>
              <w:t>3</w:t>
            </w:r>
          </w:p>
        </w:tc>
        <w:tc>
          <w:tcPr>
            <w:tcW w:w="1551" w:type="dxa"/>
            <w:vAlign w:val="center"/>
          </w:tcPr>
          <w:p w14:paraId="55E69104">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企业获奖</w:t>
            </w:r>
          </w:p>
        </w:tc>
        <w:tc>
          <w:tcPr>
            <w:tcW w:w="675" w:type="dxa"/>
            <w:vAlign w:val="center"/>
          </w:tcPr>
          <w:p w14:paraId="2CF7DB8A">
            <w:pPr>
              <w:spacing w:line="240" w:lineRule="auto"/>
              <w:ind w:firstLine="0" w:firstLineChars="0"/>
              <w:jc w:val="center"/>
              <w:rPr>
                <w:rFonts w:ascii="仿宋" w:hAnsi="仿宋" w:eastAsia="仿宋" w:cs="宋体"/>
                <w:kern w:val="0"/>
                <w:sz w:val="21"/>
                <w:szCs w:val="21"/>
              </w:rPr>
            </w:pPr>
            <w:r>
              <w:rPr>
                <w:rFonts w:ascii="仿宋" w:hAnsi="仿宋" w:eastAsia="仿宋" w:cs="宋体"/>
                <w:kern w:val="0"/>
                <w:sz w:val="21"/>
                <w:szCs w:val="21"/>
              </w:rPr>
              <w:t>10</w:t>
            </w:r>
          </w:p>
        </w:tc>
        <w:tc>
          <w:tcPr>
            <w:tcW w:w="6132" w:type="dxa"/>
            <w:vAlign w:val="center"/>
          </w:tcPr>
          <w:p w14:paraId="32CC83D7">
            <w:pPr>
              <w:spacing w:line="240" w:lineRule="auto"/>
              <w:ind w:firstLine="0" w:firstLineChars="0"/>
              <w:rPr>
                <w:rFonts w:ascii="仿宋" w:hAnsi="仿宋" w:eastAsia="仿宋" w:cs="等线"/>
                <w:sz w:val="21"/>
                <w:szCs w:val="22"/>
              </w:rPr>
            </w:pPr>
            <w:r>
              <w:rPr>
                <w:rFonts w:ascii="仿宋" w:hAnsi="仿宋" w:eastAsia="仿宋" w:cs="等线"/>
                <w:sz w:val="21"/>
                <w:szCs w:val="22"/>
              </w:rPr>
              <w:t>投标人所承担的城市规划类项目获奖情况：投标人参与旅游规划项目获奖，每提供一个国家级奖项得6分，每提供一个省级奖项得3分，投标人参与滨海旅游项目获奖，每提供一个奖项得4分。同一项目不重复计算获奖（以得分最高的奖项为准）；满分为10分。</w:t>
            </w:r>
          </w:p>
          <w:p w14:paraId="14DE47B6">
            <w:pPr>
              <w:spacing w:line="240" w:lineRule="auto"/>
              <w:ind w:firstLine="0" w:firstLineChars="0"/>
              <w:rPr>
                <w:rFonts w:ascii="仿宋" w:hAnsi="仿宋" w:eastAsia="仿宋" w:cs="等线"/>
                <w:sz w:val="21"/>
                <w:szCs w:val="22"/>
              </w:rPr>
            </w:pPr>
            <w:r>
              <w:rPr>
                <w:rFonts w:ascii="仿宋" w:hAnsi="仿宋" w:eastAsia="仿宋" w:cs="等线"/>
                <w:sz w:val="21"/>
                <w:szCs w:val="22"/>
              </w:rPr>
              <w:t>提供获奖证书或其它证明资料扫描件（均为扫描件，原件备查）作为得分依据。本项中，国家（部）专指国务院、</w:t>
            </w:r>
            <w:bookmarkStart w:id="2" w:name="_GoBack"/>
            <w:bookmarkEnd w:id="2"/>
            <w:r>
              <w:rPr>
                <w:rFonts w:ascii="仿宋" w:hAnsi="仿宋" w:eastAsia="仿宋" w:cs="等线"/>
                <w:sz w:val="21"/>
                <w:szCs w:val="22"/>
              </w:rPr>
              <w:t>住房和城乡建设部及全国范围内的相关行业协会；省专指省（自治区、直辖市）的相关行政主管部门（行业协会）。</w:t>
            </w:r>
          </w:p>
          <w:p w14:paraId="53A78C77">
            <w:pPr>
              <w:spacing w:line="240" w:lineRule="auto"/>
              <w:ind w:firstLine="420" w:firstLineChars="200"/>
              <w:rPr>
                <w:rFonts w:ascii="仿宋" w:hAnsi="仿宋" w:eastAsia="仿宋" w:cs="宋体"/>
                <w:kern w:val="0"/>
                <w:sz w:val="21"/>
                <w:szCs w:val="21"/>
              </w:rPr>
            </w:pPr>
          </w:p>
        </w:tc>
      </w:tr>
      <w:tr w14:paraId="7247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76" w:type="dxa"/>
            <w:gridSpan w:val="5"/>
            <w:vAlign w:val="center"/>
          </w:tcPr>
          <w:p w14:paraId="0FBD144C">
            <w:pPr>
              <w:spacing w:line="240" w:lineRule="auto"/>
              <w:ind w:firstLine="440" w:firstLineChars="200"/>
              <w:rPr>
                <w:rFonts w:ascii="仿宋" w:hAnsi="仿宋" w:eastAsia="仿宋" w:cs="等线"/>
                <w:sz w:val="22"/>
                <w:szCs w:val="24"/>
              </w:rPr>
            </w:pPr>
            <w:r>
              <w:rPr>
                <w:rFonts w:ascii="仿宋" w:hAnsi="仿宋" w:eastAsia="仿宋" w:cs="等线"/>
                <w:sz w:val="22"/>
                <w:szCs w:val="24"/>
              </w:rPr>
              <w:t>注：出现无证明材料或无法凭所提供资料判断是否得分的情况，一律作不得分处理。</w:t>
            </w:r>
          </w:p>
        </w:tc>
      </w:tr>
    </w:tbl>
    <w:p w14:paraId="3592E9E7">
      <w:pPr>
        <w:spacing w:line="400" w:lineRule="exact"/>
        <w:ind w:right="420" w:firstLine="0" w:firstLineChars="0"/>
        <w:rPr>
          <w:rFonts w:ascii="Times New Roman" w:hAnsi="Times New Roman" w:eastAsia="宋体" w:cs="等线"/>
          <w:b/>
          <w:sz w:val="32"/>
          <w:szCs w:val="32"/>
        </w:rPr>
      </w:pPr>
    </w:p>
    <w:p w14:paraId="26A7B5C4">
      <w:pPr>
        <w:spacing w:line="400" w:lineRule="exact"/>
        <w:ind w:right="420" w:firstLine="0" w:firstLineChars="0"/>
        <w:rPr>
          <w:rFonts w:ascii="黑体" w:hAnsi="黑体" w:eastAsia="黑体" w:cs="黑体"/>
          <w:sz w:val="32"/>
          <w:szCs w:val="32"/>
          <w:lang w:val="zh-TW" w:eastAsia="zh-TW" w:bidi="zh-TW"/>
        </w:rPr>
      </w:pPr>
      <w:r>
        <w:rPr>
          <w:rFonts w:hint="eastAsia" w:ascii="黑体" w:hAnsi="黑体" w:eastAsia="黑体" w:cs="黑体"/>
          <w:sz w:val="32"/>
          <w:szCs w:val="32"/>
          <w:lang w:val="zh-TW" w:eastAsia="zh-TW" w:bidi="zh-TW"/>
        </w:rPr>
        <w:t>评分员签名：                              日期：</w:t>
      </w:r>
    </w:p>
    <w:p w14:paraId="6F62ABF2">
      <w:pPr>
        <w:spacing w:line="560" w:lineRule="exact"/>
        <w:ind w:left="0" w:leftChars="0" w:firstLine="0" w:firstLineChars="0"/>
        <w:rPr>
          <w:rFonts w:hint="eastAsia" w:hAnsi="等线" w:cs="仿宋_GB2312"/>
          <w:sz w:val="32"/>
          <w:szCs w:val="32"/>
          <w:highlight w:val="yellow"/>
          <w:lang w:bidi="ar"/>
        </w:rPr>
      </w:pPr>
    </w:p>
    <w:p w14:paraId="24DDA047">
      <w:pPr>
        <w:spacing w:line="560" w:lineRule="exact"/>
        <w:ind w:firstLine="0" w:firstLineChars="0"/>
      </w:pPr>
    </w:p>
    <w:p w14:paraId="6DE59535">
      <w:pPr>
        <w:pStyle w:val="3"/>
      </w:pPr>
    </w:p>
    <w:p w14:paraId="0A6C0264">
      <w:pPr>
        <w:pStyle w:val="4"/>
      </w:pPr>
    </w:p>
    <w:p w14:paraId="03502004">
      <w:pPr>
        <w:spacing w:beforeLines="0" w:afterLines="0" w:line="600" w:lineRule="exact"/>
        <w:ind w:firstLine="0" w:firstLineChars="0"/>
        <w:rPr>
          <w:rFonts w:hint="eastAsia" w:ascii="黑体" w:hAnsi="黑体" w:eastAsia="黑体" w:cs="黑体"/>
          <w:b w:val="0"/>
          <w:bCs/>
          <w:sz w:val="21"/>
          <w:szCs w:val="22"/>
          <w:lang w:eastAsia="zh-CN"/>
        </w:rPr>
      </w:pPr>
      <w:bookmarkStart w:id="0" w:name="_Toc37663361"/>
      <w:bookmarkStart w:id="1" w:name="_Toc8054347"/>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14:paraId="31F470FA">
      <w:pPr>
        <w:keepNext/>
        <w:keepLines/>
        <w:widowControl w:val="0"/>
        <w:spacing w:before="0" w:beforeLines="0" w:after="0" w:afterLines="0" w:line="600" w:lineRule="exact"/>
        <w:jc w:val="center"/>
        <w:outlineLvl w:val="2"/>
        <w:rPr>
          <w:rFonts w:hint="eastAsia" w:ascii="宋体"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政府采购投标及履约承诺函</w:t>
      </w:r>
      <w:bookmarkEnd w:id="0"/>
      <w:bookmarkEnd w:id="1"/>
      <w:r>
        <w:rPr>
          <w:rFonts w:hint="eastAsia" w:ascii="Times New Roman" w:hAnsi="Times New Roman" w:eastAsia="宋体" w:cs="Times New Roman"/>
          <w:b/>
          <w:bCs/>
          <w:kern w:val="2"/>
          <w:sz w:val="32"/>
          <w:szCs w:val="32"/>
          <w:lang w:val="en-US" w:eastAsia="zh-CN" w:bidi="ar-SA"/>
        </w:rPr>
        <w:t>（模板）</w:t>
      </w:r>
    </w:p>
    <w:p w14:paraId="642DED8D">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textAlignment w:val="auto"/>
        <w:rPr>
          <w:rFonts w:hint="eastAsia"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u w:val="single"/>
        </w:rPr>
        <w:t>深圳市文化广电旅游体育局</w:t>
      </w:r>
    </w:p>
    <w:p w14:paraId="4788CDAD">
      <w:pPr>
        <w:keepNext w:val="0"/>
        <w:keepLines w:val="0"/>
        <w:pageBreakBefore w:val="0"/>
        <w:widowControl w:val="0"/>
        <w:kinsoku/>
        <w:wordWrap/>
        <w:overflowPunct/>
        <w:topLinePunct w:val="0"/>
        <w:autoSpaceDE/>
        <w:autoSpaceDN/>
        <w:bidi w:val="0"/>
        <w:adjustRightInd/>
        <w:snapToGrid/>
        <w:spacing w:beforeLines="0" w:afterLines="0" w:line="400" w:lineRule="exact"/>
        <w:ind w:right="-815" w:firstLine="630" w:firstLineChars="300"/>
        <w:textAlignment w:val="auto"/>
        <w:rPr>
          <w:rFonts w:ascii="宋体" w:hAnsi="宋体" w:eastAsia="宋体"/>
          <w:sz w:val="21"/>
          <w:szCs w:val="21"/>
        </w:rPr>
      </w:pPr>
      <w:r>
        <w:rPr>
          <w:rFonts w:hint="eastAsia" w:ascii="宋体" w:hAnsi="宋体" w:eastAsia="宋体"/>
          <w:sz w:val="21"/>
          <w:szCs w:val="21"/>
        </w:rPr>
        <w:t>我公司承诺：</w:t>
      </w:r>
    </w:p>
    <w:p w14:paraId="3B504C09">
      <w:pPr>
        <w:keepNext w:val="0"/>
        <w:keepLines w:val="0"/>
        <w:pageBreakBefore w:val="0"/>
        <w:widowControl w:val="0"/>
        <w:kinsoku/>
        <w:wordWrap/>
        <w:overflowPunct/>
        <w:topLinePunct w:val="0"/>
        <w:autoSpaceDE/>
        <w:autoSpaceDN/>
        <w:bidi w:val="0"/>
        <w:adjustRightInd/>
        <w:snapToGrid/>
        <w:spacing w:beforeLines="0" w:afterLines="0" w:line="400" w:lineRule="exact"/>
        <w:ind w:firstLine="645" w:firstLineChars="0"/>
        <w:textAlignment w:val="auto"/>
        <w:rPr>
          <w:rFonts w:hint="eastAsia" w:ascii="宋体" w:hAnsi="宋体" w:eastAsia="宋体"/>
          <w:sz w:val="21"/>
          <w:szCs w:val="21"/>
        </w:rPr>
      </w:pPr>
      <w:r>
        <w:rPr>
          <w:rFonts w:hint="eastAsia" w:ascii="宋体" w:hAnsi="宋体" w:eastAsia="宋体"/>
          <w:sz w:val="21"/>
          <w:szCs w:val="21"/>
        </w:rPr>
        <w:t>1.我公司本招标项目所提供的货物或服务未侵犯知识产权。</w:t>
      </w:r>
    </w:p>
    <w:p w14:paraId="164676F3">
      <w:pPr>
        <w:keepNext w:val="0"/>
        <w:keepLines w:val="0"/>
        <w:pageBreakBefore w:val="0"/>
        <w:widowControl w:val="0"/>
        <w:tabs>
          <w:tab w:val="left" w:pos="630"/>
        </w:tabs>
        <w:kinsoku/>
        <w:wordWrap/>
        <w:overflowPunct/>
        <w:topLinePunct w:val="0"/>
        <w:autoSpaceDE/>
        <w:autoSpaceDN/>
        <w:bidi w:val="0"/>
        <w:adjustRightInd/>
        <w:snapToGrid/>
        <w:spacing w:beforeLines="0" w:afterLines="0" w:line="400" w:lineRule="exact"/>
        <w:ind w:firstLine="645" w:firstLineChars="0"/>
        <w:textAlignment w:val="auto"/>
        <w:rPr>
          <w:rFonts w:hint="eastAsia" w:ascii="宋体" w:hAnsi="宋体" w:eastAsia="宋体"/>
          <w:b/>
          <w:color w:val="0000FF"/>
          <w:sz w:val="21"/>
          <w:szCs w:val="21"/>
        </w:rPr>
      </w:pPr>
      <w:r>
        <w:rPr>
          <w:rFonts w:hint="eastAsia" w:ascii="宋体" w:hAnsi="宋体" w:eastAsia="宋体"/>
          <w:b/>
          <w:color w:val="0000FF"/>
          <w:sz w:val="21"/>
          <w:szCs w:val="21"/>
        </w:rPr>
        <w:t>2.我公司参与本项目投标前三年内，在经营活动中没有重大违法记录。</w:t>
      </w:r>
    </w:p>
    <w:p w14:paraId="54475963">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2" w:firstLineChars="200"/>
        <w:textAlignment w:val="auto"/>
        <w:rPr>
          <w:rFonts w:hint="eastAsia" w:ascii="宋体" w:hAnsi="宋体" w:eastAsia="宋体"/>
          <w:b/>
          <w:color w:val="0000FF"/>
          <w:sz w:val="21"/>
          <w:szCs w:val="21"/>
        </w:rPr>
      </w:pPr>
      <w:r>
        <w:rPr>
          <w:rFonts w:hint="eastAsia" w:ascii="宋体" w:hAnsi="宋体" w:eastAsia="宋体"/>
          <w:b/>
          <w:color w:val="0000FF"/>
          <w:sz w:val="21"/>
          <w:szCs w:val="21"/>
        </w:rPr>
        <w:t>3.我公司参与本项目政府采购活动时不存在被有关部门禁止参与政府采购活动且在有效期内的情况。</w:t>
      </w:r>
    </w:p>
    <w:p w14:paraId="4E590EEC">
      <w:pPr>
        <w:keepNext w:val="0"/>
        <w:keepLines w:val="0"/>
        <w:pageBreakBefore w:val="0"/>
        <w:widowControl w:val="0"/>
        <w:kinsoku/>
        <w:wordWrap/>
        <w:overflowPunct/>
        <w:topLinePunct w:val="0"/>
        <w:autoSpaceDE/>
        <w:autoSpaceDN/>
        <w:bidi w:val="0"/>
        <w:adjustRightInd/>
        <w:snapToGrid/>
        <w:spacing w:beforeLines="0" w:afterLines="0" w:line="400" w:lineRule="exact"/>
        <w:ind w:firstLine="645" w:firstLineChars="0"/>
        <w:textAlignment w:val="auto"/>
        <w:rPr>
          <w:rFonts w:hint="eastAsia" w:ascii="宋体" w:hAnsi="宋体" w:eastAsia="宋体"/>
          <w:b/>
          <w:color w:val="0000FF"/>
          <w:sz w:val="21"/>
          <w:szCs w:val="21"/>
        </w:rPr>
      </w:pPr>
      <w:r>
        <w:rPr>
          <w:rFonts w:hint="eastAsia" w:ascii="宋体" w:hAnsi="宋体" w:eastAsia="宋体"/>
          <w:b/>
          <w:color w:val="0000FF"/>
          <w:sz w:val="21"/>
          <w:szCs w:val="21"/>
        </w:rPr>
        <w:t>4.我公司具备《中华人民共和国政府采购法》第二十二条规定的条件。</w:t>
      </w:r>
    </w:p>
    <w:p w14:paraId="2CBD94AE">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2" w:firstLineChars="200"/>
        <w:textAlignment w:val="auto"/>
        <w:rPr>
          <w:rFonts w:hint="eastAsia" w:ascii="宋体" w:hAnsi="宋体" w:eastAsia="宋体"/>
          <w:sz w:val="21"/>
          <w:szCs w:val="21"/>
        </w:rPr>
      </w:pPr>
      <w:r>
        <w:rPr>
          <w:rFonts w:hint="eastAsia" w:ascii="宋体" w:hAnsi="宋体" w:eastAsia="宋体"/>
          <w:b/>
          <w:color w:val="0000FF"/>
          <w:sz w:val="21"/>
          <w:szCs w:val="21"/>
        </w:rPr>
        <w:t>5.我公司未被列入失信被执行人、重大税收违法案件当事人名单、政府采购严重违法失信行为记录名单。</w:t>
      </w:r>
    </w:p>
    <w:p w14:paraId="0E40CB42">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0" w:firstLineChars="200"/>
        <w:textAlignment w:val="auto"/>
        <w:rPr>
          <w:rFonts w:hint="eastAsia" w:ascii="宋体" w:hAnsi="宋体" w:eastAsia="宋体"/>
          <w:sz w:val="21"/>
          <w:szCs w:val="21"/>
        </w:rPr>
      </w:pPr>
      <w:r>
        <w:rPr>
          <w:rFonts w:hint="eastAsia" w:ascii="宋体" w:hAnsi="宋体" w:eastAsia="宋体"/>
          <w:sz w:val="21"/>
          <w:szCs w:val="21"/>
        </w:rPr>
        <w:t>6.我公司参与该项目投标，严格遵循公平竞争的原则，不恶意串通，不妨碍其他投标人 的竞争行为，不损害采购人或者其他投标人的合法权益。我公司已清楚，如违反上述要求，将作投标无效处理。</w:t>
      </w:r>
    </w:p>
    <w:p w14:paraId="4EE86F86">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0" w:firstLineChars="200"/>
        <w:textAlignment w:val="auto"/>
        <w:rPr>
          <w:rFonts w:hint="eastAsia" w:ascii="宋体" w:hAnsi="宋体" w:eastAsia="宋体"/>
          <w:sz w:val="21"/>
          <w:szCs w:val="21"/>
        </w:rPr>
      </w:pPr>
      <w:r>
        <w:rPr>
          <w:rFonts w:hint="eastAsia" w:ascii="宋体" w:hAnsi="宋体" w:eastAsia="宋体"/>
          <w:sz w:val="21"/>
          <w:szCs w:val="21"/>
        </w:rPr>
        <w:t>7.我公司如果中标，做到守信，不偷工减料，依照本项目招标文件需求内容、签署的采购合同及本公司在投标中所作的一切承诺履约。</w:t>
      </w:r>
    </w:p>
    <w:p w14:paraId="7409EAAA">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0" w:firstLineChars="200"/>
        <w:textAlignment w:val="auto"/>
        <w:rPr>
          <w:rFonts w:hint="eastAsia" w:ascii="宋体" w:hAnsi="宋体" w:eastAsia="宋体"/>
          <w:sz w:val="21"/>
          <w:szCs w:val="21"/>
        </w:rPr>
      </w:pPr>
      <w:r>
        <w:rPr>
          <w:rFonts w:hint="eastAsia" w:ascii="宋体" w:hAnsi="宋体" w:eastAsia="宋体"/>
          <w:sz w:val="21"/>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02EA8661">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0" w:firstLineChars="200"/>
        <w:textAlignment w:val="auto"/>
        <w:rPr>
          <w:rFonts w:ascii="宋体" w:hAnsi="宋体" w:eastAsia="宋体"/>
          <w:sz w:val="21"/>
          <w:szCs w:val="21"/>
        </w:rPr>
      </w:pPr>
      <w:r>
        <w:rPr>
          <w:rFonts w:hint="eastAsia" w:ascii="宋体" w:hAnsi="宋体" w:eastAsia="宋体"/>
          <w:sz w:val="21"/>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eastAsia="宋体"/>
          <w:sz w:val="21"/>
          <w:szCs w:val="21"/>
        </w:rPr>
        <w:t xml:space="preserve"> </w:t>
      </w:r>
    </w:p>
    <w:p w14:paraId="6FC19763">
      <w:pPr>
        <w:keepNext w:val="0"/>
        <w:keepLines w:val="0"/>
        <w:pageBreakBefore w:val="0"/>
        <w:widowControl w:val="0"/>
        <w:kinsoku/>
        <w:wordWrap/>
        <w:overflowPunct/>
        <w:topLinePunct w:val="0"/>
        <w:autoSpaceDE/>
        <w:autoSpaceDN/>
        <w:bidi w:val="0"/>
        <w:adjustRightInd/>
        <w:snapToGrid/>
        <w:spacing w:beforeLines="0" w:afterLines="0" w:line="400" w:lineRule="exact"/>
        <w:ind w:left="280" w:leftChars="100" w:firstLine="420" w:firstLineChars="200"/>
        <w:textAlignment w:val="auto"/>
        <w:rPr>
          <w:rFonts w:hint="eastAsia" w:ascii="宋体" w:hAnsi="宋体" w:eastAsia="宋体"/>
          <w:sz w:val="21"/>
          <w:szCs w:val="21"/>
        </w:rPr>
      </w:pPr>
      <w:r>
        <w:rPr>
          <w:rFonts w:hint="eastAsia" w:ascii="宋体" w:hAnsi="宋体" w:eastAsia="宋体"/>
          <w:sz w:val="21"/>
          <w:szCs w:val="21"/>
        </w:rPr>
        <w:t xml:space="preserve">10.我公司承诺不非法转包、分包。 以上承诺，如有违反，愿依照国家相关法律处理，并承担由此给采购人带来的损失。                                             </w:t>
      </w:r>
    </w:p>
    <w:p w14:paraId="144147EE">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textAlignment w:val="auto"/>
        <w:rPr>
          <w:rFonts w:hint="eastAsia" w:ascii="Times New Roman" w:hAnsi="Times New Roman" w:eastAsia="宋体"/>
          <w:sz w:val="21"/>
          <w:szCs w:val="22"/>
        </w:rPr>
      </w:pPr>
    </w:p>
    <w:p w14:paraId="4300DBCC">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textAlignment w:val="auto"/>
        <w:rPr>
          <w:rFonts w:hint="eastAsia" w:ascii="Times New Roman" w:hAnsi="Times New Roman" w:eastAsia="宋体"/>
          <w:sz w:val="21"/>
          <w:szCs w:val="22"/>
        </w:rPr>
      </w:pPr>
    </w:p>
    <w:p w14:paraId="7712A535">
      <w:pPr>
        <w:keepNext w:val="0"/>
        <w:keepLines w:val="0"/>
        <w:pageBreakBefore w:val="0"/>
        <w:widowControl w:val="0"/>
        <w:kinsoku/>
        <w:wordWrap/>
        <w:overflowPunct/>
        <w:topLinePunct w:val="0"/>
        <w:autoSpaceDE/>
        <w:autoSpaceDN/>
        <w:bidi w:val="0"/>
        <w:adjustRightInd/>
        <w:snapToGrid/>
        <w:spacing w:beforeLines="0" w:afterLines="0" w:line="400" w:lineRule="exact"/>
        <w:ind w:firstLine="435" w:firstLineChars="0"/>
        <w:textAlignment w:val="auto"/>
        <w:rPr>
          <w:rFonts w:ascii="Times New Roman" w:hAnsi="Times New Roman" w:eastAsia="宋体"/>
          <w:color w:val="000000"/>
          <w:sz w:val="21"/>
          <w:szCs w:val="22"/>
          <w:u w:val="single"/>
        </w:rPr>
      </w:pPr>
      <w:r>
        <w:rPr>
          <w:rFonts w:hint="eastAsia" w:ascii="宋体" w:hAnsi="宋体" w:eastAsia="宋体"/>
          <w:sz w:val="21"/>
          <w:szCs w:val="21"/>
        </w:rPr>
        <w:t>投标单位（公章）：</w:t>
      </w:r>
      <w:r>
        <w:rPr>
          <w:rFonts w:hint="eastAsia" w:ascii="宋体" w:hAnsi="宋体" w:eastAsia="宋体"/>
          <w:sz w:val="21"/>
          <w:szCs w:val="21"/>
          <w:u w:val="single"/>
        </w:rPr>
        <w:t xml:space="preserve">                               </w:t>
      </w:r>
    </w:p>
    <w:p w14:paraId="352B1B7C">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sz w:val="21"/>
          <w:szCs w:val="21"/>
          <w:u w:val="single"/>
        </w:rPr>
      </w:pPr>
      <w:r>
        <w:rPr>
          <w:rFonts w:hint="eastAsia" w:ascii="宋体" w:hAnsi="宋体" w:eastAsia="宋体"/>
          <w:sz w:val="21"/>
          <w:szCs w:val="21"/>
        </w:rPr>
        <w:t>法定代表人或其授权代表签名：</w:t>
      </w:r>
      <w:r>
        <w:rPr>
          <w:rFonts w:hint="eastAsia" w:ascii="宋体" w:hAnsi="宋体" w:eastAsia="宋体"/>
          <w:sz w:val="21"/>
          <w:szCs w:val="21"/>
          <w:u w:val="single"/>
        </w:rPr>
        <w:t xml:space="preserve">                    </w:t>
      </w:r>
    </w:p>
    <w:p w14:paraId="7DA47C76">
      <w:pPr>
        <w:keepNext w:val="0"/>
        <w:keepLines w:val="0"/>
        <w:pageBreakBefore w:val="0"/>
        <w:kinsoku/>
        <w:wordWrap/>
        <w:overflowPunct/>
        <w:topLinePunct w:val="0"/>
        <w:autoSpaceDE/>
        <w:autoSpaceDN/>
        <w:bidi w:val="0"/>
        <w:adjustRightInd/>
        <w:snapToGrid/>
        <w:spacing w:line="320" w:lineRule="exact"/>
        <w:ind w:firstLine="0" w:firstLineChars="0"/>
        <w:rPr>
          <w:rFonts w:hint="eastAsia" w:ascii="Times New Roman" w:hAnsi="Times New Roman" w:eastAsia="宋体"/>
          <w:sz w:val="21"/>
          <w:szCs w:val="22"/>
          <w:lang w:val="en-US" w:eastAsia="zh-CN"/>
        </w:rPr>
      </w:pPr>
    </w:p>
    <w:p w14:paraId="7F3C9848">
      <w:pPr>
        <w:spacing w:line="240" w:lineRule="auto"/>
        <w:ind w:firstLine="0" w:firstLineChars="0"/>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附件3</w:t>
      </w:r>
    </w:p>
    <w:p w14:paraId="29409B85">
      <w:pPr>
        <w:pStyle w:val="2"/>
        <w:spacing w:line="240" w:lineRule="auto"/>
        <w:rPr>
          <w:rFonts w:hint="default" w:ascii="Calibri" w:hAnsi="Calibri" w:eastAsia="宋体" w:cs="Times New Roman"/>
          <w:color w:val="auto"/>
          <w:kern w:val="2"/>
          <w:sz w:val="21"/>
          <w:szCs w:val="22"/>
          <w:u w:val="none"/>
          <w:lang w:val="en-US" w:eastAsia="zh-CN" w:bidi="ar-SA"/>
        </w:rPr>
      </w:pPr>
    </w:p>
    <w:p w14:paraId="5BE2F717">
      <w:pPr>
        <w:widowControl w:val="0"/>
        <w:snapToGrid w:val="0"/>
        <w:spacing w:before="0" w:after="0" w:line="240" w:lineRule="auto"/>
        <w:contextualSpacing/>
        <w:jc w:val="center"/>
        <w:rPr>
          <w:rFonts w:hint="eastAsia" w:ascii="方正小标宋简体" w:hAnsi="方正小标宋简体" w:eastAsia="方正小标宋简体" w:cs="方正小标宋简体"/>
          <w:b w:val="0"/>
          <w:bCs w:val="0"/>
          <w:color w:val="auto"/>
          <w:spacing w:val="-10"/>
          <w:kern w:val="28"/>
          <w:sz w:val="44"/>
          <w:szCs w:val="44"/>
          <w:lang w:val="en-US" w:eastAsia="zh-CN" w:bidi="ar-SA"/>
        </w:rPr>
      </w:pPr>
      <w:r>
        <w:rPr>
          <w:rFonts w:hint="eastAsia" w:ascii="方正小标宋简体" w:hAnsi="方正小标宋简体" w:eastAsia="方正小标宋简体" w:cs="方正小标宋简体"/>
          <w:b w:val="0"/>
          <w:bCs w:val="0"/>
          <w:color w:val="auto"/>
          <w:spacing w:val="-10"/>
          <w:kern w:val="28"/>
          <w:sz w:val="44"/>
          <w:szCs w:val="44"/>
          <w:lang w:val="en-US" w:eastAsia="zh-CN" w:bidi="ar-SA"/>
        </w:rPr>
        <w:t>供应商基本情况表</w:t>
      </w:r>
    </w:p>
    <w:p w14:paraId="1BFDD85D">
      <w:pPr>
        <w:spacing w:line="240" w:lineRule="auto"/>
        <w:ind w:firstLine="0" w:firstLine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填表单位：（加盖单位公章）</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26A9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AFD3864">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采购人</w:t>
            </w:r>
          </w:p>
        </w:tc>
        <w:tc>
          <w:tcPr>
            <w:tcW w:w="2553" w:type="dxa"/>
            <w:gridSpan w:val="2"/>
            <w:noWrap w:val="0"/>
            <w:vAlign w:val="center"/>
          </w:tcPr>
          <w:p w14:paraId="1AC8795A">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B895FE3">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项目名称</w:t>
            </w:r>
          </w:p>
        </w:tc>
        <w:tc>
          <w:tcPr>
            <w:tcW w:w="2985" w:type="dxa"/>
            <w:gridSpan w:val="2"/>
            <w:noWrap w:val="0"/>
            <w:vAlign w:val="center"/>
          </w:tcPr>
          <w:p w14:paraId="01C8F397">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108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7EEAA13">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投标（响应）供应商</w:t>
            </w:r>
          </w:p>
        </w:tc>
        <w:tc>
          <w:tcPr>
            <w:tcW w:w="2553" w:type="dxa"/>
            <w:gridSpan w:val="2"/>
            <w:noWrap w:val="0"/>
            <w:vAlign w:val="center"/>
          </w:tcPr>
          <w:p w14:paraId="22CB9E77">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5E9106D">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供应商统一社会信用代码</w:t>
            </w:r>
          </w:p>
        </w:tc>
        <w:tc>
          <w:tcPr>
            <w:tcW w:w="2985" w:type="dxa"/>
            <w:gridSpan w:val="2"/>
            <w:noWrap w:val="0"/>
            <w:vAlign w:val="center"/>
          </w:tcPr>
          <w:p w14:paraId="737CCFFF">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3B81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8C3F337">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投标（响应）供应商相关人员情况</w:t>
            </w:r>
          </w:p>
        </w:tc>
      </w:tr>
      <w:tr w14:paraId="3F03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54CC10CF">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2D52E5F9">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职务</w:t>
            </w:r>
          </w:p>
        </w:tc>
        <w:tc>
          <w:tcPr>
            <w:tcW w:w="947" w:type="dxa"/>
            <w:tcBorders>
              <w:bottom w:val="single" w:color="auto" w:sz="4" w:space="0"/>
            </w:tcBorders>
            <w:noWrap w:val="0"/>
            <w:vAlign w:val="center"/>
          </w:tcPr>
          <w:p w14:paraId="25C759FB">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2CDE7096">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身份证号码</w:t>
            </w:r>
          </w:p>
        </w:tc>
        <w:tc>
          <w:tcPr>
            <w:tcW w:w="1500" w:type="dxa"/>
            <w:tcBorders>
              <w:bottom w:val="single" w:color="auto" w:sz="4" w:space="0"/>
            </w:tcBorders>
            <w:noWrap w:val="0"/>
            <w:vAlign w:val="center"/>
          </w:tcPr>
          <w:p w14:paraId="11864608">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劳动合同</w:t>
            </w:r>
          </w:p>
          <w:p w14:paraId="4FB29B25">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关系单位</w:t>
            </w:r>
          </w:p>
        </w:tc>
        <w:tc>
          <w:tcPr>
            <w:tcW w:w="1485" w:type="dxa"/>
            <w:tcBorders>
              <w:bottom w:val="single" w:color="auto" w:sz="4" w:space="0"/>
            </w:tcBorders>
            <w:noWrap w:val="0"/>
            <w:vAlign w:val="center"/>
          </w:tcPr>
          <w:p w14:paraId="0350E0D0">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缴纳社会</w:t>
            </w:r>
          </w:p>
          <w:p w14:paraId="7294741D">
            <w:pPr>
              <w:snapToGrid w:val="0"/>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保险单位</w:t>
            </w:r>
          </w:p>
        </w:tc>
      </w:tr>
      <w:tr w14:paraId="682C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679FD3F">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35697AD">
            <w:pPr>
              <w:spacing w:line="460" w:lineRule="exact"/>
              <w:ind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FE82D96">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0F9DDCA">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CE53B5E">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50ABDFB">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5F3B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459EB37">
            <w:pPr>
              <w:spacing w:beforeLines="0" w:afterLines="0"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ABCE434">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1929FDE">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DAF6206">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35CA148">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3923A5">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06C6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EC9CB04">
            <w:pPr>
              <w:spacing w:beforeLines="0" w:afterLines="0"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3</w:t>
            </w:r>
          </w:p>
        </w:tc>
        <w:tc>
          <w:tcPr>
            <w:tcW w:w="2282" w:type="dxa"/>
            <w:gridSpan w:val="2"/>
            <w:tcBorders>
              <w:top w:val="single" w:color="auto" w:sz="4" w:space="0"/>
            </w:tcBorders>
            <w:noWrap w:val="0"/>
            <w:vAlign w:val="center"/>
          </w:tcPr>
          <w:p w14:paraId="746BDD00">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01655EEA">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tcBorders>
            <w:noWrap w:val="0"/>
            <w:vAlign w:val="center"/>
          </w:tcPr>
          <w:p w14:paraId="72EEAFBE">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tcBorders>
            <w:noWrap w:val="0"/>
            <w:vAlign w:val="center"/>
          </w:tcPr>
          <w:p w14:paraId="43B9D239">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tcBorders>
            <w:noWrap w:val="0"/>
            <w:vAlign w:val="center"/>
          </w:tcPr>
          <w:p w14:paraId="654D1EF8">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38B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70EA635">
            <w:pPr>
              <w:spacing w:beforeLines="0" w:afterLines="0"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4</w:t>
            </w:r>
          </w:p>
        </w:tc>
        <w:tc>
          <w:tcPr>
            <w:tcW w:w="2282" w:type="dxa"/>
            <w:gridSpan w:val="2"/>
            <w:noWrap w:val="0"/>
            <w:vAlign w:val="center"/>
          </w:tcPr>
          <w:p w14:paraId="47B84250">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5715974F">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1E741C8C">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350C179F">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272543E1">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7FCB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C7DC616">
            <w:pPr>
              <w:spacing w:beforeLines="0" w:afterLines="0"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5</w:t>
            </w:r>
          </w:p>
        </w:tc>
        <w:tc>
          <w:tcPr>
            <w:tcW w:w="2282" w:type="dxa"/>
            <w:gridSpan w:val="2"/>
            <w:noWrap w:val="0"/>
            <w:vAlign w:val="center"/>
          </w:tcPr>
          <w:p w14:paraId="092E1979">
            <w:pPr>
              <w:pStyle w:val="2"/>
              <w:snapToGrid w:val="0"/>
              <w:spacing w:line="240" w:lineRule="auto"/>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4FD69250">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114003D8">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72D40AC9">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7AA62361">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rPr>
            </w:pPr>
          </w:p>
        </w:tc>
      </w:tr>
      <w:tr w14:paraId="5177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60EF5A6">
            <w:pPr>
              <w:spacing w:line="240" w:lineRule="auto"/>
              <w:ind w:firstLine="0" w:firstLineChars="0"/>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6BBD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1D50ADB2">
            <w:pPr>
              <w:spacing w:line="240" w:lineRule="auto"/>
              <w:ind w:firstLine="0" w:firstLineChars="0"/>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投标（响应）供应商关联关系情况</w:t>
            </w:r>
          </w:p>
        </w:tc>
      </w:tr>
      <w:tr w14:paraId="35DF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DC532E7">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序号</w:t>
            </w:r>
          </w:p>
        </w:tc>
        <w:tc>
          <w:tcPr>
            <w:tcW w:w="2282" w:type="dxa"/>
            <w:gridSpan w:val="2"/>
            <w:tcBorders>
              <w:bottom w:val="single" w:color="auto" w:sz="4" w:space="0"/>
            </w:tcBorders>
            <w:noWrap w:val="0"/>
            <w:vAlign w:val="center"/>
          </w:tcPr>
          <w:p w14:paraId="1B244A50">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5665022">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783825F0">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395E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C8B67CB">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EDE9025">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A647BD3">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6BBE9E59">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1BB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1306D5B">
            <w:pPr>
              <w:spacing w:line="240" w:lineRule="auto"/>
              <w:ind w:firstLine="0" w:firstLineChars="0"/>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7B42650">
            <w:pPr>
              <w:spacing w:line="240" w:lineRule="auto"/>
              <w:ind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0029A5AC">
            <w:pPr>
              <w:spacing w:line="240" w:lineRule="auto"/>
              <w:ind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CEB50BA">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53A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4229BF46">
            <w:pPr>
              <w:snapToGrid w:val="0"/>
              <w:spacing w:line="240" w:lineRule="auto"/>
              <w:ind w:firstLine="0" w:firstLineChars="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6F921E37">
      <w:pPr>
        <w:ind w:left="0" w:leftChars="0" w:firstLine="0" w:firstLineChars="0"/>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95"/>
      </w:pPr>
      <w:r>
        <w:separator/>
      </w:r>
    </w:p>
  </w:endnote>
  <w:endnote w:type="continuationSeparator" w:id="1">
    <w:p>
      <w:pPr>
        <w:spacing w:line="240" w:lineRule="auto"/>
        <w:ind w:firstLine="49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6E46">
    <w:pPr>
      <w:pStyle w:val="9"/>
      <w:ind w:firstLine="3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4AA9">
    <w:pPr>
      <w:pStyle w:val="9"/>
      <w:ind w:firstLine="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13AD">
    <w:pPr>
      <w:pStyle w:val="9"/>
      <w:ind w:firstLine="3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95"/>
      </w:pPr>
      <w:r>
        <w:separator/>
      </w:r>
    </w:p>
  </w:footnote>
  <w:footnote w:type="continuationSeparator" w:id="1">
    <w:p>
      <w:pPr>
        <w:spacing w:line="360" w:lineRule="auto"/>
        <w:ind w:firstLine="49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CEE0">
    <w:pPr>
      <w:pStyle w:val="10"/>
      <w:pBdr>
        <w:bottom w:val="none" w:color="auto" w:sz="0" w:space="1"/>
      </w:pBdr>
      <w:tabs>
        <w:tab w:val="left" w:pos="1300"/>
      </w:tabs>
      <w:spacing w:line="240" w:lineRule="auto"/>
      <w:ind w:firstLine="0" w:firstLineChars="0"/>
      <w:jc w:val="left"/>
      <w:rPr>
        <w:rFonts w:hint="eastAsia" w:eastAsia="仿宋_GB2312"/>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E74D">
    <w:pPr>
      <w:pStyle w:val="10"/>
      <w:ind w:firstLine="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E48C">
    <w:pPr>
      <w:pStyle w:val="10"/>
      <w:ind w:firstLine="3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E7613"/>
    <w:multiLevelType w:val="singleLevel"/>
    <w:tmpl w:val="F53E7613"/>
    <w:lvl w:ilvl="0" w:tentative="0">
      <w:start w:val="1"/>
      <w:numFmt w:val="decimal"/>
      <w:suff w:val="nothing"/>
      <w:lvlText w:val="（%1）"/>
      <w:lvlJc w:val="left"/>
    </w:lvl>
  </w:abstractNum>
  <w:abstractNum w:abstractNumId="1">
    <w:nsid w:val="11936DE3"/>
    <w:multiLevelType w:val="multilevel"/>
    <w:tmpl w:val="11936DE3"/>
    <w:lvl w:ilvl="0" w:tentative="0">
      <w:start w:val="1"/>
      <w:numFmt w:val="chineseCountingThousand"/>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E69B0"/>
    <w:rsid w:val="000A4A89"/>
    <w:rsid w:val="000E2D96"/>
    <w:rsid w:val="00116283"/>
    <w:rsid w:val="00234D10"/>
    <w:rsid w:val="00284AFA"/>
    <w:rsid w:val="003A3EC2"/>
    <w:rsid w:val="004F6C2A"/>
    <w:rsid w:val="00533855"/>
    <w:rsid w:val="005E6514"/>
    <w:rsid w:val="006B0EB3"/>
    <w:rsid w:val="006C3EAD"/>
    <w:rsid w:val="006C553F"/>
    <w:rsid w:val="00707D11"/>
    <w:rsid w:val="007229C5"/>
    <w:rsid w:val="007361C8"/>
    <w:rsid w:val="00846AE0"/>
    <w:rsid w:val="008B2706"/>
    <w:rsid w:val="008C011C"/>
    <w:rsid w:val="008C34AB"/>
    <w:rsid w:val="008E06E5"/>
    <w:rsid w:val="009C7D57"/>
    <w:rsid w:val="00B41B05"/>
    <w:rsid w:val="00BC589F"/>
    <w:rsid w:val="00C00076"/>
    <w:rsid w:val="00C421B9"/>
    <w:rsid w:val="00C763C8"/>
    <w:rsid w:val="00C8288C"/>
    <w:rsid w:val="00D83D9B"/>
    <w:rsid w:val="00DD2D8A"/>
    <w:rsid w:val="00EA226F"/>
    <w:rsid w:val="00F17AC1"/>
    <w:rsid w:val="00F4328B"/>
    <w:rsid w:val="0205637F"/>
    <w:rsid w:val="10646D63"/>
    <w:rsid w:val="2AAA3FB6"/>
    <w:rsid w:val="47BF7CC6"/>
    <w:rsid w:val="4DD3378D"/>
    <w:rsid w:val="4EFBA0FE"/>
    <w:rsid w:val="53073C27"/>
    <w:rsid w:val="571873F4"/>
    <w:rsid w:val="5AEB2FC7"/>
    <w:rsid w:val="5EBF63C5"/>
    <w:rsid w:val="6177DC53"/>
    <w:rsid w:val="63EE372A"/>
    <w:rsid w:val="67D3814C"/>
    <w:rsid w:val="6BEE69B0"/>
    <w:rsid w:val="6FBF0377"/>
    <w:rsid w:val="77FE8591"/>
    <w:rsid w:val="7B3F28FE"/>
    <w:rsid w:val="7BB51BEE"/>
    <w:rsid w:val="7EF3E2D0"/>
    <w:rsid w:val="7F7F9E40"/>
    <w:rsid w:val="7FDF4F45"/>
    <w:rsid w:val="7FEF94E0"/>
    <w:rsid w:val="85EE70EA"/>
    <w:rsid w:val="97B7C7D4"/>
    <w:rsid w:val="B74EF2B2"/>
    <w:rsid w:val="BBEBCA2D"/>
    <w:rsid w:val="BEF71AB6"/>
    <w:rsid w:val="CDF7FF45"/>
    <w:rsid w:val="DF7655DF"/>
    <w:rsid w:val="DF9E4AC9"/>
    <w:rsid w:val="E7DFE1AB"/>
    <w:rsid w:val="E7EF47E5"/>
    <w:rsid w:val="EF6B060B"/>
    <w:rsid w:val="F39E10B9"/>
    <w:rsid w:val="F47DFDAA"/>
    <w:rsid w:val="F6BE215F"/>
    <w:rsid w:val="FCFF187E"/>
    <w:rsid w:val="FD752D57"/>
    <w:rsid w:val="FDEEEDFC"/>
    <w:rsid w:val="FDFF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5" w:firstLineChars="177"/>
      <w:jc w:val="both"/>
    </w:pPr>
    <w:rPr>
      <w:rFonts w:ascii="仿宋_GB2312" w:hAnsi="Calibri" w:eastAsia="仿宋_GB2312" w:cs="Times New Roman"/>
      <w:kern w:val="2"/>
      <w:sz w:val="28"/>
      <w:szCs w:val="28"/>
      <w:lang w:val="en-US" w:eastAsia="zh-CN" w:bidi="ar-SA"/>
    </w:rPr>
  </w:style>
  <w:style w:type="paragraph" w:styleId="5">
    <w:name w:val="heading 1"/>
    <w:basedOn w:val="1"/>
    <w:next w:val="1"/>
    <w:qFormat/>
    <w:uiPriority w:val="9"/>
    <w:pPr>
      <w:keepNext/>
      <w:keepLines/>
      <w:numPr>
        <w:ilvl w:val="0"/>
        <w:numId w:val="1"/>
      </w:numPr>
      <w:spacing w:before="156" w:beforeLines="50" w:after="156" w:afterLines="50"/>
      <w:ind w:firstLine="0" w:firstLineChars="0"/>
      <w:outlineLvl w:val="0"/>
    </w:pPr>
    <w:rPr>
      <w:rFonts w:ascii="黑体" w:hAnsi="黑体" w:eastAsia="黑体"/>
      <w:b/>
      <w:bCs/>
      <w:kern w:val="44"/>
      <w:sz w:val="32"/>
      <w:szCs w:val="32"/>
    </w:rPr>
  </w:style>
  <w:style w:type="paragraph" w:styleId="6">
    <w:name w:val="heading 2"/>
    <w:basedOn w:val="1"/>
    <w:next w:val="1"/>
    <w:link w:val="14"/>
    <w:unhideWhenUsed/>
    <w:qFormat/>
    <w:uiPriority w:val="0"/>
    <w:pPr>
      <w:spacing w:before="100" w:beforeAutospacing="1" w:after="100" w:afterAutospacing="1" w:line="560" w:lineRule="exact"/>
      <w:contextualSpacing/>
      <w:outlineLvl w:val="1"/>
    </w:pPr>
    <w:rPr>
      <w:rFonts w:hint="eastAsia" w:ascii="楷体_GB2312" w:hAnsi="宋体" w:eastAsia="楷体_GB2312"/>
      <w:b/>
      <w:bCs/>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next w:val="3"/>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w:basedOn w:val="1"/>
    <w:next w:val="4"/>
    <w:link w:val="15"/>
    <w:qFormat/>
    <w:uiPriority w:val="0"/>
    <w:pPr>
      <w:adjustRightInd w:val="0"/>
      <w:spacing w:after="120" w:line="312" w:lineRule="atLeast"/>
    </w:pPr>
    <w:rPr>
      <w:rFonts w:ascii="Times New Roman" w:hAnsi="Times New Roman" w:eastAsia="宋体"/>
      <w:kern w:val="0"/>
      <w:sz w:val="21"/>
      <w:szCs w:val="20"/>
    </w:rPr>
  </w:style>
  <w:style w:type="paragraph" w:styleId="4">
    <w:name w:val="Title"/>
    <w:next w:val="1"/>
    <w:qFormat/>
    <w:uiPriority w:val="0"/>
    <w:pPr>
      <w:widowControl w:val="0"/>
      <w:spacing w:before="240" w:after="60" w:line="276" w:lineRule="auto"/>
      <w:jc w:val="center"/>
      <w:outlineLvl w:val="0"/>
    </w:pPr>
    <w:rPr>
      <w:rFonts w:ascii="Cambria" w:hAnsi="Cambria" w:eastAsia="宋体" w:cs="Times New Roman"/>
      <w:b/>
      <w:bCs/>
      <w:kern w:val="2"/>
      <w:sz w:val="32"/>
      <w:szCs w:val="32"/>
      <w:lang w:val="en-US" w:eastAsia="zh-CN" w:bidi="ar-SA"/>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6"/>
    <w:qFormat/>
    <w:uiPriority w:val="0"/>
    <w:rPr>
      <w:rFonts w:hint="eastAsia" w:ascii="楷体_GB2312" w:hAnsi="宋体" w:eastAsia="楷体_GB2312" w:cs="Times New Roman"/>
      <w:b/>
      <w:bCs/>
      <w:kern w:val="2"/>
      <w:sz w:val="32"/>
      <w:szCs w:val="32"/>
    </w:rPr>
  </w:style>
  <w:style w:type="character" w:customStyle="1" w:styleId="15">
    <w:name w:val="正文文本 字符"/>
    <w:basedOn w:val="13"/>
    <w:link w:val="3"/>
    <w:qFormat/>
    <w:uiPriority w:val="0"/>
    <w:rPr>
      <w:sz w:val="21"/>
    </w:rPr>
  </w:style>
  <w:style w:type="paragraph" w:customStyle="1" w:styleId="16">
    <w:name w:val="段"/>
    <w:qFormat/>
    <w:uiPriority w:val="0"/>
    <w:pPr>
      <w:autoSpaceDE w:val="0"/>
      <w:autoSpaceDN w:val="0"/>
      <w:ind w:firstLine="420" w:firstLineChars="200"/>
      <w:jc w:val="both"/>
    </w:pPr>
    <w:rPr>
      <w:rFonts w:ascii="宋体" w:hAnsi="宋体"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2350</Words>
  <Characters>2408</Characters>
  <Lines>38</Lines>
  <Paragraphs>10</Paragraphs>
  <TotalTime>0</TotalTime>
  <ScaleCrop>false</ScaleCrop>
  <LinksUpToDate>false</LinksUpToDate>
  <CharactersWithSpaces>2554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2025-09-16T02:24:00Z</dcterms:created>
  <dc:creator>鱼头</dc:creator>
  <cp:lastModifiedBy>小容</cp:lastModifiedBy>
  <cp:lastPrinted>2025-09-14T18:45:00Z</cp:lastPrinted>
  <dcterms:modified xsi:type="dcterms:W3CDTF">2025-09-29T14:30:05Z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A1D0D7434889497911FAD468A9322499_43</vt:lpwstr>
  </property>
  <property fmtid="{D5CDD505-2E9C-101B-9397-08002B2CF9AE}" pid="4" name="KSOTemplateDocerSaveRecord">
    <vt:lpwstr>eyJoZGlkIjoiZmRmYTJiNDQ1MjkxMGU0M2M0OTNlYmUyZGRlOTA0MjMiLCJ1c2VySWQiOiIyNTU2MzI0NTUifQ==</vt:lpwstr>
  </property>
</Properties>
</file>