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7462"/>
        </w:tabs>
        <w:jc w:val="both"/>
        <w:rPr>
          <w:rFonts w:hint="eastAsia" w:ascii="黑体" w:hAnsi="黑体" w:eastAsia="黑体" w:cs="黑体"/>
          <w:w w:val="105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w w:val="105"/>
          <w:sz w:val="32"/>
          <w:szCs w:val="32"/>
          <w:lang w:val="en-US" w:eastAsia="zh-CN"/>
        </w:rPr>
        <w:t>附件2</w:t>
      </w:r>
    </w:p>
    <w:p>
      <w:pPr>
        <w:spacing w:line="240" w:lineRule="auto"/>
        <w:jc w:val="center"/>
        <w:rPr>
          <w:rFonts w:hint="eastAsia" w:ascii="仿宋_GB2312" w:hAnsi="宋体" w:eastAsia="仿宋_GB2312" w:cs="宋体"/>
          <w:b/>
          <w:bCs/>
          <w:sz w:val="40"/>
          <w:szCs w:val="40"/>
        </w:rPr>
      </w:pPr>
      <w:r>
        <w:rPr>
          <w:rFonts w:hint="eastAsia" w:ascii="仿宋_GB2312" w:hAnsi="宋体" w:eastAsia="仿宋_GB2312" w:cs="宋体"/>
          <w:b/>
          <w:bCs/>
          <w:sz w:val="40"/>
          <w:szCs w:val="40"/>
        </w:rPr>
        <w:t>深圳市第十届运动会竞技体育组</w:t>
      </w:r>
      <w:r>
        <w:rPr>
          <w:rFonts w:hint="eastAsia" w:ascii="仿宋_GB2312" w:hAnsi="宋体" w:eastAsia="仿宋_GB2312" w:cs="宋体"/>
          <w:b/>
          <w:bCs/>
          <w:sz w:val="40"/>
          <w:szCs w:val="40"/>
          <w:lang w:val="en-US" w:eastAsia="zh-CN"/>
        </w:rPr>
        <w:t>体操</w:t>
      </w:r>
      <w:r>
        <w:rPr>
          <w:rFonts w:hint="eastAsia" w:ascii="仿宋_GB2312" w:hAnsi="宋体" w:eastAsia="仿宋_GB2312" w:cs="宋体"/>
          <w:b/>
          <w:bCs/>
          <w:sz w:val="40"/>
          <w:szCs w:val="40"/>
        </w:rPr>
        <w:t>比赛</w:t>
      </w:r>
    </w:p>
    <w:p>
      <w:pPr>
        <w:jc w:val="center"/>
        <w:rPr>
          <w:rFonts w:hint="eastAsia" w:ascii="仿宋_GB2312" w:hAnsi="宋体" w:eastAsia="仿宋_GB2312" w:cs="宋体"/>
          <w:b/>
          <w:bCs/>
          <w:w w:val="100"/>
          <w:sz w:val="40"/>
          <w:szCs w:val="40"/>
        </w:rPr>
      </w:pPr>
      <w:r>
        <w:rPr>
          <w:rFonts w:hint="eastAsia" w:ascii="仿宋_GB2312" w:hAnsi="宋体" w:eastAsia="仿宋_GB2312" w:cs="宋体"/>
          <w:b/>
          <w:bCs/>
          <w:w w:val="100"/>
          <w:sz w:val="40"/>
          <w:szCs w:val="40"/>
        </w:rPr>
        <w:t>健康信息申报表</w:t>
      </w:r>
    </w:p>
    <w:p>
      <w:pPr>
        <w:jc w:val="center"/>
        <w:rPr>
          <w:rFonts w:hint="default" w:ascii="仿宋_GB2312" w:hAnsi="宋体" w:eastAsia="仿宋_GB2312" w:cs="宋体"/>
          <w:b/>
          <w:bCs/>
          <w:w w:val="100"/>
          <w:sz w:val="40"/>
          <w:szCs w:val="40"/>
          <w:lang w:val="en-US" w:eastAsia="zh-CN"/>
        </w:rPr>
      </w:pPr>
    </w:p>
    <w:p>
      <w:pPr>
        <w:tabs>
          <w:tab w:val="left" w:pos="7462"/>
        </w:tabs>
        <w:rPr>
          <w:rFonts w:hint="default" w:ascii="仿宋_GB2312" w:hAnsi="仿宋_GB2312" w:eastAsia="仿宋_GB2312" w:cs="仿宋_GB2312"/>
          <w:w w:val="105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姓名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val="en-US" w:eastAsia="zh-CN"/>
        </w:rPr>
        <w:t>所属单位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：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联系电话：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val="en-US" w:eastAsia="zh-CN"/>
        </w:rPr>
        <w:t xml:space="preserve"> </w:t>
      </w:r>
    </w:p>
    <w:p>
      <w:pPr>
        <w:tabs>
          <w:tab w:val="left" w:pos="7462"/>
        </w:tabs>
        <w:rPr>
          <w:rFonts w:ascii="仿宋_GB2312" w:hAnsi="仿宋_GB2312" w:eastAsia="仿宋_GB2312" w:cs="仿宋_GB2312"/>
          <w:w w:val="105"/>
          <w:sz w:val="28"/>
          <w:szCs w:val="28"/>
        </w:rPr>
      </w:pP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2021年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 xml:space="preserve"> 月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日(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val="en-US" w:eastAsia="zh-CN"/>
        </w:rPr>
        <w:t>联席会议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当天)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健康码状态为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绿码口 红码口</w:t>
      </w:r>
    </w:p>
    <w:p>
      <w:pPr>
        <w:spacing w:line="200" w:lineRule="exact"/>
        <w:rPr>
          <w:sz w:val="20"/>
          <w:szCs w:val="20"/>
        </w:rPr>
      </w:pPr>
    </w:p>
    <w:tbl>
      <w:tblPr>
        <w:tblStyle w:val="2"/>
        <w:tblW w:w="109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3"/>
        <w:gridCol w:w="8680"/>
        <w:gridCol w:w="15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序号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指标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具体情况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申报人近14天内有国外旅居史，未按照有关规定落实防控措施。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申报人近14天内从外地返粤，未持有健康绿码或健康证明。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申报人从国内中高风险地区返粤，无7天内核酸检测阴性证明；从国内高风险地区返粤，健康观察（居家、校内、或集中隔离点）未满14天或观察期满后未做核酸检测。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申报人近14天内接触过疫情高风险人员或确诊人员（包括确诊病例、疑似病例，无症状感染者等）。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申报人正在实施集中或居家隔离医学观察。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6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申报人有发热、干咳、气促等呼吸道症状且未到医院发热门诊就诊。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7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申报人为新冠肺炎确诊病例、疑似病例、无症状感染者或密切接触者，正接受治疗或医学观察。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8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申报人共同生活的家庭成员近14天内有境外旅居史，未按照有关规定落实防控措施。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9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申报人共同生活的家庭成员有发热、干咳、气促等症状，且未到医院发热门诊就诊。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</w:tbl>
    <w:p>
      <w:pPr>
        <w:ind w:firstLine="0" w:firstLineChars="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备注：</w:t>
      </w:r>
      <w:r>
        <w:rPr>
          <w:rFonts w:hint="eastAsia" w:ascii="仿宋_GB2312" w:hAnsi="仿宋_GB2312" w:eastAsia="仿宋_GB2312" w:cs="仿宋_GB2312"/>
          <w:sz w:val="28"/>
          <w:szCs w:val="28"/>
        </w:rPr>
        <w:t>以上健康情况，若所有指标均为“否”，且持有健康绿码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及核酸检测“阴性”</w:t>
      </w:r>
      <w:r>
        <w:rPr>
          <w:rFonts w:hint="eastAsia" w:ascii="仿宋_GB2312" w:hAnsi="仿宋_GB2312" w:eastAsia="仿宋_GB2312" w:cs="仿宋_GB2312"/>
          <w:sz w:val="28"/>
          <w:szCs w:val="28"/>
        </w:rPr>
        <w:t>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方</w:t>
      </w:r>
      <w:r>
        <w:rPr>
          <w:rFonts w:hint="eastAsia" w:ascii="仿宋_GB2312" w:hAnsi="仿宋_GB2312" w:eastAsia="仿宋_GB2312" w:cs="仿宋_GB2312"/>
          <w:sz w:val="28"/>
          <w:szCs w:val="28"/>
        </w:rPr>
        <w:t>可参加赛事活动。</w:t>
      </w:r>
    </w:p>
    <w:p>
      <w:bookmarkStart w:id="0" w:name="_GoBack"/>
      <w:bookmarkEnd w:id="0"/>
    </w:p>
    <w:sectPr>
      <w:pgSz w:w="11906" w:h="16838"/>
      <w:pgMar w:top="1134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A23194"/>
    <w:rsid w:val="06A23194"/>
    <w:rsid w:val="32804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2021-07-27T04:02:00Z</dcterms:created>
  <dc:creator>小容</dc:creator>
  <cp:lastModifiedBy>小容</cp:lastModifiedBy>
  <dcterms:modified xsi:type="dcterms:W3CDTF">2021-07-27T04:03:21Z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1CFD1D8045AE49C9AE8C04646640F067</vt:lpwstr>
  </property>
</Properties>
</file>