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43617">
      <w:pPr>
        <w:jc w:val="right"/>
        <w:rPr>
          <w:rFonts w:hint="eastAsia" w:ascii="仿宋" w:hAnsi="仿宋" w:eastAsia="仿宋" w:cs="仿宋"/>
          <w:sz w:val="52"/>
          <w:szCs w:val="52"/>
          <w:highlight w:val="none"/>
        </w:rPr>
      </w:pPr>
      <w:r>
        <w:rPr>
          <w:rFonts w:hint="eastAsia" w:ascii="仿宋" w:hAnsi="仿宋" w:eastAsia="仿宋" w:cs="仿宋"/>
          <w:b/>
          <w:spacing w:val="20"/>
          <w:sz w:val="28"/>
          <w:highlight w:val="none"/>
        </w:rPr>
        <w:t>项目编号：</w:t>
      </w:r>
      <w:r>
        <w:rPr>
          <w:rFonts w:hint="eastAsia" w:ascii="仿宋" w:hAnsi="仿宋" w:eastAsia="仿宋" w:cs="仿宋"/>
          <w:b/>
          <w:spacing w:val="20"/>
          <w:sz w:val="28"/>
          <w:highlight w:val="none"/>
          <w:lang w:eastAsia="zh-CN"/>
        </w:rPr>
        <w:t>UHOSZC20250792</w:t>
      </w:r>
      <w:r>
        <w:rPr>
          <w:rFonts w:hint="eastAsia" w:ascii="仿宋" w:hAnsi="仿宋" w:eastAsia="仿宋" w:cs="仿宋"/>
          <w:b/>
          <w:spacing w:val="20"/>
          <w:sz w:val="28"/>
          <w:highlight w:val="none"/>
        </w:rPr>
        <w:t xml:space="preserve"> </w:t>
      </w:r>
    </w:p>
    <w:p w14:paraId="05A9170A">
      <w:pPr>
        <w:jc w:val="center"/>
        <w:rPr>
          <w:rFonts w:hint="eastAsia" w:ascii="仿宋" w:hAnsi="仿宋" w:eastAsia="仿宋" w:cs="仿宋"/>
          <w:sz w:val="52"/>
          <w:szCs w:val="52"/>
          <w:highlight w:val="none"/>
        </w:rPr>
      </w:pPr>
    </w:p>
    <w:p w14:paraId="16070F21">
      <w:pPr>
        <w:jc w:val="center"/>
        <w:rPr>
          <w:rFonts w:hint="eastAsia" w:ascii="仿宋" w:hAnsi="仿宋" w:eastAsia="仿宋" w:cs="仿宋"/>
          <w:sz w:val="52"/>
          <w:szCs w:val="52"/>
          <w:highlight w:val="none"/>
        </w:rPr>
      </w:pPr>
    </w:p>
    <w:p w14:paraId="73AFE14D">
      <w:pPr>
        <w:jc w:val="center"/>
        <w:rPr>
          <w:rFonts w:hint="eastAsia" w:ascii="仿宋" w:hAnsi="仿宋" w:eastAsia="仿宋" w:cs="仿宋"/>
          <w:sz w:val="52"/>
          <w:szCs w:val="52"/>
          <w:highlight w:val="none"/>
        </w:rPr>
      </w:pPr>
      <w:r>
        <w:rPr>
          <w:rFonts w:hint="eastAsia" w:ascii="仿宋" w:hAnsi="仿宋" w:eastAsia="仿宋" w:cs="仿宋"/>
          <w:sz w:val="52"/>
          <w:szCs w:val="52"/>
          <w:highlight w:val="none"/>
        </w:rPr>
        <w:t>【服务类】</w:t>
      </w:r>
    </w:p>
    <w:p w14:paraId="29BC4E02">
      <w:pPr>
        <w:jc w:val="center"/>
        <w:rPr>
          <w:rFonts w:hint="eastAsia" w:ascii="仿宋" w:hAnsi="仿宋" w:eastAsia="仿宋" w:cs="仿宋"/>
          <w:sz w:val="52"/>
          <w:szCs w:val="52"/>
          <w:highlight w:val="none"/>
          <w:lang w:eastAsia="zh-CN"/>
        </w:rPr>
      </w:pPr>
      <w:r>
        <w:rPr>
          <w:rFonts w:hint="eastAsia" w:ascii="仿宋" w:hAnsi="仿宋" w:eastAsia="仿宋" w:cs="仿宋"/>
          <w:sz w:val="52"/>
          <w:szCs w:val="52"/>
          <w:highlight w:val="none"/>
          <w:lang w:eastAsia="zh-CN"/>
        </w:rPr>
        <w:t>深圳自然博物馆展品征集</w:t>
      </w:r>
    </w:p>
    <w:p w14:paraId="7D257FBB">
      <w:pPr>
        <w:jc w:val="center"/>
        <w:rPr>
          <w:rFonts w:hint="eastAsia" w:ascii="仿宋" w:hAnsi="仿宋" w:eastAsia="仿宋" w:cs="仿宋"/>
          <w:sz w:val="52"/>
          <w:szCs w:val="52"/>
          <w:highlight w:val="none"/>
          <w:lang w:eastAsia="zh-CN"/>
        </w:rPr>
      </w:pPr>
      <w:r>
        <w:rPr>
          <w:rFonts w:hint="eastAsia" w:ascii="仿宋" w:hAnsi="仿宋" w:eastAsia="仿宋" w:cs="仿宋"/>
          <w:sz w:val="52"/>
          <w:szCs w:val="52"/>
          <w:highlight w:val="none"/>
          <w:lang w:eastAsia="zh-CN"/>
        </w:rPr>
        <w:t>（古生物标本修复）服务</w:t>
      </w:r>
    </w:p>
    <w:p w14:paraId="099AFF71">
      <w:pPr>
        <w:rPr>
          <w:rFonts w:hint="eastAsia" w:ascii="仿宋" w:hAnsi="仿宋" w:eastAsia="仿宋" w:cs="仿宋"/>
          <w:highlight w:val="none"/>
        </w:rPr>
      </w:pPr>
    </w:p>
    <w:p w14:paraId="06C124D4">
      <w:pPr>
        <w:rPr>
          <w:rFonts w:hint="eastAsia" w:ascii="仿宋" w:hAnsi="仿宋" w:eastAsia="仿宋" w:cs="仿宋"/>
          <w:highlight w:val="none"/>
        </w:rPr>
      </w:pPr>
    </w:p>
    <w:p w14:paraId="77366C63">
      <w:pPr>
        <w:rPr>
          <w:rFonts w:hint="eastAsia" w:ascii="仿宋" w:hAnsi="仿宋" w:eastAsia="仿宋" w:cs="仿宋"/>
          <w:highlight w:val="none"/>
        </w:rPr>
      </w:pPr>
    </w:p>
    <w:p w14:paraId="1B280029">
      <w:pPr>
        <w:rPr>
          <w:rFonts w:hint="eastAsia" w:ascii="仿宋" w:hAnsi="仿宋" w:eastAsia="仿宋" w:cs="仿宋"/>
          <w:highlight w:val="none"/>
        </w:rPr>
      </w:pPr>
    </w:p>
    <w:p w14:paraId="78B017C5">
      <w:pPr>
        <w:keepNext w:val="0"/>
        <w:keepLines w:val="0"/>
        <w:pageBreakBefore w:val="0"/>
        <w:widowControl w:val="0"/>
        <w:kinsoku/>
        <w:wordWrap/>
        <w:overflowPunct/>
        <w:topLinePunct w:val="0"/>
        <w:autoSpaceDE/>
        <w:autoSpaceDN/>
        <w:bidi w:val="0"/>
        <w:adjustRightInd/>
        <w:snapToGrid/>
        <w:spacing w:after="126" w:afterLines="40"/>
        <w:jc w:val="center"/>
        <w:textAlignment w:val="auto"/>
        <w:rPr>
          <w:rFonts w:hint="eastAsia" w:ascii="仿宋" w:hAnsi="仿宋" w:eastAsia="仿宋" w:cs="仿宋"/>
          <w:color w:val="000000" w:themeColor="text1"/>
          <w:sz w:val="72"/>
          <w:szCs w:val="52"/>
          <w:highlight w:val="none"/>
          <w14:textFill>
            <w14:solidFill>
              <w14:schemeClr w14:val="tx1"/>
            </w14:solidFill>
          </w14:textFill>
        </w:rPr>
      </w:pPr>
      <w:r>
        <w:rPr>
          <w:rFonts w:hint="eastAsia" w:ascii="仿宋" w:hAnsi="仿宋" w:eastAsia="仿宋" w:cs="仿宋"/>
          <w:color w:val="000000" w:themeColor="text1"/>
          <w:sz w:val="72"/>
          <w:szCs w:val="52"/>
          <w:highlight w:val="none"/>
          <w14:textFill>
            <w14:solidFill>
              <w14:schemeClr w14:val="tx1"/>
            </w14:solidFill>
          </w14:textFill>
        </w:rPr>
        <w:t>招 标 文 件</w:t>
      </w:r>
    </w:p>
    <w:p w14:paraId="0993F26C">
      <w:pPr>
        <w:pStyle w:val="35"/>
        <w:rPr>
          <w:rFonts w:hint="eastAsia" w:ascii="仿宋" w:hAnsi="仿宋" w:eastAsia="仿宋" w:cs="仿宋"/>
          <w:highlight w:val="none"/>
        </w:rPr>
      </w:pPr>
    </w:p>
    <w:p w14:paraId="283E7C6F">
      <w:pPr>
        <w:pStyle w:val="13"/>
        <w:rPr>
          <w:rFonts w:hint="eastAsia" w:ascii="仿宋" w:hAnsi="仿宋" w:eastAsia="仿宋" w:cs="仿宋"/>
          <w:highlight w:val="none"/>
          <w:lang w:eastAsia="zh-CN"/>
        </w:rPr>
      </w:pPr>
    </w:p>
    <w:p w14:paraId="0EC5F8E4">
      <w:pPr>
        <w:pStyle w:val="35"/>
        <w:rPr>
          <w:rFonts w:hint="eastAsia" w:ascii="仿宋" w:hAnsi="仿宋" w:eastAsia="仿宋" w:cs="仿宋"/>
          <w:highlight w:val="none"/>
          <w:lang w:eastAsia="zh-CN"/>
        </w:rPr>
      </w:pPr>
    </w:p>
    <w:p w14:paraId="18AE88F9">
      <w:pPr>
        <w:pStyle w:val="35"/>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 w:hAnsi="仿宋" w:eastAsia="仿宋" w:cs="仿宋"/>
          <w:highlight w:val="none"/>
          <w:lang w:eastAsia="zh-CN"/>
        </w:rPr>
      </w:pPr>
      <w:r>
        <w:rPr>
          <w:rFonts w:hint="eastAsia" w:ascii="仿宋" w:hAnsi="仿宋" w:eastAsia="仿宋" w:cs="仿宋"/>
          <w:sz w:val="44"/>
          <w:highlight w:val="none"/>
          <w:lang w:eastAsia="zh-CN"/>
        </w:rPr>
        <w:drawing>
          <wp:inline distT="0" distB="0" distL="114300" distR="114300">
            <wp:extent cx="1210945" cy="1210945"/>
            <wp:effectExtent l="0" t="0" r="8255" b="8255"/>
            <wp:docPr id="8" name="图片 8" descr="b6bbc1c3021ac190a7f1ff08bab79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6bbc1c3021ac190a7f1ff08bab79ef"/>
                    <pic:cNvPicPr>
                      <a:picLocks noChangeAspect="1"/>
                    </pic:cNvPicPr>
                  </pic:nvPicPr>
                  <pic:blipFill>
                    <a:blip r:embed="rId7"/>
                    <a:stretch>
                      <a:fillRect/>
                    </a:stretch>
                  </pic:blipFill>
                  <pic:spPr>
                    <a:xfrm>
                      <a:off x="0" y="0"/>
                      <a:ext cx="1210945" cy="1210945"/>
                    </a:xfrm>
                    <a:prstGeom prst="rect">
                      <a:avLst/>
                    </a:prstGeom>
                  </pic:spPr>
                </pic:pic>
              </a:graphicData>
            </a:graphic>
          </wp:inline>
        </w:drawing>
      </w:r>
    </w:p>
    <w:p w14:paraId="370B6E97">
      <w:pPr>
        <w:pStyle w:val="35"/>
        <w:keepNext w:val="0"/>
        <w:keepLines w:val="0"/>
        <w:pageBreakBefore w:val="0"/>
        <w:widowControl w:val="0"/>
        <w:kinsoku/>
        <w:wordWrap/>
        <w:overflowPunct/>
        <w:topLinePunct w:val="0"/>
        <w:autoSpaceDE/>
        <w:autoSpaceDN/>
        <w:bidi w:val="0"/>
        <w:adjustRightInd/>
        <w:snapToGrid/>
        <w:spacing w:after="0"/>
        <w:textAlignment w:val="auto"/>
        <w:rPr>
          <w:rFonts w:hint="eastAsia" w:ascii="仿宋" w:hAnsi="仿宋" w:eastAsia="仿宋" w:cs="仿宋"/>
          <w:highlight w:val="none"/>
          <w:lang w:eastAsia="zh-CN"/>
        </w:rPr>
      </w:pPr>
    </w:p>
    <w:p w14:paraId="406BB8A5">
      <w:pPr>
        <w:snapToGrid w:val="0"/>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友和保险经纪有限公司</w:t>
      </w:r>
    </w:p>
    <w:p w14:paraId="325D0D7C">
      <w:pPr>
        <w:snapToGrid w:val="0"/>
        <w:jc w:val="center"/>
        <w:rPr>
          <w:rFonts w:hint="eastAsia" w:ascii="仿宋" w:hAnsi="仿宋" w:eastAsia="仿宋" w:cs="仿宋"/>
          <w:b/>
          <w:bCs/>
          <w:sz w:val="21"/>
          <w:szCs w:val="21"/>
          <w:highlight w:val="none"/>
        </w:rPr>
      </w:pPr>
    </w:p>
    <w:p w14:paraId="3D330FCD">
      <w:pPr>
        <w:jc w:val="center"/>
        <w:rPr>
          <w:rFonts w:hint="eastAsia" w:ascii="仿宋" w:hAnsi="仿宋" w:eastAsia="仿宋" w:cs="仿宋"/>
          <w:highlight w:val="none"/>
        </w:r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p>
    <w:p w14:paraId="54891A52">
      <w:pPr>
        <w:jc w:val="center"/>
        <w:rPr>
          <w:rFonts w:hint="eastAsia" w:ascii="仿宋" w:hAnsi="仿宋" w:eastAsia="仿宋" w:cs="仿宋"/>
          <w:sz w:val="36"/>
          <w:szCs w:val="36"/>
          <w:highlight w:val="none"/>
        </w:rPr>
      </w:pPr>
      <w:r>
        <w:rPr>
          <w:rFonts w:hint="eastAsia" w:ascii="仿宋" w:hAnsi="仿宋" w:eastAsia="仿宋" w:cs="仿宋"/>
          <w:highlight w:val="none"/>
        </w:rPr>
        <w:br w:type="page"/>
      </w:r>
    </w:p>
    <w:p w14:paraId="00675355">
      <w:pPr>
        <w:snapToGrid w:val="0"/>
        <w:spacing w:line="480" w:lineRule="auto"/>
        <w:jc w:val="center"/>
        <w:rPr>
          <w:rFonts w:hint="eastAsia" w:ascii="仿宋" w:hAnsi="仿宋" w:eastAsia="仿宋" w:cs="仿宋"/>
          <w:sz w:val="36"/>
          <w:szCs w:val="36"/>
          <w:highlight w:val="none"/>
        </w:rPr>
        <w:sectPr>
          <w:headerReference r:id="rId3" w:type="default"/>
          <w:type w:val="continuous"/>
          <w:pgSz w:w="11906" w:h="16838"/>
          <w:pgMar w:top="1440" w:right="1800" w:bottom="1440" w:left="1800" w:header="851" w:footer="992" w:gutter="0"/>
          <w:cols w:space="720" w:num="1"/>
          <w:titlePg/>
          <w:docGrid w:type="lines" w:linePitch="312" w:charSpace="0"/>
        </w:sectPr>
      </w:pPr>
    </w:p>
    <w:p w14:paraId="32399B5F">
      <w:pPr>
        <w:snapToGrid w:val="0"/>
        <w:spacing w:line="480" w:lineRule="auto"/>
        <w:jc w:val="center"/>
        <w:rPr>
          <w:rFonts w:hint="eastAsia" w:ascii="仿宋" w:hAnsi="仿宋" w:eastAsia="仿宋" w:cs="仿宋"/>
          <w:i w:val="0"/>
          <w:iCs w:val="0"/>
          <w:sz w:val="52"/>
          <w:highlight w:val="none"/>
        </w:rPr>
      </w:pPr>
      <w:r>
        <w:rPr>
          <w:rFonts w:hint="eastAsia" w:ascii="仿宋" w:hAnsi="仿宋" w:eastAsia="仿宋" w:cs="仿宋"/>
          <w:i w:val="0"/>
          <w:iCs w:val="0"/>
          <w:sz w:val="36"/>
          <w:szCs w:val="36"/>
          <w:highlight w:val="none"/>
        </w:rPr>
        <w:t>目</w:t>
      </w:r>
      <w:r>
        <w:rPr>
          <w:rFonts w:hint="eastAsia" w:ascii="仿宋" w:hAnsi="仿宋" w:eastAsia="仿宋" w:cs="仿宋"/>
          <w:i w:val="0"/>
          <w:iCs w:val="0"/>
          <w:sz w:val="36"/>
          <w:szCs w:val="36"/>
          <w:highlight w:val="none"/>
          <w:lang w:val="en-US" w:eastAsia="zh-CN"/>
        </w:rPr>
        <w:t xml:space="preserve"> </w:t>
      </w:r>
      <w:r>
        <w:rPr>
          <w:rFonts w:hint="eastAsia" w:ascii="仿宋" w:hAnsi="仿宋" w:eastAsia="仿宋" w:cs="仿宋"/>
          <w:i w:val="0"/>
          <w:iCs w:val="0"/>
          <w:sz w:val="36"/>
          <w:szCs w:val="36"/>
          <w:highlight w:val="none"/>
        </w:rPr>
        <w:t>录</w:t>
      </w:r>
    </w:p>
    <w:p w14:paraId="5E8C5190">
      <w:pPr>
        <w:pStyle w:val="29"/>
        <w:tabs>
          <w:tab w:val="right" w:leader="dot" w:pos="8306"/>
        </w:tabs>
        <w:rPr>
          <w:i w:val="0"/>
          <w:iCs w:val="0"/>
        </w:rPr>
      </w:pPr>
      <w:r>
        <w:rPr>
          <w:rFonts w:hint="eastAsia" w:ascii="仿宋" w:hAnsi="仿宋" w:eastAsia="仿宋" w:cs="仿宋"/>
          <w:b w:val="0"/>
          <w:bCs w:val="0"/>
          <w:i w:val="0"/>
          <w:iCs w:val="0"/>
          <w:sz w:val="24"/>
          <w:szCs w:val="24"/>
          <w:highlight w:val="none"/>
        </w:rPr>
        <w:fldChar w:fldCharType="begin"/>
      </w:r>
      <w:r>
        <w:rPr>
          <w:rFonts w:hint="eastAsia" w:ascii="仿宋" w:hAnsi="仿宋" w:eastAsia="仿宋" w:cs="仿宋"/>
          <w:b w:val="0"/>
          <w:bCs w:val="0"/>
          <w:i w:val="0"/>
          <w:iCs w:val="0"/>
          <w:sz w:val="24"/>
          <w:szCs w:val="24"/>
          <w:highlight w:val="none"/>
        </w:rPr>
        <w:instrText xml:space="preserve"> TOC \o "1-3" \h \z \u </w:instrText>
      </w:r>
      <w:r>
        <w:rPr>
          <w:rFonts w:hint="eastAsia" w:ascii="仿宋" w:hAnsi="仿宋" w:eastAsia="仿宋" w:cs="仿宋"/>
          <w:b w:val="0"/>
          <w:bCs w:val="0"/>
          <w:i w:val="0"/>
          <w:iCs w:val="0"/>
          <w:sz w:val="24"/>
          <w:szCs w:val="24"/>
          <w:highlight w:val="none"/>
        </w:rPr>
        <w:fldChar w:fldCharType="separate"/>
      </w: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_Toc15536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i w:val="0"/>
          <w:iCs w:val="0"/>
          <w:szCs w:val="36"/>
          <w:highlight w:val="none"/>
        </w:rPr>
        <w:t>特别警示条款</w:t>
      </w:r>
      <w:r>
        <w:rPr>
          <w:i w:val="0"/>
          <w:iCs w:val="0"/>
        </w:rPr>
        <w:tab/>
      </w:r>
      <w:r>
        <w:rPr>
          <w:i w:val="0"/>
          <w:iCs w:val="0"/>
        </w:rPr>
        <w:fldChar w:fldCharType="begin"/>
      </w:r>
      <w:r>
        <w:rPr>
          <w:i w:val="0"/>
          <w:iCs w:val="0"/>
        </w:rPr>
        <w:instrText xml:space="preserve"> PAGEREF _Toc15536 \h </w:instrText>
      </w:r>
      <w:r>
        <w:rPr>
          <w:i w:val="0"/>
          <w:iCs w:val="0"/>
        </w:rPr>
        <w:fldChar w:fldCharType="separate"/>
      </w:r>
      <w:r>
        <w:rPr>
          <w:i w:val="0"/>
          <w:iCs w:val="0"/>
        </w:rPr>
        <w:t>3</w:t>
      </w:r>
      <w:r>
        <w:rPr>
          <w:i w:val="0"/>
          <w:iCs w:val="0"/>
        </w:rPr>
        <w:fldChar w:fldCharType="end"/>
      </w:r>
      <w:r>
        <w:rPr>
          <w:rFonts w:hint="eastAsia" w:ascii="仿宋" w:hAnsi="仿宋" w:eastAsia="仿宋" w:cs="仿宋"/>
          <w:bCs w:val="0"/>
          <w:i w:val="0"/>
          <w:iCs w:val="0"/>
          <w:szCs w:val="24"/>
          <w:highlight w:val="none"/>
        </w:rPr>
        <w:fldChar w:fldCharType="end"/>
      </w:r>
    </w:p>
    <w:p w14:paraId="5FF7E87B">
      <w:pPr>
        <w:pStyle w:val="29"/>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_Toc22450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i w:val="0"/>
          <w:iCs w:val="0"/>
          <w:highlight w:val="none"/>
        </w:rPr>
        <w:t>第一册</w:t>
      </w:r>
      <w:r>
        <w:rPr>
          <w:rFonts w:hint="eastAsia" w:ascii="仿宋" w:hAnsi="仿宋" w:eastAsia="仿宋" w:cs="仿宋"/>
          <w:i w:val="0"/>
          <w:iCs w:val="0"/>
          <w:highlight w:val="none"/>
          <w:lang w:val="en-US" w:eastAsia="zh-CN"/>
        </w:rPr>
        <w:t xml:space="preserve"> </w:t>
      </w:r>
      <w:r>
        <w:rPr>
          <w:rFonts w:hint="eastAsia" w:ascii="仿宋" w:hAnsi="仿宋" w:eastAsia="仿宋" w:cs="仿宋"/>
          <w:i w:val="0"/>
          <w:iCs w:val="0"/>
          <w:highlight w:val="none"/>
        </w:rPr>
        <w:t>通用条款</w:t>
      </w:r>
      <w:r>
        <w:rPr>
          <w:i w:val="0"/>
          <w:iCs w:val="0"/>
        </w:rPr>
        <w:tab/>
      </w:r>
      <w:r>
        <w:rPr>
          <w:i w:val="0"/>
          <w:iCs w:val="0"/>
        </w:rPr>
        <w:fldChar w:fldCharType="begin"/>
      </w:r>
      <w:r>
        <w:rPr>
          <w:i w:val="0"/>
          <w:iCs w:val="0"/>
        </w:rPr>
        <w:instrText xml:space="preserve"> PAGEREF _Toc22450 \h </w:instrText>
      </w:r>
      <w:r>
        <w:rPr>
          <w:i w:val="0"/>
          <w:iCs w:val="0"/>
        </w:rPr>
        <w:fldChar w:fldCharType="separate"/>
      </w:r>
      <w:r>
        <w:rPr>
          <w:i w:val="0"/>
          <w:iCs w:val="0"/>
        </w:rPr>
        <w:t>6</w:t>
      </w:r>
      <w:r>
        <w:rPr>
          <w:i w:val="0"/>
          <w:iCs w:val="0"/>
        </w:rPr>
        <w:fldChar w:fldCharType="end"/>
      </w:r>
      <w:r>
        <w:rPr>
          <w:rFonts w:hint="eastAsia" w:ascii="仿宋" w:hAnsi="仿宋" w:eastAsia="仿宋" w:cs="仿宋"/>
          <w:bCs w:val="0"/>
          <w:i w:val="0"/>
          <w:iCs w:val="0"/>
          <w:szCs w:val="24"/>
          <w:highlight w:val="none"/>
        </w:rPr>
        <w:fldChar w:fldCharType="end"/>
      </w:r>
    </w:p>
    <w:p w14:paraId="46083E82">
      <w:pPr>
        <w:pStyle w:val="33"/>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_Toc4848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i w:val="0"/>
          <w:iCs w:val="0"/>
          <w:szCs w:val="32"/>
          <w:highlight w:val="none"/>
        </w:rPr>
        <w:t>第一章  总则</w:t>
      </w:r>
      <w:r>
        <w:rPr>
          <w:i w:val="0"/>
          <w:iCs w:val="0"/>
        </w:rPr>
        <w:tab/>
      </w:r>
      <w:r>
        <w:rPr>
          <w:i w:val="0"/>
          <w:iCs w:val="0"/>
        </w:rPr>
        <w:fldChar w:fldCharType="begin"/>
      </w:r>
      <w:r>
        <w:rPr>
          <w:i w:val="0"/>
          <w:iCs w:val="0"/>
        </w:rPr>
        <w:instrText xml:space="preserve"> PAGEREF _Toc4848 \h </w:instrText>
      </w:r>
      <w:r>
        <w:rPr>
          <w:i w:val="0"/>
          <w:iCs w:val="0"/>
        </w:rPr>
        <w:fldChar w:fldCharType="separate"/>
      </w:r>
      <w:r>
        <w:rPr>
          <w:i w:val="0"/>
          <w:iCs w:val="0"/>
        </w:rPr>
        <w:t>7</w:t>
      </w:r>
      <w:r>
        <w:rPr>
          <w:i w:val="0"/>
          <w:iCs w:val="0"/>
        </w:rPr>
        <w:fldChar w:fldCharType="end"/>
      </w:r>
      <w:r>
        <w:rPr>
          <w:rFonts w:hint="eastAsia" w:ascii="仿宋" w:hAnsi="仿宋" w:eastAsia="仿宋" w:cs="仿宋"/>
          <w:bCs w:val="0"/>
          <w:i w:val="0"/>
          <w:iCs w:val="0"/>
          <w:szCs w:val="24"/>
          <w:highlight w:val="none"/>
        </w:rPr>
        <w:fldChar w:fldCharType="end"/>
      </w:r>
    </w:p>
    <w:p w14:paraId="6BCB5AFF">
      <w:pPr>
        <w:pStyle w:val="33"/>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_Toc5529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val="0"/>
          <w:i w:val="0"/>
          <w:iCs w:val="0"/>
          <w:kern w:val="2"/>
          <w:highlight w:val="none"/>
        </w:rPr>
        <w:t>第二章  招标文件</w:t>
      </w:r>
      <w:r>
        <w:rPr>
          <w:i w:val="0"/>
          <w:iCs w:val="0"/>
        </w:rPr>
        <w:tab/>
      </w:r>
      <w:r>
        <w:rPr>
          <w:i w:val="0"/>
          <w:iCs w:val="0"/>
        </w:rPr>
        <w:fldChar w:fldCharType="begin"/>
      </w:r>
      <w:r>
        <w:rPr>
          <w:i w:val="0"/>
          <w:iCs w:val="0"/>
        </w:rPr>
        <w:instrText xml:space="preserve"> PAGEREF _Toc5529 \h </w:instrText>
      </w:r>
      <w:r>
        <w:rPr>
          <w:i w:val="0"/>
          <w:iCs w:val="0"/>
        </w:rPr>
        <w:fldChar w:fldCharType="separate"/>
      </w:r>
      <w:r>
        <w:rPr>
          <w:i w:val="0"/>
          <w:iCs w:val="0"/>
        </w:rPr>
        <w:t>10</w:t>
      </w:r>
      <w:r>
        <w:rPr>
          <w:i w:val="0"/>
          <w:iCs w:val="0"/>
        </w:rPr>
        <w:fldChar w:fldCharType="end"/>
      </w:r>
      <w:r>
        <w:rPr>
          <w:rFonts w:hint="eastAsia" w:ascii="仿宋" w:hAnsi="仿宋" w:eastAsia="仿宋" w:cs="仿宋"/>
          <w:bCs w:val="0"/>
          <w:i w:val="0"/>
          <w:iCs w:val="0"/>
          <w:szCs w:val="24"/>
          <w:highlight w:val="none"/>
        </w:rPr>
        <w:fldChar w:fldCharType="end"/>
      </w:r>
    </w:p>
    <w:p w14:paraId="51A2178C">
      <w:pPr>
        <w:pStyle w:val="33"/>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_Toc9445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val="0"/>
          <w:i w:val="0"/>
          <w:iCs w:val="0"/>
          <w:kern w:val="2"/>
          <w:highlight w:val="none"/>
        </w:rPr>
        <w:t>第三章  投标文件的编制</w:t>
      </w:r>
      <w:r>
        <w:rPr>
          <w:i w:val="0"/>
          <w:iCs w:val="0"/>
        </w:rPr>
        <w:tab/>
      </w:r>
      <w:r>
        <w:rPr>
          <w:i w:val="0"/>
          <w:iCs w:val="0"/>
        </w:rPr>
        <w:fldChar w:fldCharType="begin"/>
      </w:r>
      <w:r>
        <w:rPr>
          <w:i w:val="0"/>
          <w:iCs w:val="0"/>
        </w:rPr>
        <w:instrText xml:space="preserve"> PAGEREF _Toc9445 \h </w:instrText>
      </w:r>
      <w:r>
        <w:rPr>
          <w:i w:val="0"/>
          <w:iCs w:val="0"/>
        </w:rPr>
        <w:fldChar w:fldCharType="separate"/>
      </w:r>
      <w:r>
        <w:rPr>
          <w:i w:val="0"/>
          <w:iCs w:val="0"/>
        </w:rPr>
        <w:t>12</w:t>
      </w:r>
      <w:r>
        <w:rPr>
          <w:i w:val="0"/>
          <w:iCs w:val="0"/>
        </w:rPr>
        <w:fldChar w:fldCharType="end"/>
      </w:r>
      <w:r>
        <w:rPr>
          <w:rFonts w:hint="eastAsia" w:ascii="仿宋" w:hAnsi="仿宋" w:eastAsia="仿宋" w:cs="仿宋"/>
          <w:bCs w:val="0"/>
          <w:i w:val="0"/>
          <w:iCs w:val="0"/>
          <w:szCs w:val="24"/>
          <w:highlight w:val="none"/>
        </w:rPr>
        <w:fldChar w:fldCharType="end"/>
      </w:r>
    </w:p>
    <w:p w14:paraId="328716EE">
      <w:pPr>
        <w:pStyle w:val="33"/>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_Toc21462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val="0"/>
          <w:i w:val="0"/>
          <w:iCs w:val="0"/>
          <w:kern w:val="2"/>
          <w:highlight w:val="none"/>
        </w:rPr>
        <w:t>第四章  投标文件的递交</w:t>
      </w:r>
      <w:r>
        <w:rPr>
          <w:i w:val="0"/>
          <w:iCs w:val="0"/>
        </w:rPr>
        <w:tab/>
      </w:r>
      <w:r>
        <w:rPr>
          <w:i w:val="0"/>
          <w:iCs w:val="0"/>
        </w:rPr>
        <w:fldChar w:fldCharType="begin"/>
      </w:r>
      <w:r>
        <w:rPr>
          <w:i w:val="0"/>
          <w:iCs w:val="0"/>
        </w:rPr>
        <w:instrText xml:space="preserve"> PAGEREF _Toc21462 \h </w:instrText>
      </w:r>
      <w:r>
        <w:rPr>
          <w:i w:val="0"/>
          <w:iCs w:val="0"/>
        </w:rPr>
        <w:fldChar w:fldCharType="separate"/>
      </w:r>
      <w:r>
        <w:rPr>
          <w:i w:val="0"/>
          <w:iCs w:val="0"/>
        </w:rPr>
        <w:t>14</w:t>
      </w:r>
      <w:r>
        <w:rPr>
          <w:i w:val="0"/>
          <w:iCs w:val="0"/>
        </w:rPr>
        <w:fldChar w:fldCharType="end"/>
      </w:r>
      <w:r>
        <w:rPr>
          <w:rFonts w:hint="eastAsia" w:ascii="仿宋" w:hAnsi="仿宋" w:eastAsia="仿宋" w:cs="仿宋"/>
          <w:bCs w:val="0"/>
          <w:i w:val="0"/>
          <w:iCs w:val="0"/>
          <w:szCs w:val="24"/>
          <w:highlight w:val="none"/>
        </w:rPr>
        <w:fldChar w:fldCharType="end"/>
      </w:r>
    </w:p>
    <w:p w14:paraId="2EE3037B">
      <w:pPr>
        <w:pStyle w:val="33"/>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_Toc2165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val="0"/>
          <w:i w:val="0"/>
          <w:iCs w:val="0"/>
          <w:kern w:val="2"/>
          <w:highlight w:val="none"/>
        </w:rPr>
        <w:t>第五章  开标</w:t>
      </w:r>
      <w:r>
        <w:rPr>
          <w:i w:val="0"/>
          <w:iCs w:val="0"/>
        </w:rPr>
        <w:tab/>
      </w:r>
      <w:r>
        <w:rPr>
          <w:i w:val="0"/>
          <w:iCs w:val="0"/>
        </w:rPr>
        <w:fldChar w:fldCharType="begin"/>
      </w:r>
      <w:r>
        <w:rPr>
          <w:i w:val="0"/>
          <w:iCs w:val="0"/>
        </w:rPr>
        <w:instrText xml:space="preserve"> PAGEREF _Toc2165 \h </w:instrText>
      </w:r>
      <w:r>
        <w:rPr>
          <w:i w:val="0"/>
          <w:iCs w:val="0"/>
        </w:rPr>
        <w:fldChar w:fldCharType="separate"/>
      </w:r>
      <w:r>
        <w:rPr>
          <w:i w:val="0"/>
          <w:iCs w:val="0"/>
        </w:rPr>
        <w:t>15</w:t>
      </w:r>
      <w:r>
        <w:rPr>
          <w:i w:val="0"/>
          <w:iCs w:val="0"/>
        </w:rPr>
        <w:fldChar w:fldCharType="end"/>
      </w:r>
      <w:r>
        <w:rPr>
          <w:rFonts w:hint="eastAsia" w:ascii="仿宋" w:hAnsi="仿宋" w:eastAsia="仿宋" w:cs="仿宋"/>
          <w:bCs w:val="0"/>
          <w:i w:val="0"/>
          <w:iCs w:val="0"/>
          <w:szCs w:val="24"/>
          <w:highlight w:val="none"/>
        </w:rPr>
        <w:fldChar w:fldCharType="end"/>
      </w:r>
    </w:p>
    <w:p w14:paraId="4D840384">
      <w:pPr>
        <w:pStyle w:val="33"/>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_Toc24181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val="0"/>
          <w:i w:val="0"/>
          <w:iCs w:val="0"/>
          <w:kern w:val="2"/>
          <w:highlight w:val="none"/>
        </w:rPr>
        <w:t>第六章  评标</w:t>
      </w:r>
      <w:r>
        <w:rPr>
          <w:i w:val="0"/>
          <w:iCs w:val="0"/>
        </w:rPr>
        <w:tab/>
      </w:r>
      <w:r>
        <w:rPr>
          <w:i w:val="0"/>
          <w:iCs w:val="0"/>
        </w:rPr>
        <w:fldChar w:fldCharType="begin"/>
      </w:r>
      <w:r>
        <w:rPr>
          <w:i w:val="0"/>
          <w:iCs w:val="0"/>
        </w:rPr>
        <w:instrText xml:space="preserve"> PAGEREF _Toc24181 \h </w:instrText>
      </w:r>
      <w:r>
        <w:rPr>
          <w:i w:val="0"/>
          <w:iCs w:val="0"/>
        </w:rPr>
        <w:fldChar w:fldCharType="separate"/>
      </w:r>
      <w:r>
        <w:rPr>
          <w:i w:val="0"/>
          <w:iCs w:val="0"/>
        </w:rPr>
        <w:t>16</w:t>
      </w:r>
      <w:r>
        <w:rPr>
          <w:i w:val="0"/>
          <w:iCs w:val="0"/>
        </w:rPr>
        <w:fldChar w:fldCharType="end"/>
      </w:r>
      <w:r>
        <w:rPr>
          <w:rFonts w:hint="eastAsia" w:ascii="仿宋" w:hAnsi="仿宋" w:eastAsia="仿宋" w:cs="仿宋"/>
          <w:bCs w:val="0"/>
          <w:i w:val="0"/>
          <w:iCs w:val="0"/>
          <w:szCs w:val="24"/>
          <w:highlight w:val="none"/>
        </w:rPr>
        <w:fldChar w:fldCharType="end"/>
      </w:r>
    </w:p>
    <w:p w14:paraId="3EF25A2B">
      <w:pPr>
        <w:pStyle w:val="33"/>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_Toc6217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val="0"/>
          <w:i w:val="0"/>
          <w:iCs w:val="0"/>
          <w:kern w:val="2"/>
          <w:highlight w:val="none"/>
        </w:rPr>
        <w:t>第七章  评审程序及评标方法</w:t>
      </w:r>
      <w:r>
        <w:rPr>
          <w:i w:val="0"/>
          <w:iCs w:val="0"/>
        </w:rPr>
        <w:tab/>
      </w:r>
      <w:r>
        <w:rPr>
          <w:i w:val="0"/>
          <w:iCs w:val="0"/>
        </w:rPr>
        <w:fldChar w:fldCharType="begin"/>
      </w:r>
      <w:r>
        <w:rPr>
          <w:i w:val="0"/>
          <w:iCs w:val="0"/>
        </w:rPr>
        <w:instrText xml:space="preserve"> PAGEREF _Toc6217 \h </w:instrText>
      </w:r>
      <w:r>
        <w:rPr>
          <w:i w:val="0"/>
          <w:iCs w:val="0"/>
        </w:rPr>
        <w:fldChar w:fldCharType="separate"/>
      </w:r>
      <w:r>
        <w:rPr>
          <w:i w:val="0"/>
          <w:iCs w:val="0"/>
        </w:rPr>
        <w:t>17</w:t>
      </w:r>
      <w:r>
        <w:rPr>
          <w:i w:val="0"/>
          <w:iCs w:val="0"/>
        </w:rPr>
        <w:fldChar w:fldCharType="end"/>
      </w:r>
      <w:r>
        <w:rPr>
          <w:rFonts w:hint="eastAsia" w:ascii="仿宋" w:hAnsi="仿宋" w:eastAsia="仿宋" w:cs="仿宋"/>
          <w:bCs w:val="0"/>
          <w:i w:val="0"/>
          <w:iCs w:val="0"/>
          <w:szCs w:val="24"/>
          <w:highlight w:val="none"/>
        </w:rPr>
        <w:fldChar w:fldCharType="end"/>
      </w:r>
    </w:p>
    <w:p w14:paraId="1BFF8C30">
      <w:pPr>
        <w:pStyle w:val="33"/>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_Toc12549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val="0"/>
          <w:i w:val="0"/>
          <w:iCs w:val="0"/>
          <w:kern w:val="2"/>
          <w:highlight w:val="none"/>
        </w:rPr>
        <w:t>第八章  公开招标失败的后续处理</w:t>
      </w:r>
      <w:r>
        <w:rPr>
          <w:i w:val="0"/>
          <w:iCs w:val="0"/>
        </w:rPr>
        <w:tab/>
      </w:r>
      <w:r>
        <w:rPr>
          <w:i w:val="0"/>
          <w:iCs w:val="0"/>
        </w:rPr>
        <w:fldChar w:fldCharType="begin"/>
      </w:r>
      <w:r>
        <w:rPr>
          <w:i w:val="0"/>
          <w:iCs w:val="0"/>
        </w:rPr>
        <w:instrText xml:space="preserve"> PAGEREF _Toc12549 \h </w:instrText>
      </w:r>
      <w:r>
        <w:rPr>
          <w:i w:val="0"/>
          <w:iCs w:val="0"/>
        </w:rPr>
        <w:fldChar w:fldCharType="separate"/>
      </w:r>
      <w:r>
        <w:rPr>
          <w:i w:val="0"/>
          <w:iCs w:val="0"/>
        </w:rPr>
        <w:t>21</w:t>
      </w:r>
      <w:r>
        <w:rPr>
          <w:i w:val="0"/>
          <w:iCs w:val="0"/>
        </w:rPr>
        <w:fldChar w:fldCharType="end"/>
      </w:r>
      <w:r>
        <w:rPr>
          <w:rFonts w:hint="eastAsia" w:ascii="仿宋" w:hAnsi="仿宋" w:eastAsia="仿宋" w:cs="仿宋"/>
          <w:bCs w:val="0"/>
          <w:i w:val="0"/>
          <w:iCs w:val="0"/>
          <w:szCs w:val="24"/>
          <w:highlight w:val="none"/>
        </w:rPr>
        <w:fldChar w:fldCharType="end"/>
      </w:r>
    </w:p>
    <w:p w14:paraId="092FAD09">
      <w:pPr>
        <w:pStyle w:val="33"/>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_Toc26392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val="0"/>
          <w:i w:val="0"/>
          <w:iCs w:val="0"/>
          <w:kern w:val="2"/>
          <w:highlight w:val="none"/>
        </w:rPr>
        <w:t>第九章  合同的授予</w:t>
      </w:r>
      <w:r>
        <w:rPr>
          <w:i w:val="0"/>
          <w:iCs w:val="0"/>
        </w:rPr>
        <w:tab/>
      </w:r>
      <w:r>
        <w:rPr>
          <w:i w:val="0"/>
          <w:iCs w:val="0"/>
        </w:rPr>
        <w:fldChar w:fldCharType="begin"/>
      </w:r>
      <w:r>
        <w:rPr>
          <w:i w:val="0"/>
          <w:iCs w:val="0"/>
        </w:rPr>
        <w:instrText xml:space="preserve"> PAGEREF _Toc26392 \h </w:instrText>
      </w:r>
      <w:r>
        <w:rPr>
          <w:i w:val="0"/>
          <w:iCs w:val="0"/>
        </w:rPr>
        <w:fldChar w:fldCharType="separate"/>
      </w:r>
      <w:r>
        <w:rPr>
          <w:i w:val="0"/>
          <w:iCs w:val="0"/>
        </w:rPr>
        <w:t>24</w:t>
      </w:r>
      <w:r>
        <w:rPr>
          <w:i w:val="0"/>
          <w:iCs w:val="0"/>
        </w:rPr>
        <w:fldChar w:fldCharType="end"/>
      </w:r>
      <w:r>
        <w:rPr>
          <w:rFonts w:hint="eastAsia" w:ascii="仿宋" w:hAnsi="仿宋" w:eastAsia="仿宋" w:cs="仿宋"/>
          <w:bCs w:val="0"/>
          <w:i w:val="0"/>
          <w:iCs w:val="0"/>
          <w:szCs w:val="24"/>
          <w:highlight w:val="none"/>
        </w:rPr>
        <w:fldChar w:fldCharType="end"/>
      </w:r>
    </w:p>
    <w:p w14:paraId="08AF2A93">
      <w:pPr>
        <w:pStyle w:val="29"/>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_Toc2872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i w:val="0"/>
          <w:iCs w:val="0"/>
          <w:highlight w:val="none"/>
        </w:rPr>
        <w:t>第二册</w:t>
      </w:r>
      <w:r>
        <w:rPr>
          <w:rFonts w:hint="eastAsia" w:ascii="仿宋" w:hAnsi="仿宋" w:eastAsia="仿宋" w:cs="仿宋"/>
          <w:i w:val="0"/>
          <w:iCs w:val="0"/>
          <w:highlight w:val="none"/>
          <w:lang w:val="en-US" w:eastAsia="zh-CN"/>
        </w:rPr>
        <w:t xml:space="preserve"> </w:t>
      </w:r>
      <w:r>
        <w:rPr>
          <w:rFonts w:hint="eastAsia" w:ascii="仿宋" w:hAnsi="仿宋" w:eastAsia="仿宋" w:cs="仿宋"/>
          <w:i w:val="0"/>
          <w:iCs w:val="0"/>
          <w:highlight w:val="none"/>
        </w:rPr>
        <w:t>专用条款</w:t>
      </w:r>
      <w:r>
        <w:rPr>
          <w:i w:val="0"/>
          <w:iCs w:val="0"/>
        </w:rPr>
        <w:tab/>
      </w:r>
      <w:r>
        <w:rPr>
          <w:i w:val="0"/>
          <w:iCs w:val="0"/>
        </w:rPr>
        <w:fldChar w:fldCharType="begin"/>
      </w:r>
      <w:r>
        <w:rPr>
          <w:i w:val="0"/>
          <w:iCs w:val="0"/>
        </w:rPr>
        <w:instrText xml:space="preserve"> PAGEREF _Toc2872 \h </w:instrText>
      </w:r>
      <w:r>
        <w:rPr>
          <w:i w:val="0"/>
          <w:iCs w:val="0"/>
        </w:rPr>
        <w:fldChar w:fldCharType="separate"/>
      </w:r>
      <w:r>
        <w:rPr>
          <w:i w:val="0"/>
          <w:iCs w:val="0"/>
        </w:rPr>
        <w:t>29</w:t>
      </w:r>
      <w:r>
        <w:rPr>
          <w:i w:val="0"/>
          <w:iCs w:val="0"/>
        </w:rPr>
        <w:fldChar w:fldCharType="end"/>
      </w:r>
      <w:r>
        <w:rPr>
          <w:rFonts w:hint="eastAsia" w:ascii="仿宋" w:hAnsi="仿宋" w:eastAsia="仿宋" w:cs="仿宋"/>
          <w:bCs w:val="0"/>
          <w:i w:val="0"/>
          <w:iCs w:val="0"/>
          <w:szCs w:val="24"/>
          <w:highlight w:val="none"/>
        </w:rPr>
        <w:fldChar w:fldCharType="end"/>
      </w:r>
    </w:p>
    <w:p w14:paraId="4AA773D9">
      <w:pPr>
        <w:pStyle w:val="33"/>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_Toc13888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highlight w:val="none"/>
        </w:rPr>
        <w:t>第一章</w:t>
      </w:r>
      <w:r>
        <w:rPr>
          <w:rFonts w:hint="eastAsia" w:ascii="仿宋" w:hAnsi="仿宋" w:eastAsia="仿宋" w:cs="仿宋"/>
          <w:bCs/>
          <w:i w:val="0"/>
          <w:iCs w:val="0"/>
          <w:highlight w:val="none"/>
          <w:lang w:val="en-US" w:eastAsia="zh-CN"/>
        </w:rPr>
        <w:t xml:space="preserve">  </w:t>
      </w:r>
      <w:r>
        <w:rPr>
          <w:rFonts w:hint="eastAsia" w:ascii="仿宋" w:hAnsi="仿宋" w:eastAsia="仿宋" w:cs="仿宋"/>
          <w:bCs/>
          <w:i w:val="0"/>
          <w:iCs w:val="0"/>
          <w:highlight w:val="none"/>
        </w:rPr>
        <w:t>招标公告</w:t>
      </w:r>
      <w:r>
        <w:rPr>
          <w:i w:val="0"/>
          <w:iCs w:val="0"/>
        </w:rPr>
        <w:tab/>
      </w:r>
      <w:r>
        <w:rPr>
          <w:i w:val="0"/>
          <w:iCs w:val="0"/>
        </w:rPr>
        <w:fldChar w:fldCharType="begin"/>
      </w:r>
      <w:r>
        <w:rPr>
          <w:i w:val="0"/>
          <w:iCs w:val="0"/>
        </w:rPr>
        <w:instrText xml:space="preserve"> PAGEREF _Toc13888 \h </w:instrText>
      </w:r>
      <w:r>
        <w:rPr>
          <w:i w:val="0"/>
          <w:iCs w:val="0"/>
        </w:rPr>
        <w:fldChar w:fldCharType="separate"/>
      </w:r>
      <w:r>
        <w:rPr>
          <w:i w:val="0"/>
          <w:iCs w:val="0"/>
        </w:rPr>
        <w:t>30</w:t>
      </w:r>
      <w:r>
        <w:rPr>
          <w:i w:val="0"/>
          <w:iCs w:val="0"/>
        </w:rPr>
        <w:fldChar w:fldCharType="end"/>
      </w:r>
      <w:r>
        <w:rPr>
          <w:rFonts w:hint="eastAsia" w:ascii="仿宋" w:hAnsi="仿宋" w:eastAsia="仿宋" w:cs="仿宋"/>
          <w:bCs w:val="0"/>
          <w:i w:val="0"/>
          <w:iCs w:val="0"/>
          <w:szCs w:val="24"/>
          <w:highlight w:val="none"/>
        </w:rPr>
        <w:fldChar w:fldCharType="end"/>
      </w:r>
    </w:p>
    <w:p w14:paraId="0BFDE41F">
      <w:pPr>
        <w:pStyle w:val="33"/>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_Toc28574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highlight w:val="none"/>
        </w:rPr>
        <w:t>第二章</w:t>
      </w:r>
      <w:r>
        <w:rPr>
          <w:rFonts w:hint="eastAsia" w:ascii="仿宋" w:hAnsi="仿宋" w:eastAsia="仿宋" w:cs="仿宋"/>
          <w:bCs/>
          <w:i w:val="0"/>
          <w:iCs w:val="0"/>
          <w:highlight w:val="none"/>
          <w:lang w:val="en-US" w:eastAsia="zh-CN"/>
        </w:rPr>
        <w:t xml:space="preserve">  </w:t>
      </w:r>
      <w:r>
        <w:rPr>
          <w:rFonts w:hint="eastAsia" w:ascii="仿宋" w:hAnsi="仿宋" w:eastAsia="仿宋" w:cs="仿宋"/>
          <w:bCs/>
          <w:i w:val="0"/>
          <w:iCs w:val="0"/>
          <w:highlight w:val="none"/>
        </w:rPr>
        <w:t>关键信息</w:t>
      </w:r>
      <w:r>
        <w:rPr>
          <w:i w:val="0"/>
          <w:iCs w:val="0"/>
        </w:rPr>
        <w:tab/>
      </w:r>
      <w:r>
        <w:rPr>
          <w:i w:val="0"/>
          <w:iCs w:val="0"/>
        </w:rPr>
        <w:fldChar w:fldCharType="begin"/>
      </w:r>
      <w:r>
        <w:rPr>
          <w:i w:val="0"/>
          <w:iCs w:val="0"/>
        </w:rPr>
        <w:instrText xml:space="preserve"> PAGEREF _Toc28574 \h </w:instrText>
      </w:r>
      <w:r>
        <w:rPr>
          <w:i w:val="0"/>
          <w:iCs w:val="0"/>
        </w:rPr>
        <w:fldChar w:fldCharType="separate"/>
      </w:r>
      <w:r>
        <w:rPr>
          <w:i w:val="0"/>
          <w:iCs w:val="0"/>
        </w:rPr>
        <w:t>35</w:t>
      </w:r>
      <w:r>
        <w:rPr>
          <w:i w:val="0"/>
          <w:iCs w:val="0"/>
        </w:rPr>
        <w:fldChar w:fldCharType="end"/>
      </w:r>
      <w:r>
        <w:rPr>
          <w:rFonts w:hint="eastAsia" w:ascii="仿宋" w:hAnsi="仿宋" w:eastAsia="仿宋" w:cs="仿宋"/>
          <w:bCs w:val="0"/>
          <w:i w:val="0"/>
          <w:iCs w:val="0"/>
          <w:szCs w:val="24"/>
          <w:highlight w:val="none"/>
        </w:rPr>
        <w:fldChar w:fldCharType="end"/>
      </w:r>
    </w:p>
    <w:p w14:paraId="7F584DF1">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_Toc21009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szCs w:val="28"/>
          <w:highlight w:val="none"/>
        </w:rPr>
        <w:t>表一、投标须知前附表</w:t>
      </w:r>
      <w:r>
        <w:rPr>
          <w:i w:val="0"/>
          <w:iCs w:val="0"/>
        </w:rPr>
        <w:tab/>
      </w:r>
      <w:r>
        <w:rPr>
          <w:i w:val="0"/>
          <w:iCs w:val="0"/>
        </w:rPr>
        <w:fldChar w:fldCharType="begin"/>
      </w:r>
      <w:r>
        <w:rPr>
          <w:i w:val="0"/>
          <w:iCs w:val="0"/>
        </w:rPr>
        <w:instrText xml:space="preserve"> PAGEREF _Toc21009 \h </w:instrText>
      </w:r>
      <w:r>
        <w:rPr>
          <w:i w:val="0"/>
          <w:iCs w:val="0"/>
        </w:rPr>
        <w:fldChar w:fldCharType="separate"/>
      </w:r>
      <w:r>
        <w:rPr>
          <w:i w:val="0"/>
          <w:iCs w:val="0"/>
        </w:rPr>
        <w:t>35</w:t>
      </w:r>
      <w:r>
        <w:rPr>
          <w:i w:val="0"/>
          <w:iCs w:val="0"/>
        </w:rPr>
        <w:fldChar w:fldCharType="end"/>
      </w:r>
      <w:r>
        <w:rPr>
          <w:rFonts w:hint="eastAsia" w:ascii="仿宋" w:hAnsi="仿宋" w:eastAsia="仿宋" w:cs="仿宋"/>
          <w:bCs w:val="0"/>
          <w:i w:val="0"/>
          <w:iCs w:val="0"/>
          <w:szCs w:val="24"/>
          <w:highlight w:val="none"/>
        </w:rPr>
        <w:fldChar w:fldCharType="end"/>
      </w:r>
    </w:p>
    <w:p w14:paraId="2761F380">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_Toc1349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szCs w:val="28"/>
          <w:highlight w:val="none"/>
        </w:rPr>
        <w:t>表二、投标文件初审表</w:t>
      </w:r>
      <w:r>
        <w:rPr>
          <w:i w:val="0"/>
          <w:iCs w:val="0"/>
        </w:rPr>
        <w:tab/>
      </w:r>
      <w:r>
        <w:rPr>
          <w:i w:val="0"/>
          <w:iCs w:val="0"/>
        </w:rPr>
        <w:fldChar w:fldCharType="begin"/>
      </w:r>
      <w:r>
        <w:rPr>
          <w:i w:val="0"/>
          <w:iCs w:val="0"/>
        </w:rPr>
        <w:instrText xml:space="preserve"> PAGEREF _Toc1349 \h </w:instrText>
      </w:r>
      <w:r>
        <w:rPr>
          <w:i w:val="0"/>
          <w:iCs w:val="0"/>
        </w:rPr>
        <w:fldChar w:fldCharType="separate"/>
      </w:r>
      <w:r>
        <w:rPr>
          <w:i w:val="0"/>
          <w:iCs w:val="0"/>
        </w:rPr>
        <w:t>36</w:t>
      </w:r>
      <w:r>
        <w:rPr>
          <w:i w:val="0"/>
          <w:iCs w:val="0"/>
        </w:rPr>
        <w:fldChar w:fldCharType="end"/>
      </w:r>
      <w:r>
        <w:rPr>
          <w:rFonts w:hint="eastAsia" w:ascii="仿宋" w:hAnsi="仿宋" w:eastAsia="仿宋" w:cs="仿宋"/>
          <w:bCs w:val="0"/>
          <w:i w:val="0"/>
          <w:iCs w:val="0"/>
          <w:szCs w:val="24"/>
          <w:highlight w:val="none"/>
        </w:rPr>
        <w:fldChar w:fldCharType="end"/>
      </w:r>
    </w:p>
    <w:p w14:paraId="51FC2D2A">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_Toc2417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kern w:val="0"/>
          <w:szCs w:val="28"/>
          <w:highlight w:val="none"/>
        </w:rPr>
        <w:t>实质性响应条款</w:t>
      </w:r>
      <w:r>
        <w:rPr>
          <w:i w:val="0"/>
          <w:iCs w:val="0"/>
        </w:rPr>
        <w:tab/>
      </w:r>
      <w:r>
        <w:rPr>
          <w:i w:val="0"/>
          <w:iCs w:val="0"/>
        </w:rPr>
        <w:fldChar w:fldCharType="begin"/>
      </w:r>
      <w:r>
        <w:rPr>
          <w:i w:val="0"/>
          <w:iCs w:val="0"/>
        </w:rPr>
        <w:instrText xml:space="preserve"> PAGEREF _Toc2417 \h </w:instrText>
      </w:r>
      <w:r>
        <w:rPr>
          <w:i w:val="0"/>
          <w:iCs w:val="0"/>
        </w:rPr>
        <w:fldChar w:fldCharType="separate"/>
      </w:r>
      <w:r>
        <w:rPr>
          <w:i w:val="0"/>
          <w:iCs w:val="0"/>
        </w:rPr>
        <w:t>37</w:t>
      </w:r>
      <w:r>
        <w:rPr>
          <w:i w:val="0"/>
          <w:iCs w:val="0"/>
        </w:rPr>
        <w:fldChar w:fldCharType="end"/>
      </w:r>
      <w:r>
        <w:rPr>
          <w:rFonts w:hint="eastAsia" w:ascii="仿宋" w:hAnsi="仿宋" w:eastAsia="仿宋" w:cs="仿宋"/>
          <w:bCs w:val="0"/>
          <w:i w:val="0"/>
          <w:iCs w:val="0"/>
          <w:szCs w:val="24"/>
          <w:highlight w:val="none"/>
        </w:rPr>
        <w:fldChar w:fldCharType="end"/>
      </w:r>
    </w:p>
    <w:p w14:paraId="099528BD">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_Toc23359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szCs w:val="28"/>
          <w:highlight w:val="none"/>
        </w:rPr>
        <w:t>表三、评标信息</w:t>
      </w:r>
      <w:r>
        <w:rPr>
          <w:i w:val="0"/>
          <w:iCs w:val="0"/>
        </w:rPr>
        <w:tab/>
      </w:r>
      <w:r>
        <w:rPr>
          <w:i w:val="0"/>
          <w:iCs w:val="0"/>
        </w:rPr>
        <w:fldChar w:fldCharType="begin"/>
      </w:r>
      <w:r>
        <w:rPr>
          <w:i w:val="0"/>
          <w:iCs w:val="0"/>
        </w:rPr>
        <w:instrText xml:space="preserve"> PAGEREF _Toc23359 \h </w:instrText>
      </w:r>
      <w:r>
        <w:rPr>
          <w:i w:val="0"/>
          <w:iCs w:val="0"/>
        </w:rPr>
        <w:fldChar w:fldCharType="separate"/>
      </w:r>
      <w:r>
        <w:rPr>
          <w:i w:val="0"/>
          <w:iCs w:val="0"/>
        </w:rPr>
        <w:t>38</w:t>
      </w:r>
      <w:r>
        <w:rPr>
          <w:i w:val="0"/>
          <w:iCs w:val="0"/>
        </w:rPr>
        <w:fldChar w:fldCharType="end"/>
      </w:r>
      <w:r>
        <w:rPr>
          <w:rFonts w:hint="eastAsia" w:ascii="仿宋" w:hAnsi="仿宋" w:eastAsia="仿宋" w:cs="仿宋"/>
          <w:bCs w:val="0"/>
          <w:i w:val="0"/>
          <w:iCs w:val="0"/>
          <w:szCs w:val="24"/>
          <w:highlight w:val="none"/>
        </w:rPr>
        <w:fldChar w:fldCharType="end"/>
      </w:r>
    </w:p>
    <w:p w14:paraId="3FD7CA1A">
      <w:pPr>
        <w:pStyle w:val="33"/>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_Toc25554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i w:val="0"/>
          <w:iCs w:val="0"/>
          <w:highlight w:val="none"/>
        </w:rPr>
        <w:t>第三章</w:t>
      </w:r>
      <w:r>
        <w:rPr>
          <w:rFonts w:hint="eastAsia" w:ascii="仿宋" w:hAnsi="仿宋" w:eastAsia="仿宋" w:cs="仿宋"/>
          <w:i w:val="0"/>
          <w:iCs w:val="0"/>
          <w:highlight w:val="none"/>
          <w:lang w:val="en-US" w:eastAsia="zh-CN"/>
        </w:rPr>
        <w:t xml:space="preserve">  </w:t>
      </w:r>
      <w:r>
        <w:rPr>
          <w:rFonts w:hint="eastAsia" w:ascii="仿宋" w:hAnsi="仿宋" w:eastAsia="仿宋" w:cs="仿宋"/>
          <w:i w:val="0"/>
          <w:iCs w:val="0"/>
          <w:highlight w:val="none"/>
        </w:rPr>
        <w:t>招标项目需求</w:t>
      </w:r>
      <w:r>
        <w:rPr>
          <w:i w:val="0"/>
          <w:iCs w:val="0"/>
        </w:rPr>
        <w:tab/>
      </w:r>
      <w:r>
        <w:rPr>
          <w:i w:val="0"/>
          <w:iCs w:val="0"/>
        </w:rPr>
        <w:fldChar w:fldCharType="begin"/>
      </w:r>
      <w:r>
        <w:rPr>
          <w:i w:val="0"/>
          <w:iCs w:val="0"/>
        </w:rPr>
        <w:instrText xml:space="preserve"> PAGEREF _Toc25554 \h </w:instrText>
      </w:r>
      <w:r>
        <w:rPr>
          <w:i w:val="0"/>
          <w:iCs w:val="0"/>
        </w:rPr>
        <w:fldChar w:fldCharType="separate"/>
      </w:r>
      <w:r>
        <w:rPr>
          <w:i w:val="0"/>
          <w:iCs w:val="0"/>
        </w:rPr>
        <w:t>43</w:t>
      </w:r>
      <w:r>
        <w:rPr>
          <w:i w:val="0"/>
          <w:iCs w:val="0"/>
        </w:rPr>
        <w:fldChar w:fldCharType="end"/>
      </w:r>
      <w:r>
        <w:rPr>
          <w:rFonts w:hint="eastAsia" w:ascii="仿宋" w:hAnsi="仿宋" w:eastAsia="仿宋" w:cs="仿宋"/>
          <w:bCs w:val="0"/>
          <w:i w:val="0"/>
          <w:iCs w:val="0"/>
          <w:szCs w:val="24"/>
          <w:highlight w:val="none"/>
        </w:rPr>
        <w:fldChar w:fldCharType="end"/>
      </w:r>
    </w:p>
    <w:p w14:paraId="437C374A">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_Toc17749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i w:val="0"/>
          <w:iCs w:val="0"/>
          <w:szCs w:val="28"/>
          <w:highlight w:val="none"/>
        </w:rPr>
        <w:t>一、项目概况</w:t>
      </w:r>
      <w:r>
        <w:rPr>
          <w:i w:val="0"/>
          <w:iCs w:val="0"/>
        </w:rPr>
        <w:tab/>
      </w:r>
      <w:r>
        <w:rPr>
          <w:i w:val="0"/>
          <w:iCs w:val="0"/>
        </w:rPr>
        <w:fldChar w:fldCharType="begin"/>
      </w:r>
      <w:r>
        <w:rPr>
          <w:i w:val="0"/>
          <w:iCs w:val="0"/>
        </w:rPr>
        <w:instrText xml:space="preserve"> PAGEREF _Toc17749 \h </w:instrText>
      </w:r>
      <w:r>
        <w:rPr>
          <w:i w:val="0"/>
          <w:iCs w:val="0"/>
        </w:rPr>
        <w:fldChar w:fldCharType="separate"/>
      </w:r>
      <w:r>
        <w:rPr>
          <w:i w:val="0"/>
          <w:iCs w:val="0"/>
        </w:rPr>
        <w:t>45</w:t>
      </w:r>
      <w:r>
        <w:rPr>
          <w:i w:val="0"/>
          <w:iCs w:val="0"/>
        </w:rPr>
        <w:fldChar w:fldCharType="end"/>
      </w:r>
      <w:r>
        <w:rPr>
          <w:rFonts w:hint="eastAsia" w:ascii="仿宋" w:hAnsi="仿宋" w:eastAsia="仿宋" w:cs="仿宋"/>
          <w:bCs w:val="0"/>
          <w:i w:val="0"/>
          <w:iCs w:val="0"/>
          <w:szCs w:val="24"/>
          <w:highlight w:val="none"/>
        </w:rPr>
        <w:fldChar w:fldCharType="end"/>
      </w:r>
    </w:p>
    <w:p w14:paraId="722568CC">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_Toc3973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i w:val="0"/>
          <w:iCs w:val="0"/>
          <w:szCs w:val="28"/>
          <w:highlight w:val="none"/>
          <w:lang w:eastAsia="zh-CN"/>
        </w:rPr>
        <w:t>二、</w:t>
      </w:r>
      <w:r>
        <w:rPr>
          <w:rFonts w:hint="eastAsia" w:ascii="仿宋" w:hAnsi="仿宋" w:eastAsia="仿宋" w:cs="仿宋"/>
          <w:i w:val="0"/>
          <w:iCs w:val="0"/>
          <w:szCs w:val="28"/>
          <w:highlight w:val="none"/>
        </w:rPr>
        <w:t>项目服务内容及服务要求</w:t>
      </w:r>
      <w:r>
        <w:rPr>
          <w:i w:val="0"/>
          <w:iCs w:val="0"/>
        </w:rPr>
        <w:tab/>
      </w:r>
      <w:r>
        <w:rPr>
          <w:i w:val="0"/>
          <w:iCs w:val="0"/>
        </w:rPr>
        <w:fldChar w:fldCharType="begin"/>
      </w:r>
      <w:r>
        <w:rPr>
          <w:i w:val="0"/>
          <w:iCs w:val="0"/>
        </w:rPr>
        <w:instrText xml:space="preserve"> PAGEREF _Toc3973 \h </w:instrText>
      </w:r>
      <w:r>
        <w:rPr>
          <w:i w:val="0"/>
          <w:iCs w:val="0"/>
        </w:rPr>
        <w:fldChar w:fldCharType="separate"/>
      </w:r>
      <w:r>
        <w:rPr>
          <w:i w:val="0"/>
          <w:iCs w:val="0"/>
        </w:rPr>
        <w:t>45</w:t>
      </w:r>
      <w:r>
        <w:rPr>
          <w:i w:val="0"/>
          <w:iCs w:val="0"/>
        </w:rPr>
        <w:fldChar w:fldCharType="end"/>
      </w:r>
      <w:r>
        <w:rPr>
          <w:rFonts w:hint="eastAsia" w:ascii="仿宋" w:hAnsi="仿宋" w:eastAsia="仿宋" w:cs="仿宋"/>
          <w:bCs w:val="0"/>
          <w:i w:val="0"/>
          <w:iCs w:val="0"/>
          <w:szCs w:val="24"/>
          <w:highlight w:val="none"/>
        </w:rPr>
        <w:fldChar w:fldCharType="end"/>
      </w:r>
    </w:p>
    <w:p w14:paraId="21FB4C2D">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_Toc893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i w:val="0"/>
          <w:iCs w:val="0"/>
          <w:szCs w:val="28"/>
          <w:highlight w:val="none"/>
        </w:rPr>
        <w:t>三、商务要求</w:t>
      </w:r>
      <w:r>
        <w:rPr>
          <w:i w:val="0"/>
          <w:iCs w:val="0"/>
        </w:rPr>
        <w:tab/>
      </w:r>
      <w:r>
        <w:rPr>
          <w:i w:val="0"/>
          <w:iCs w:val="0"/>
        </w:rPr>
        <w:fldChar w:fldCharType="begin"/>
      </w:r>
      <w:r>
        <w:rPr>
          <w:i w:val="0"/>
          <w:iCs w:val="0"/>
        </w:rPr>
        <w:instrText xml:space="preserve"> PAGEREF _Toc893 \h </w:instrText>
      </w:r>
      <w:r>
        <w:rPr>
          <w:i w:val="0"/>
          <w:iCs w:val="0"/>
        </w:rPr>
        <w:fldChar w:fldCharType="separate"/>
      </w:r>
      <w:r>
        <w:rPr>
          <w:i w:val="0"/>
          <w:iCs w:val="0"/>
        </w:rPr>
        <w:t>47</w:t>
      </w:r>
      <w:r>
        <w:rPr>
          <w:i w:val="0"/>
          <w:iCs w:val="0"/>
        </w:rPr>
        <w:fldChar w:fldCharType="end"/>
      </w:r>
      <w:r>
        <w:rPr>
          <w:rFonts w:hint="eastAsia" w:ascii="仿宋" w:hAnsi="仿宋" w:eastAsia="仿宋" w:cs="仿宋"/>
          <w:bCs w:val="0"/>
          <w:i w:val="0"/>
          <w:iCs w:val="0"/>
          <w:szCs w:val="24"/>
          <w:highlight w:val="none"/>
        </w:rPr>
        <w:fldChar w:fldCharType="end"/>
      </w:r>
    </w:p>
    <w:p w14:paraId="21DD0B0E">
      <w:pPr>
        <w:pStyle w:val="33"/>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_Toc5101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i w:val="0"/>
          <w:iCs w:val="0"/>
          <w:highlight w:val="none"/>
        </w:rPr>
        <w:t>第四章</w:t>
      </w:r>
      <w:r>
        <w:rPr>
          <w:rFonts w:hint="eastAsia" w:ascii="仿宋" w:hAnsi="仿宋" w:eastAsia="仿宋" w:cs="仿宋"/>
          <w:i w:val="0"/>
          <w:iCs w:val="0"/>
          <w:highlight w:val="none"/>
          <w:lang w:val="en-US" w:eastAsia="zh-CN"/>
        </w:rPr>
        <w:t xml:space="preserve">  </w:t>
      </w:r>
      <w:r>
        <w:rPr>
          <w:rFonts w:hint="eastAsia" w:ascii="仿宋" w:hAnsi="仿宋" w:eastAsia="仿宋" w:cs="仿宋"/>
          <w:i w:val="0"/>
          <w:iCs w:val="0"/>
          <w:highlight w:val="none"/>
        </w:rPr>
        <w:t>合同条款及格式</w:t>
      </w:r>
      <w:r>
        <w:rPr>
          <w:i w:val="0"/>
          <w:iCs w:val="0"/>
        </w:rPr>
        <w:tab/>
      </w:r>
      <w:r>
        <w:rPr>
          <w:i w:val="0"/>
          <w:iCs w:val="0"/>
        </w:rPr>
        <w:fldChar w:fldCharType="begin"/>
      </w:r>
      <w:r>
        <w:rPr>
          <w:i w:val="0"/>
          <w:iCs w:val="0"/>
        </w:rPr>
        <w:instrText xml:space="preserve"> PAGEREF _Toc5101 \h </w:instrText>
      </w:r>
      <w:r>
        <w:rPr>
          <w:i w:val="0"/>
          <w:iCs w:val="0"/>
        </w:rPr>
        <w:fldChar w:fldCharType="separate"/>
      </w:r>
      <w:r>
        <w:rPr>
          <w:i w:val="0"/>
          <w:iCs w:val="0"/>
        </w:rPr>
        <w:t>50</w:t>
      </w:r>
      <w:r>
        <w:rPr>
          <w:i w:val="0"/>
          <w:iCs w:val="0"/>
        </w:rPr>
        <w:fldChar w:fldCharType="end"/>
      </w:r>
      <w:r>
        <w:rPr>
          <w:rFonts w:hint="eastAsia" w:ascii="仿宋" w:hAnsi="仿宋" w:eastAsia="仿宋" w:cs="仿宋"/>
          <w:bCs w:val="0"/>
          <w:i w:val="0"/>
          <w:iCs w:val="0"/>
          <w:szCs w:val="24"/>
          <w:highlight w:val="none"/>
        </w:rPr>
        <w:fldChar w:fldCharType="end"/>
      </w:r>
    </w:p>
    <w:p w14:paraId="6DDC7EB2">
      <w:pPr>
        <w:pStyle w:val="33"/>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_Toc12743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i w:val="0"/>
          <w:iCs w:val="0"/>
          <w:highlight w:val="none"/>
        </w:rPr>
        <w:t>第五章</w:t>
      </w:r>
      <w:r>
        <w:rPr>
          <w:rFonts w:hint="eastAsia" w:ascii="仿宋" w:hAnsi="仿宋" w:eastAsia="仿宋" w:cs="仿宋"/>
          <w:i w:val="0"/>
          <w:iCs w:val="0"/>
          <w:highlight w:val="none"/>
          <w:lang w:val="en-US" w:eastAsia="zh-CN"/>
        </w:rPr>
        <w:t xml:space="preserve">  </w:t>
      </w:r>
      <w:r>
        <w:rPr>
          <w:rFonts w:hint="eastAsia" w:ascii="仿宋" w:hAnsi="仿宋" w:eastAsia="仿宋" w:cs="仿宋"/>
          <w:i w:val="0"/>
          <w:iCs w:val="0"/>
          <w:highlight w:val="none"/>
        </w:rPr>
        <w:t>投标文件的格式、附件</w:t>
      </w:r>
      <w:r>
        <w:rPr>
          <w:i w:val="0"/>
          <w:iCs w:val="0"/>
        </w:rPr>
        <w:tab/>
      </w:r>
      <w:r>
        <w:rPr>
          <w:i w:val="0"/>
          <w:iCs w:val="0"/>
        </w:rPr>
        <w:fldChar w:fldCharType="begin"/>
      </w:r>
      <w:r>
        <w:rPr>
          <w:i w:val="0"/>
          <w:iCs w:val="0"/>
        </w:rPr>
        <w:instrText xml:space="preserve"> PAGEREF _Toc12743 \h </w:instrText>
      </w:r>
      <w:r>
        <w:rPr>
          <w:i w:val="0"/>
          <w:iCs w:val="0"/>
        </w:rPr>
        <w:fldChar w:fldCharType="separate"/>
      </w:r>
      <w:r>
        <w:rPr>
          <w:i w:val="0"/>
          <w:iCs w:val="0"/>
        </w:rPr>
        <w:t>60</w:t>
      </w:r>
      <w:r>
        <w:rPr>
          <w:i w:val="0"/>
          <w:iCs w:val="0"/>
        </w:rPr>
        <w:fldChar w:fldCharType="end"/>
      </w:r>
      <w:r>
        <w:rPr>
          <w:rFonts w:hint="eastAsia" w:ascii="仿宋" w:hAnsi="仿宋" w:eastAsia="仿宋" w:cs="仿宋"/>
          <w:bCs w:val="0"/>
          <w:i w:val="0"/>
          <w:iCs w:val="0"/>
          <w:szCs w:val="24"/>
          <w:highlight w:val="none"/>
        </w:rPr>
        <w:fldChar w:fldCharType="end"/>
      </w:r>
    </w:p>
    <w:p w14:paraId="4D38C230">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_Toc28203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szCs w:val="28"/>
          <w:highlight w:val="none"/>
        </w:rPr>
        <w:t>开标一览表</w:t>
      </w:r>
      <w:r>
        <w:rPr>
          <w:i w:val="0"/>
          <w:iCs w:val="0"/>
        </w:rPr>
        <w:tab/>
      </w:r>
      <w:r>
        <w:rPr>
          <w:i w:val="0"/>
          <w:iCs w:val="0"/>
        </w:rPr>
        <w:fldChar w:fldCharType="begin"/>
      </w:r>
      <w:r>
        <w:rPr>
          <w:i w:val="0"/>
          <w:iCs w:val="0"/>
        </w:rPr>
        <w:instrText xml:space="preserve"> PAGEREF _Toc28203 \h </w:instrText>
      </w:r>
      <w:r>
        <w:rPr>
          <w:i w:val="0"/>
          <w:iCs w:val="0"/>
        </w:rPr>
        <w:fldChar w:fldCharType="separate"/>
      </w:r>
      <w:r>
        <w:rPr>
          <w:i w:val="0"/>
          <w:iCs w:val="0"/>
        </w:rPr>
        <w:t>62</w:t>
      </w:r>
      <w:r>
        <w:rPr>
          <w:i w:val="0"/>
          <w:iCs w:val="0"/>
        </w:rPr>
        <w:fldChar w:fldCharType="end"/>
      </w:r>
      <w:r>
        <w:rPr>
          <w:rFonts w:hint="eastAsia" w:ascii="仿宋" w:hAnsi="仿宋" w:eastAsia="仿宋" w:cs="仿宋"/>
          <w:bCs w:val="0"/>
          <w:i w:val="0"/>
          <w:iCs w:val="0"/>
          <w:szCs w:val="24"/>
          <w:highlight w:val="none"/>
        </w:rPr>
        <w:fldChar w:fldCharType="end"/>
      </w:r>
    </w:p>
    <w:p w14:paraId="62BB62CE">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_Toc11480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szCs w:val="28"/>
          <w:highlight w:val="none"/>
        </w:rPr>
        <w:t>一、评标指引表</w:t>
      </w:r>
      <w:r>
        <w:rPr>
          <w:i w:val="0"/>
          <w:iCs w:val="0"/>
        </w:rPr>
        <w:tab/>
      </w:r>
      <w:r>
        <w:rPr>
          <w:i w:val="0"/>
          <w:iCs w:val="0"/>
        </w:rPr>
        <w:fldChar w:fldCharType="begin"/>
      </w:r>
      <w:r>
        <w:rPr>
          <w:i w:val="0"/>
          <w:iCs w:val="0"/>
        </w:rPr>
        <w:instrText xml:space="preserve"> PAGEREF _Toc11480 \h </w:instrText>
      </w:r>
      <w:r>
        <w:rPr>
          <w:i w:val="0"/>
          <w:iCs w:val="0"/>
        </w:rPr>
        <w:fldChar w:fldCharType="separate"/>
      </w:r>
      <w:r>
        <w:rPr>
          <w:i w:val="0"/>
          <w:iCs w:val="0"/>
        </w:rPr>
        <w:t>64</w:t>
      </w:r>
      <w:r>
        <w:rPr>
          <w:i w:val="0"/>
          <w:iCs w:val="0"/>
        </w:rPr>
        <w:fldChar w:fldCharType="end"/>
      </w:r>
      <w:r>
        <w:rPr>
          <w:rFonts w:hint="eastAsia" w:ascii="仿宋" w:hAnsi="仿宋" w:eastAsia="仿宋" w:cs="仿宋"/>
          <w:bCs w:val="0"/>
          <w:i w:val="0"/>
          <w:iCs w:val="0"/>
          <w:szCs w:val="24"/>
          <w:highlight w:val="none"/>
        </w:rPr>
        <w:fldChar w:fldCharType="end"/>
      </w:r>
    </w:p>
    <w:p w14:paraId="38040BAB">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_Toc13362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szCs w:val="28"/>
          <w:highlight w:val="none"/>
        </w:rPr>
        <w:t>二、开标一览表</w:t>
      </w:r>
      <w:r>
        <w:rPr>
          <w:i w:val="0"/>
          <w:iCs w:val="0"/>
        </w:rPr>
        <w:tab/>
      </w:r>
      <w:r>
        <w:rPr>
          <w:i w:val="0"/>
          <w:iCs w:val="0"/>
        </w:rPr>
        <w:fldChar w:fldCharType="begin"/>
      </w:r>
      <w:r>
        <w:rPr>
          <w:i w:val="0"/>
          <w:iCs w:val="0"/>
        </w:rPr>
        <w:instrText xml:space="preserve"> PAGEREF _Toc13362 \h </w:instrText>
      </w:r>
      <w:r>
        <w:rPr>
          <w:i w:val="0"/>
          <w:iCs w:val="0"/>
        </w:rPr>
        <w:fldChar w:fldCharType="separate"/>
      </w:r>
      <w:r>
        <w:rPr>
          <w:i w:val="0"/>
          <w:iCs w:val="0"/>
        </w:rPr>
        <w:t>66</w:t>
      </w:r>
      <w:r>
        <w:rPr>
          <w:i w:val="0"/>
          <w:iCs w:val="0"/>
        </w:rPr>
        <w:fldChar w:fldCharType="end"/>
      </w:r>
      <w:r>
        <w:rPr>
          <w:rFonts w:hint="eastAsia" w:ascii="仿宋" w:hAnsi="仿宋" w:eastAsia="仿宋" w:cs="仿宋"/>
          <w:bCs w:val="0"/>
          <w:i w:val="0"/>
          <w:iCs w:val="0"/>
          <w:szCs w:val="24"/>
          <w:highlight w:val="none"/>
        </w:rPr>
        <w:fldChar w:fldCharType="end"/>
      </w:r>
    </w:p>
    <w:p w14:paraId="4043F15F">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_Toc14135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szCs w:val="28"/>
          <w:highlight w:val="none"/>
          <w:lang w:eastAsia="zh-CN"/>
        </w:rPr>
        <w:t>三、投标函</w:t>
      </w:r>
      <w:r>
        <w:rPr>
          <w:rFonts w:hint="eastAsia" w:ascii="仿宋" w:hAnsi="仿宋" w:eastAsia="仿宋" w:cs="仿宋"/>
          <w:bCs/>
          <w:i w:val="0"/>
          <w:iCs w:val="0"/>
          <w:szCs w:val="28"/>
          <w:highlight w:val="none"/>
        </w:rPr>
        <w:t>及承诺函</w:t>
      </w:r>
      <w:r>
        <w:rPr>
          <w:i w:val="0"/>
          <w:iCs w:val="0"/>
        </w:rPr>
        <w:tab/>
      </w:r>
      <w:r>
        <w:rPr>
          <w:i w:val="0"/>
          <w:iCs w:val="0"/>
        </w:rPr>
        <w:fldChar w:fldCharType="begin"/>
      </w:r>
      <w:r>
        <w:rPr>
          <w:i w:val="0"/>
          <w:iCs w:val="0"/>
        </w:rPr>
        <w:instrText xml:space="preserve"> PAGEREF _Toc14135 \h </w:instrText>
      </w:r>
      <w:r>
        <w:rPr>
          <w:i w:val="0"/>
          <w:iCs w:val="0"/>
        </w:rPr>
        <w:fldChar w:fldCharType="separate"/>
      </w:r>
      <w:r>
        <w:rPr>
          <w:i w:val="0"/>
          <w:iCs w:val="0"/>
        </w:rPr>
        <w:t>67</w:t>
      </w:r>
      <w:r>
        <w:rPr>
          <w:i w:val="0"/>
          <w:iCs w:val="0"/>
        </w:rPr>
        <w:fldChar w:fldCharType="end"/>
      </w:r>
      <w:r>
        <w:rPr>
          <w:rFonts w:hint="eastAsia" w:ascii="仿宋" w:hAnsi="仿宋" w:eastAsia="仿宋" w:cs="仿宋"/>
          <w:bCs w:val="0"/>
          <w:i w:val="0"/>
          <w:iCs w:val="0"/>
          <w:szCs w:val="24"/>
          <w:highlight w:val="none"/>
        </w:rPr>
        <w:fldChar w:fldCharType="end"/>
      </w:r>
    </w:p>
    <w:p w14:paraId="21070673">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_Toc31072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szCs w:val="28"/>
          <w:highlight w:val="none"/>
          <w:lang w:eastAsia="zh-CN"/>
        </w:rPr>
        <w:t>四</w:t>
      </w:r>
      <w:r>
        <w:rPr>
          <w:rFonts w:hint="eastAsia" w:ascii="仿宋" w:hAnsi="仿宋" w:eastAsia="仿宋" w:cs="仿宋"/>
          <w:bCs/>
          <w:i w:val="0"/>
          <w:iCs w:val="0"/>
          <w:szCs w:val="28"/>
          <w:highlight w:val="none"/>
        </w:rPr>
        <w:t>、法定代表人（负责人或</w:t>
      </w:r>
      <w:r>
        <w:rPr>
          <w:rFonts w:hint="eastAsia" w:ascii="仿宋" w:hAnsi="仿宋" w:eastAsia="仿宋" w:cs="仿宋"/>
          <w:bCs/>
          <w:i w:val="0"/>
          <w:iCs w:val="0"/>
          <w:szCs w:val="28"/>
          <w:highlight w:val="none"/>
          <w:lang w:eastAsia="zh-CN"/>
        </w:rPr>
        <w:t>执行事务合伙人</w:t>
      </w:r>
      <w:r>
        <w:rPr>
          <w:rFonts w:hint="eastAsia" w:ascii="仿宋" w:hAnsi="仿宋" w:eastAsia="仿宋" w:cs="仿宋"/>
          <w:bCs/>
          <w:i w:val="0"/>
          <w:iCs w:val="0"/>
          <w:szCs w:val="28"/>
          <w:highlight w:val="none"/>
        </w:rPr>
        <w:t>）资格证明书</w:t>
      </w:r>
      <w:r>
        <w:rPr>
          <w:i w:val="0"/>
          <w:iCs w:val="0"/>
        </w:rPr>
        <w:tab/>
      </w:r>
      <w:r>
        <w:rPr>
          <w:i w:val="0"/>
          <w:iCs w:val="0"/>
        </w:rPr>
        <w:fldChar w:fldCharType="begin"/>
      </w:r>
      <w:r>
        <w:rPr>
          <w:i w:val="0"/>
          <w:iCs w:val="0"/>
        </w:rPr>
        <w:instrText xml:space="preserve"> PAGEREF _Toc31072 \h </w:instrText>
      </w:r>
      <w:r>
        <w:rPr>
          <w:i w:val="0"/>
          <w:iCs w:val="0"/>
        </w:rPr>
        <w:fldChar w:fldCharType="separate"/>
      </w:r>
      <w:r>
        <w:rPr>
          <w:i w:val="0"/>
          <w:iCs w:val="0"/>
        </w:rPr>
        <w:t>72</w:t>
      </w:r>
      <w:r>
        <w:rPr>
          <w:i w:val="0"/>
          <w:iCs w:val="0"/>
        </w:rPr>
        <w:fldChar w:fldCharType="end"/>
      </w:r>
      <w:r>
        <w:rPr>
          <w:rFonts w:hint="eastAsia" w:ascii="仿宋" w:hAnsi="仿宋" w:eastAsia="仿宋" w:cs="仿宋"/>
          <w:bCs w:val="0"/>
          <w:i w:val="0"/>
          <w:iCs w:val="0"/>
          <w:szCs w:val="24"/>
          <w:highlight w:val="none"/>
        </w:rPr>
        <w:fldChar w:fldCharType="end"/>
      </w:r>
    </w:p>
    <w:p w14:paraId="492AD031">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_Toc19949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szCs w:val="28"/>
          <w:highlight w:val="none"/>
          <w:lang w:eastAsia="zh-CN"/>
        </w:rPr>
        <w:t>五</w:t>
      </w:r>
      <w:r>
        <w:rPr>
          <w:rFonts w:hint="eastAsia" w:ascii="仿宋" w:hAnsi="仿宋" w:eastAsia="仿宋" w:cs="仿宋"/>
          <w:bCs/>
          <w:i w:val="0"/>
          <w:iCs w:val="0"/>
          <w:szCs w:val="28"/>
          <w:highlight w:val="none"/>
        </w:rPr>
        <w:t>、法定代表人（</w:t>
      </w:r>
      <w:r>
        <w:rPr>
          <w:rFonts w:hint="eastAsia" w:ascii="仿宋" w:hAnsi="仿宋" w:eastAsia="仿宋" w:cs="仿宋"/>
          <w:bCs/>
          <w:i w:val="0"/>
          <w:iCs w:val="0"/>
          <w:szCs w:val="28"/>
          <w:highlight w:val="none"/>
          <w:lang w:eastAsia="zh-CN"/>
        </w:rPr>
        <w:t>负责人或执行事务合伙人</w:t>
      </w:r>
      <w:r>
        <w:rPr>
          <w:rFonts w:hint="eastAsia" w:ascii="仿宋" w:hAnsi="仿宋" w:eastAsia="仿宋" w:cs="仿宋"/>
          <w:bCs/>
          <w:i w:val="0"/>
          <w:iCs w:val="0"/>
          <w:szCs w:val="28"/>
          <w:highlight w:val="none"/>
        </w:rPr>
        <w:t>）授权书</w:t>
      </w:r>
      <w:r>
        <w:rPr>
          <w:i w:val="0"/>
          <w:iCs w:val="0"/>
        </w:rPr>
        <w:tab/>
      </w:r>
      <w:r>
        <w:rPr>
          <w:i w:val="0"/>
          <w:iCs w:val="0"/>
        </w:rPr>
        <w:fldChar w:fldCharType="begin"/>
      </w:r>
      <w:r>
        <w:rPr>
          <w:i w:val="0"/>
          <w:iCs w:val="0"/>
        </w:rPr>
        <w:instrText xml:space="preserve"> PAGEREF _Toc19949 \h </w:instrText>
      </w:r>
      <w:r>
        <w:rPr>
          <w:i w:val="0"/>
          <w:iCs w:val="0"/>
        </w:rPr>
        <w:fldChar w:fldCharType="separate"/>
      </w:r>
      <w:r>
        <w:rPr>
          <w:i w:val="0"/>
          <w:iCs w:val="0"/>
        </w:rPr>
        <w:t>73</w:t>
      </w:r>
      <w:r>
        <w:rPr>
          <w:i w:val="0"/>
          <w:iCs w:val="0"/>
        </w:rPr>
        <w:fldChar w:fldCharType="end"/>
      </w:r>
      <w:r>
        <w:rPr>
          <w:rFonts w:hint="eastAsia" w:ascii="仿宋" w:hAnsi="仿宋" w:eastAsia="仿宋" w:cs="仿宋"/>
          <w:bCs w:val="0"/>
          <w:i w:val="0"/>
          <w:iCs w:val="0"/>
          <w:szCs w:val="24"/>
          <w:highlight w:val="none"/>
        </w:rPr>
        <w:fldChar w:fldCharType="end"/>
      </w:r>
    </w:p>
    <w:p w14:paraId="15520A56">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_Toc18711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szCs w:val="28"/>
          <w:highlight w:val="none"/>
          <w:lang w:val="en-US" w:eastAsia="zh-CN"/>
        </w:rPr>
        <w:t>六</w:t>
      </w:r>
      <w:r>
        <w:rPr>
          <w:rFonts w:hint="eastAsia" w:ascii="仿宋" w:hAnsi="仿宋" w:eastAsia="仿宋" w:cs="仿宋"/>
          <w:bCs/>
          <w:i w:val="0"/>
          <w:iCs w:val="0"/>
          <w:szCs w:val="28"/>
          <w:highlight w:val="none"/>
        </w:rPr>
        <w:t>、供应商情况介绍</w:t>
      </w:r>
      <w:r>
        <w:rPr>
          <w:i w:val="0"/>
          <w:iCs w:val="0"/>
        </w:rPr>
        <w:tab/>
      </w:r>
      <w:r>
        <w:rPr>
          <w:i w:val="0"/>
          <w:iCs w:val="0"/>
        </w:rPr>
        <w:fldChar w:fldCharType="begin"/>
      </w:r>
      <w:r>
        <w:rPr>
          <w:i w:val="0"/>
          <w:iCs w:val="0"/>
        </w:rPr>
        <w:instrText xml:space="preserve"> PAGEREF _Toc18711 \h </w:instrText>
      </w:r>
      <w:r>
        <w:rPr>
          <w:i w:val="0"/>
          <w:iCs w:val="0"/>
        </w:rPr>
        <w:fldChar w:fldCharType="separate"/>
      </w:r>
      <w:r>
        <w:rPr>
          <w:i w:val="0"/>
          <w:iCs w:val="0"/>
        </w:rPr>
        <w:t>74</w:t>
      </w:r>
      <w:r>
        <w:rPr>
          <w:i w:val="0"/>
          <w:iCs w:val="0"/>
        </w:rPr>
        <w:fldChar w:fldCharType="end"/>
      </w:r>
      <w:r>
        <w:rPr>
          <w:rFonts w:hint="eastAsia" w:ascii="仿宋" w:hAnsi="仿宋" w:eastAsia="仿宋" w:cs="仿宋"/>
          <w:bCs w:val="0"/>
          <w:i w:val="0"/>
          <w:iCs w:val="0"/>
          <w:szCs w:val="24"/>
          <w:highlight w:val="none"/>
        </w:rPr>
        <w:fldChar w:fldCharType="end"/>
      </w:r>
    </w:p>
    <w:p w14:paraId="71D02F23">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_Toc20305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szCs w:val="28"/>
          <w:lang w:val="en-US" w:eastAsia="zh-CN"/>
        </w:rPr>
        <w:t>七</w:t>
      </w:r>
      <w:r>
        <w:rPr>
          <w:rFonts w:hint="eastAsia" w:ascii="仿宋" w:hAnsi="仿宋" w:eastAsia="仿宋" w:cs="仿宋"/>
          <w:bCs/>
          <w:i w:val="0"/>
          <w:iCs w:val="0"/>
          <w:szCs w:val="28"/>
        </w:rPr>
        <w:t>、</w:t>
      </w:r>
      <w:r>
        <w:rPr>
          <w:rFonts w:hint="eastAsia" w:ascii="仿宋" w:hAnsi="仿宋" w:eastAsia="仿宋" w:cs="仿宋"/>
          <w:bCs/>
          <w:i w:val="0"/>
          <w:iCs w:val="0"/>
          <w:szCs w:val="28"/>
          <w:lang w:val="en-US" w:eastAsia="zh-CN"/>
        </w:rPr>
        <w:t>评分项商务部分证明文件</w:t>
      </w:r>
      <w:r>
        <w:rPr>
          <w:i w:val="0"/>
          <w:iCs w:val="0"/>
        </w:rPr>
        <w:tab/>
      </w:r>
      <w:r>
        <w:rPr>
          <w:i w:val="0"/>
          <w:iCs w:val="0"/>
        </w:rPr>
        <w:fldChar w:fldCharType="begin"/>
      </w:r>
      <w:r>
        <w:rPr>
          <w:i w:val="0"/>
          <w:iCs w:val="0"/>
        </w:rPr>
        <w:instrText xml:space="preserve"> PAGEREF _Toc20305 \h </w:instrText>
      </w:r>
      <w:r>
        <w:rPr>
          <w:i w:val="0"/>
          <w:iCs w:val="0"/>
        </w:rPr>
        <w:fldChar w:fldCharType="separate"/>
      </w:r>
      <w:r>
        <w:rPr>
          <w:i w:val="0"/>
          <w:iCs w:val="0"/>
        </w:rPr>
        <w:t>79</w:t>
      </w:r>
      <w:r>
        <w:rPr>
          <w:i w:val="0"/>
          <w:iCs w:val="0"/>
        </w:rPr>
        <w:fldChar w:fldCharType="end"/>
      </w:r>
      <w:r>
        <w:rPr>
          <w:rFonts w:hint="eastAsia" w:ascii="仿宋" w:hAnsi="仿宋" w:eastAsia="仿宋" w:cs="仿宋"/>
          <w:bCs w:val="0"/>
          <w:i w:val="0"/>
          <w:iCs w:val="0"/>
          <w:szCs w:val="24"/>
          <w:highlight w:val="none"/>
        </w:rPr>
        <w:fldChar w:fldCharType="end"/>
      </w:r>
    </w:p>
    <w:p w14:paraId="5465BCBE">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_Toc28397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szCs w:val="28"/>
          <w:lang w:val="en-US" w:eastAsia="zh-CN"/>
        </w:rPr>
        <w:t>八</w:t>
      </w:r>
      <w:r>
        <w:rPr>
          <w:rFonts w:hint="eastAsia" w:ascii="仿宋" w:hAnsi="仿宋" w:eastAsia="仿宋" w:cs="仿宋"/>
          <w:bCs/>
          <w:i w:val="0"/>
          <w:iCs w:val="0"/>
          <w:szCs w:val="28"/>
        </w:rPr>
        <w:t>、</w:t>
      </w:r>
      <w:r>
        <w:rPr>
          <w:rFonts w:hint="eastAsia" w:ascii="仿宋" w:hAnsi="仿宋" w:eastAsia="仿宋" w:cs="仿宋"/>
          <w:bCs/>
          <w:i w:val="0"/>
          <w:iCs w:val="0"/>
          <w:szCs w:val="28"/>
          <w:lang w:eastAsia="zh-CN"/>
        </w:rPr>
        <w:t>评分项</w:t>
      </w:r>
      <w:r>
        <w:rPr>
          <w:rFonts w:hint="eastAsia" w:ascii="仿宋" w:hAnsi="仿宋" w:eastAsia="仿宋" w:cs="仿宋"/>
          <w:bCs/>
          <w:i w:val="0"/>
          <w:iCs w:val="0"/>
          <w:szCs w:val="28"/>
          <w:lang w:val="en-US" w:eastAsia="zh-CN"/>
        </w:rPr>
        <w:t>技术</w:t>
      </w:r>
      <w:r>
        <w:rPr>
          <w:rFonts w:hint="eastAsia" w:ascii="仿宋" w:hAnsi="仿宋" w:eastAsia="仿宋" w:cs="仿宋"/>
          <w:bCs/>
          <w:i w:val="0"/>
          <w:iCs w:val="0"/>
          <w:szCs w:val="28"/>
          <w:lang w:eastAsia="zh-CN"/>
        </w:rPr>
        <w:t>部分证明文件</w:t>
      </w:r>
      <w:r>
        <w:rPr>
          <w:i w:val="0"/>
          <w:iCs w:val="0"/>
        </w:rPr>
        <w:tab/>
      </w:r>
      <w:r>
        <w:rPr>
          <w:i w:val="0"/>
          <w:iCs w:val="0"/>
        </w:rPr>
        <w:fldChar w:fldCharType="begin"/>
      </w:r>
      <w:r>
        <w:rPr>
          <w:i w:val="0"/>
          <w:iCs w:val="0"/>
        </w:rPr>
        <w:instrText xml:space="preserve"> PAGEREF _Toc28397 \h </w:instrText>
      </w:r>
      <w:r>
        <w:rPr>
          <w:i w:val="0"/>
          <w:iCs w:val="0"/>
        </w:rPr>
        <w:fldChar w:fldCharType="separate"/>
      </w:r>
      <w:r>
        <w:rPr>
          <w:i w:val="0"/>
          <w:iCs w:val="0"/>
        </w:rPr>
        <w:t>82</w:t>
      </w:r>
      <w:r>
        <w:rPr>
          <w:i w:val="0"/>
          <w:iCs w:val="0"/>
        </w:rPr>
        <w:fldChar w:fldCharType="end"/>
      </w:r>
      <w:r>
        <w:rPr>
          <w:rFonts w:hint="eastAsia" w:ascii="仿宋" w:hAnsi="仿宋" w:eastAsia="仿宋" w:cs="仿宋"/>
          <w:bCs w:val="0"/>
          <w:i w:val="0"/>
          <w:iCs w:val="0"/>
          <w:szCs w:val="24"/>
          <w:highlight w:val="none"/>
        </w:rPr>
        <w:fldChar w:fldCharType="end"/>
      </w:r>
    </w:p>
    <w:p w14:paraId="117CCD71">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_Toc27886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szCs w:val="28"/>
          <w:highlight w:val="none"/>
          <w:lang w:val="en-US" w:eastAsia="zh-CN"/>
        </w:rPr>
        <w:t>九、实质性条款响应情况表</w:t>
      </w:r>
      <w:r>
        <w:rPr>
          <w:i w:val="0"/>
          <w:iCs w:val="0"/>
        </w:rPr>
        <w:tab/>
      </w:r>
      <w:r>
        <w:rPr>
          <w:i w:val="0"/>
          <w:iCs w:val="0"/>
        </w:rPr>
        <w:fldChar w:fldCharType="begin"/>
      </w:r>
      <w:r>
        <w:rPr>
          <w:i w:val="0"/>
          <w:iCs w:val="0"/>
        </w:rPr>
        <w:instrText xml:space="preserve"> PAGEREF _Toc27886 \h </w:instrText>
      </w:r>
      <w:r>
        <w:rPr>
          <w:i w:val="0"/>
          <w:iCs w:val="0"/>
        </w:rPr>
        <w:fldChar w:fldCharType="separate"/>
      </w:r>
      <w:r>
        <w:rPr>
          <w:i w:val="0"/>
          <w:iCs w:val="0"/>
        </w:rPr>
        <w:t>83</w:t>
      </w:r>
      <w:r>
        <w:rPr>
          <w:i w:val="0"/>
          <w:iCs w:val="0"/>
        </w:rPr>
        <w:fldChar w:fldCharType="end"/>
      </w:r>
      <w:r>
        <w:rPr>
          <w:rFonts w:hint="eastAsia" w:ascii="仿宋" w:hAnsi="仿宋" w:eastAsia="仿宋" w:cs="仿宋"/>
          <w:bCs w:val="0"/>
          <w:i w:val="0"/>
          <w:iCs w:val="0"/>
          <w:szCs w:val="24"/>
          <w:highlight w:val="none"/>
        </w:rPr>
        <w:fldChar w:fldCharType="end"/>
      </w:r>
    </w:p>
    <w:p w14:paraId="039F3F24">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_Toc16734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szCs w:val="28"/>
          <w:highlight w:val="none"/>
          <w:lang w:val="en-US" w:eastAsia="zh-CN"/>
        </w:rPr>
        <w:t>十、</w:t>
      </w:r>
      <w:r>
        <w:rPr>
          <w:rFonts w:hint="eastAsia" w:ascii="仿宋" w:hAnsi="仿宋" w:eastAsia="仿宋" w:cs="仿宋"/>
          <w:bCs/>
          <w:i w:val="0"/>
          <w:iCs w:val="0"/>
          <w:szCs w:val="28"/>
          <w:highlight w:val="none"/>
        </w:rPr>
        <w:t>服务条款偏离表</w:t>
      </w:r>
      <w:r>
        <w:rPr>
          <w:i w:val="0"/>
          <w:iCs w:val="0"/>
        </w:rPr>
        <w:tab/>
      </w:r>
      <w:r>
        <w:rPr>
          <w:i w:val="0"/>
          <w:iCs w:val="0"/>
        </w:rPr>
        <w:fldChar w:fldCharType="begin"/>
      </w:r>
      <w:r>
        <w:rPr>
          <w:i w:val="0"/>
          <w:iCs w:val="0"/>
        </w:rPr>
        <w:instrText xml:space="preserve"> PAGEREF _Toc16734 \h </w:instrText>
      </w:r>
      <w:r>
        <w:rPr>
          <w:i w:val="0"/>
          <w:iCs w:val="0"/>
        </w:rPr>
        <w:fldChar w:fldCharType="separate"/>
      </w:r>
      <w:r>
        <w:rPr>
          <w:i w:val="0"/>
          <w:iCs w:val="0"/>
        </w:rPr>
        <w:t>84</w:t>
      </w:r>
      <w:r>
        <w:rPr>
          <w:i w:val="0"/>
          <w:iCs w:val="0"/>
        </w:rPr>
        <w:fldChar w:fldCharType="end"/>
      </w:r>
      <w:r>
        <w:rPr>
          <w:rFonts w:hint="eastAsia" w:ascii="仿宋" w:hAnsi="仿宋" w:eastAsia="仿宋" w:cs="仿宋"/>
          <w:bCs w:val="0"/>
          <w:i w:val="0"/>
          <w:iCs w:val="0"/>
          <w:szCs w:val="24"/>
          <w:highlight w:val="none"/>
        </w:rPr>
        <w:fldChar w:fldCharType="end"/>
      </w:r>
    </w:p>
    <w:p w14:paraId="69D17FD0">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_Toc27111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szCs w:val="28"/>
          <w:highlight w:val="none"/>
        </w:rPr>
        <w:t>十</w:t>
      </w:r>
      <w:r>
        <w:rPr>
          <w:rFonts w:hint="eastAsia" w:ascii="仿宋" w:hAnsi="仿宋" w:eastAsia="仿宋" w:cs="仿宋"/>
          <w:bCs/>
          <w:i w:val="0"/>
          <w:iCs w:val="0"/>
          <w:szCs w:val="28"/>
          <w:highlight w:val="none"/>
          <w:lang w:val="en-US" w:eastAsia="zh-CN"/>
        </w:rPr>
        <w:t>一</w:t>
      </w:r>
      <w:r>
        <w:rPr>
          <w:rFonts w:hint="eastAsia" w:ascii="仿宋" w:hAnsi="仿宋" w:eastAsia="仿宋" w:cs="仿宋"/>
          <w:bCs/>
          <w:i w:val="0"/>
          <w:iCs w:val="0"/>
          <w:szCs w:val="28"/>
          <w:highlight w:val="none"/>
        </w:rPr>
        <w:t>、商务条款偏离表</w:t>
      </w:r>
      <w:r>
        <w:rPr>
          <w:i w:val="0"/>
          <w:iCs w:val="0"/>
        </w:rPr>
        <w:tab/>
      </w:r>
      <w:r>
        <w:rPr>
          <w:i w:val="0"/>
          <w:iCs w:val="0"/>
        </w:rPr>
        <w:fldChar w:fldCharType="begin"/>
      </w:r>
      <w:r>
        <w:rPr>
          <w:i w:val="0"/>
          <w:iCs w:val="0"/>
        </w:rPr>
        <w:instrText xml:space="preserve"> PAGEREF _Toc27111 \h </w:instrText>
      </w:r>
      <w:r>
        <w:rPr>
          <w:i w:val="0"/>
          <w:iCs w:val="0"/>
        </w:rPr>
        <w:fldChar w:fldCharType="separate"/>
      </w:r>
      <w:r>
        <w:rPr>
          <w:i w:val="0"/>
          <w:iCs w:val="0"/>
        </w:rPr>
        <w:t>88</w:t>
      </w:r>
      <w:r>
        <w:rPr>
          <w:i w:val="0"/>
          <w:iCs w:val="0"/>
        </w:rPr>
        <w:fldChar w:fldCharType="end"/>
      </w:r>
      <w:r>
        <w:rPr>
          <w:rFonts w:hint="eastAsia" w:ascii="仿宋" w:hAnsi="仿宋" w:eastAsia="仿宋" w:cs="仿宋"/>
          <w:bCs w:val="0"/>
          <w:i w:val="0"/>
          <w:iCs w:val="0"/>
          <w:szCs w:val="24"/>
          <w:highlight w:val="none"/>
        </w:rPr>
        <w:fldChar w:fldCharType="end"/>
      </w:r>
    </w:p>
    <w:p w14:paraId="01E50BE8">
      <w:pPr>
        <w:pStyle w:val="21"/>
        <w:tabs>
          <w:tab w:val="right" w:leader="dot" w:pos="8306"/>
        </w:tabs>
        <w:rPr>
          <w:i w:val="0"/>
          <w:iCs w:val="0"/>
        </w:rPr>
      </w:pPr>
      <w:r>
        <w:rPr>
          <w:rFonts w:hint="eastAsia" w:ascii="仿宋" w:hAnsi="仿宋" w:eastAsia="仿宋" w:cs="仿宋"/>
          <w:bCs w:val="0"/>
          <w:i w:val="0"/>
          <w:iCs w:val="0"/>
          <w:szCs w:val="24"/>
          <w:highlight w:val="none"/>
        </w:rPr>
        <w:fldChar w:fldCharType="begin"/>
      </w:r>
      <w:r>
        <w:rPr>
          <w:rFonts w:hint="eastAsia" w:ascii="仿宋" w:hAnsi="仿宋" w:eastAsia="仿宋" w:cs="仿宋"/>
          <w:bCs w:val="0"/>
          <w:i w:val="0"/>
          <w:iCs w:val="0"/>
          <w:szCs w:val="24"/>
          <w:highlight w:val="none"/>
        </w:rPr>
        <w:instrText xml:space="preserve"> HYPERLINK \l _Toc2865 </w:instrText>
      </w:r>
      <w:r>
        <w:rPr>
          <w:rFonts w:hint="eastAsia" w:ascii="仿宋" w:hAnsi="仿宋" w:eastAsia="仿宋" w:cs="仿宋"/>
          <w:bCs w:val="0"/>
          <w:i w:val="0"/>
          <w:iCs w:val="0"/>
          <w:szCs w:val="24"/>
          <w:highlight w:val="none"/>
        </w:rPr>
        <w:fldChar w:fldCharType="separate"/>
      </w:r>
      <w:r>
        <w:rPr>
          <w:rFonts w:hint="eastAsia" w:ascii="仿宋" w:hAnsi="仿宋" w:eastAsia="仿宋" w:cs="仿宋"/>
          <w:bCs/>
          <w:i w:val="0"/>
          <w:iCs w:val="0"/>
          <w:szCs w:val="28"/>
          <w:highlight w:val="none"/>
        </w:rPr>
        <w:t>十</w:t>
      </w:r>
      <w:r>
        <w:rPr>
          <w:rFonts w:hint="eastAsia" w:ascii="仿宋" w:hAnsi="仿宋" w:eastAsia="仿宋" w:cs="仿宋"/>
          <w:bCs/>
          <w:i w:val="0"/>
          <w:iCs w:val="0"/>
          <w:szCs w:val="28"/>
          <w:highlight w:val="none"/>
          <w:lang w:val="en-US" w:eastAsia="zh-CN"/>
        </w:rPr>
        <w:t>二</w:t>
      </w:r>
      <w:r>
        <w:rPr>
          <w:rFonts w:hint="eastAsia" w:ascii="仿宋" w:hAnsi="仿宋" w:eastAsia="仿宋" w:cs="仿宋"/>
          <w:bCs/>
          <w:i w:val="0"/>
          <w:iCs w:val="0"/>
          <w:szCs w:val="28"/>
          <w:highlight w:val="none"/>
        </w:rPr>
        <w:t>、招标文件要求的其他内容及投标人认为需要加以说明其他内容</w:t>
      </w:r>
      <w:r>
        <w:rPr>
          <w:i w:val="0"/>
          <w:iCs w:val="0"/>
        </w:rPr>
        <w:tab/>
      </w:r>
      <w:r>
        <w:rPr>
          <w:i w:val="0"/>
          <w:iCs w:val="0"/>
        </w:rPr>
        <w:fldChar w:fldCharType="begin"/>
      </w:r>
      <w:r>
        <w:rPr>
          <w:i w:val="0"/>
          <w:iCs w:val="0"/>
        </w:rPr>
        <w:instrText xml:space="preserve"> PAGEREF _Toc2865 \h </w:instrText>
      </w:r>
      <w:r>
        <w:rPr>
          <w:i w:val="0"/>
          <w:iCs w:val="0"/>
        </w:rPr>
        <w:fldChar w:fldCharType="separate"/>
      </w:r>
      <w:r>
        <w:rPr>
          <w:i w:val="0"/>
          <w:iCs w:val="0"/>
        </w:rPr>
        <w:t>93</w:t>
      </w:r>
      <w:r>
        <w:rPr>
          <w:i w:val="0"/>
          <w:iCs w:val="0"/>
        </w:rPr>
        <w:fldChar w:fldCharType="end"/>
      </w:r>
      <w:r>
        <w:rPr>
          <w:rFonts w:hint="eastAsia" w:ascii="仿宋" w:hAnsi="仿宋" w:eastAsia="仿宋" w:cs="仿宋"/>
          <w:bCs w:val="0"/>
          <w:i w:val="0"/>
          <w:iCs w:val="0"/>
          <w:szCs w:val="24"/>
          <w:highlight w:val="none"/>
        </w:rPr>
        <w:fldChar w:fldCharType="end"/>
      </w:r>
    </w:p>
    <w:p w14:paraId="438AEE85">
      <w:pPr>
        <w:pStyle w:val="29"/>
        <w:keepNext w:val="0"/>
        <w:keepLines w:val="0"/>
        <w:pageBreakBefore w:val="0"/>
        <w:widowControl w:val="0"/>
        <w:tabs>
          <w:tab w:val="right" w:leader="dot" w:pos="8306"/>
        </w:tabs>
        <w:kinsoku/>
        <w:wordWrap/>
        <w:overflowPunct/>
        <w:topLinePunct w:val="0"/>
        <w:autoSpaceDE/>
        <w:autoSpaceDN/>
        <w:bidi w:val="0"/>
        <w:adjustRightInd/>
        <w:snapToGrid/>
        <w:spacing w:before="0" w:after="0" w:line="240" w:lineRule="auto"/>
        <w:ind w:left="0"/>
        <w:textAlignment w:val="auto"/>
        <w:rPr>
          <w:rFonts w:hint="eastAsia" w:ascii="仿宋" w:hAnsi="仿宋" w:eastAsia="仿宋" w:cs="仿宋"/>
          <w:b w:val="0"/>
          <w:bCs w:val="0"/>
          <w:i w:val="0"/>
          <w:iCs w:val="0"/>
          <w:sz w:val="21"/>
          <w:szCs w:val="21"/>
          <w:highlight w:val="none"/>
        </w:rPr>
      </w:pPr>
      <w:r>
        <w:rPr>
          <w:rFonts w:hint="eastAsia" w:ascii="仿宋" w:hAnsi="仿宋" w:eastAsia="仿宋" w:cs="仿宋"/>
          <w:bCs w:val="0"/>
          <w:i w:val="0"/>
          <w:iCs w:val="0"/>
          <w:szCs w:val="24"/>
          <w:highlight w:val="none"/>
        </w:rPr>
        <w:fldChar w:fldCharType="end"/>
      </w:r>
    </w:p>
    <w:p w14:paraId="1ABC6C07">
      <w:pPr>
        <w:rPr>
          <w:rFonts w:hint="eastAsia" w:ascii="仿宋" w:hAnsi="仿宋" w:eastAsia="仿宋" w:cs="仿宋"/>
          <w:highlight w:val="none"/>
        </w:rPr>
      </w:pPr>
    </w:p>
    <w:p w14:paraId="331AAF42">
      <w:pPr>
        <w:rPr>
          <w:rFonts w:hint="eastAsia" w:ascii="仿宋" w:hAnsi="仿宋" w:eastAsia="仿宋" w:cs="仿宋"/>
          <w:color w:val="000000"/>
          <w:sz w:val="36"/>
          <w:szCs w:val="36"/>
          <w:highlight w:val="none"/>
        </w:rPr>
      </w:pPr>
      <w:bookmarkStart w:id="0" w:name="_Toc32071"/>
      <w:r>
        <w:rPr>
          <w:rFonts w:hint="eastAsia" w:ascii="仿宋" w:hAnsi="仿宋" w:eastAsia="仿宋" w:cs="仿宋"/>
          <w:color w:val="000000"/>
          <w:sz w:val="36"/>
          <w:szCs w:val="36"/>
          <w:highlight w:val="none"/>
        </w:rPr>
        <w:br w:type="page"/>
      </w:r>
    </w:p>
    <w:p w14:paraId="3E0DD29B">
      <w:pPr>
        <w:jc w:val="center"/>
        <w:outlineLvl w:val="0"/>
        <w:rPr>
          <w:rFonts w:hint="eastAsia" w:ascii="仿宋" w:hAnsi="仿宋" w:eastAsia="仿宋" w:cs="仿宋"/>
          <w:b/>
          <w:bCs/>
          <w:color w:val="000000"/>
          <w:sz w:val="36"/>
          <w:szCs w:val="36"/>
          <w:highlight w:val="none"/>
        </w:rPr>
      </w:pPr>
      <w:bookmarkStart w:id="1" w:name="_Toc15536"/>
      <w:r>
        <w:rPr>
          <w:rFonts w:hint="eastAsia" w:ascii="仿宋" w:hAnsi="仿宋" w:eastAsia="仿宋" w:cs="仿宋"/>
          <w:b/>
          <w:bCs/>
          <w:color w:val="000000"/>
          <w:sz w:val="36"/>
          <w:szCs w:val="36"/>
          <w:highlight w:val="none"/>
        </w:rPr>
        <w:t>特别警示条款</w:t>
      </w:r>
      <w:bookmarkEnd w:id="0"/>
      <w:bookmarkEnd w:id="1"/>
    </w:p>
    <w:p w14:paraId="6ADD38B3">
      <w:pPr>
        <w:pStyle w:val="13"/>
        <w:rPr>
          <w:rFonts w:hint="eastAsia" w:ascii="仿宋" w:hAnsi="仿宋" w:eastAsia="仿宋" w:cs="仿宋"/>
          <w:color w:val="000000"/>
          <w:highlight w:val="none"/>
        </w:rPr>
      </w:pPr>
    </w:p>
    <w:p w14:paraId="27E1F03E">
      <w:pPr>
        <w:snapToGrid w:val="0"/>
        <w:spacing w:line="360" w:lineRule="auto"/>
        <w:ind w:firstLine="470" w:firstLineChars="196"/>
        <w:rPr>
          <w:rFonts w:hint="eastAsia" w:ascii="仿宋" w:hAnsi="仿宋" w:eastAsia="仿宋" w:cs="仿宋"/>
          <w:color w:val="FF0000"/>
          <w:sz w:val="24"/>
          <w:highlight w:val="none"/>
        </w:rPr>
      </w:pPr>
      <w:r>
        <w:rPr>
          <w:rFonts w:hint="eastAsia" w:ascii="仿宋" w:hAnsi="仿宋" w:eastAsia="仿宋" w:cs="仿宋"/>
          <w:color w:val="FF0000"/>
          <w:sz w:val="24"/>
          <w:highlight w:val="none"/>
          <w:lang w:eastAsia="zh-CN"/>
        </w:rPr>
        <w:t>一、</w:t>
      </w:r>
      <w:r>
        <w:rPr>
          <w:rFonts w:hint="eastAsia" w:ascii="仿宋" w:hAnsi="仿宋" w:eastAsia="仿宋" w:cs="仿宋"/>
          <w:color w:val="FF0000"/>
          <w:sz w:val="24"/>
          <w:highlight w:val="none"/>
          <w:lang w:val="en-US" w:eastAsia="zh-CN"/>
        </w:rPr>
        <w:t>本项目为自行采购项目，</w:t>
      </w:r>
      <w:r>
        <w:rPr>
          <w:rFonts w:hint="eastAsia" w:ascii="仿宋" w:hAnsi="仿宋" w:eastAsia="仿宋" w:cs="仿宋"/>
          <w:color w:val="FF0000"/>
          <w:sz w:val="24"/>
          <w:highlight w:val="none"/>
        </w:rPr>
        <w:t>参与本项目采购活动的供应商应认真阅读以下特别警示条款，不得存在以下所列禁止情形，一旦发现，将被处以记入供应商诚信档案、罚款、取消参与采购资格、吊销营业执照等处罚；构成犯罪的，依法追究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3F92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323FEEB6">
            <w:pPr>
              <w:keepNext w:val="0"/>
              <w:keepLines w:val="0"/>
              <w:widowControl w:val="0"/>
              <w:suppressLineNumbers w:val="0"/>
              <w:spacing w:before="0" w:beforeAutospacing="0" w:after="0" w:afterAutospacing="0"/>
              <w:ind w:left="0" w:right="0"/>
              <w:jc w:val="center"/>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序号</w:t>
            </w:r>
          </w:p>
        </w:tc>
        <w:tc>
          <w:tcPr>
            <w:tcW w:w="7711" w:type="dxa"/>
            <w:vAlign w:val="center"/>
          </w:tcPr>
          <w:p w14:paraId="4153045F">
            <w:pPr>
              <w:keepNext w:val="0"/>
              <w:keepLines w:val="0"/>
              <w:widowControl w:val="0"/>
              <w:suppressLineNumbers w:val="0"/>
              <w:spacing w:before="0" w:beforeAutospacing="0" w:after="0" w:afterAutospacing="0"/>
              <w:ind w:left="0" w:right="0"/>
              <w:jc w:val="center"/>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供应商参与投标禁止情形</w:t>
            </w:r>
          </w:p>
        </w:tc>
      </w:tr>
      <w:tr w14:paraId="2BDF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56127071">
            <w:pPr>
              <w:keepNext w:val="0"/>
              <w:keepLines w:val="0"/>
              <w:widowControl w:val="0"/>
              <w:suppressLineNumbers w:val="0"/>
              <w:spacing w:before="0" w:beforeAutospacing="0" w:after="0" w:afterAutospacing="0"/>
              <w:ind w:left="0" w:right="0"/>
              <w:jc w:val="center"/>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1</w:t>
            </w:r>
          </w:p>
        </w:tc>
        <w:tc>
          <w:tcPr>
            <w:tcW w:w="7711" w:type="dxa"/>
            <w:vAlign w:val="center"/>
          </w:tcPr>
          <w:p w14:paraId="76D16511">
            <w:pPr>
              <w:keepNext w:val="0"/>
              <w:keepLines w:val="0"/>
              <w:widowControl w:val="0"/>
              <w:suppressLineNumbers w:val="0"/>
              <w:spacing w:before="0" w:beforeAutospacing="0" w:after="0" w:afterAutospacing="0"/>
              <w:ind w:left="0" w:right="0"/>
              <w:jc w:val="both"/>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与其他投标供应商的法定代表人、主要经营负责人、投标授权代表人、项目负责人、主要技术人员为</w:t>
            </w:r>
            <w:r>
              <w:rPr>
                <w:rFonts w:hint="eastAsia" w:ascii="仿宋" w:hAnsi="仿宋" w:eastAsia="仿宋" w:cs="仿宋"/>
                <w:b/>
                <w:bCs/>
                <w:color w:val="FF0000"/>
                <w:sz w:val="24"/>
                <w:szCs w:val="24"/>
                <w:highlight w:val="none"/>
              </w:rPr>
              <w:t>同一人、属同一单位或者在同一单位缴纳社会保险。</w:t>
            </w:r>
          </w:p>
        </w:tc>
      </w:tr>
      <w:tr w14:paraId="03E9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6903EDD6">
            <w:pPr>
              <w:keepNext w:val="0"/>
              <w:keepLines w:val="0"/>
              <w:widowControl w:val="0"/>
              <w:suppressLineNumbers w:val="0"/>
              <w:spacing w:before="0" w:beforeAutospacing="0" w:after="0" w:afterAutospacing="0"/>
              <w:ind w:left="0" w:right="0"/>
              <w:jc w:val="center"/>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2</w:t>
            </w:r>
          </w:p>
        </w:tc>
        <w:tc>
          <w:tcPr>
            <w:tcW w:w="7711" w:type="dxa"/>
            <w:vAlign w:val="center"/>
          </w:tcPr>
          <w:p w14:paraId="456DB03E">
            <w:pPr>
              <w:keepNext w:val="0"/>
              <w:keepLines w:val="0"/>
              <w:widowControl w:val="0"/>
              <w:suppressLineNumbers w:val="0"/>
              <w:spacing w:before="0" w:beforeAutospacing="0" w:after="0" w:afterAutospacing="0"/>
              <w:ind w:left="0" w:right="0"/>
              <w:jc w:val="both"/>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参与本项目采购活动时，与其他投标供应商存在单位负责人为</w:t>
            </w:r>
            <w:r>
              <w:rPr>
                <w:rFonts w:hint="eastAsia" w:ascii="仿宋" w:hAnsi="仿宋" w:eastAsia="仿宋" w:cs="仿宋"/>
                <w:b/>
                <w:bCs/>
                <w:color w:val="FF0000"/>
                <w:sz w:val="24"/>
                <w:szCs w:val="24"/>
                <w:highlight w:val="none"/>
              </w:rPr>
              <w:t>同一人或直接控股、管理关系</w:t>
            </w:r>
            <w:r>
              <w:rPr>
                <w:rFonts w:hint="eastAsia" w:ascii="仿宋" w:hAnsi="仿宋" w:eastAsia="仿宋" w:cs="仿宋"/>
                <w:color w:val="FF0000"/>
                <w:sz w:val="24"/>
                <w:szCs w:val="24"/>
                <w:highlight w:val="none"/>
              </w:rPr>
              <w:t>。</w:t>
            </w:r>
          </w:p>
        </w:tc>
      </w:tr>
      <w:tr w14:paraId="5924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2800D798">
            <w:pPr>
              <w:keepNext w:val="0"/>
              <w:keepLines w:val="0"/>
              <w:widowControl w:val="0"/>
              <w:suppressLineNumbers w:val="0"/>
              <w:spacing w:before="0" w:beforeAutospacing="0" w:after="0" w:afterAutospacing="0"/>
              <w:ind w:left="0" w:right="0"/>
              <w:jc w:val="center"/>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3</w:t>
            </w:r>
          </w:p>
        </w:tc>
        <w:tc>
          <w:tcPr>
            <w:tcW w:w="7711" w:type="dxa"/>
            <w:vAlign w:val="center"/>
          </w:tcPr>
          <w:p w14:paraId="151DE5E5">
            <w:pPr>
              <w:keepNext w:val="0"/>
              <w:keepLines w:val="0"/>
              <w:widowControl w:val="0"/>
              <w:suppressLineNumbers w:val="0"/>
              <w:spacing w:before="0" w:beforeAutospacing="0" w:after="0" w:afterAutospacing="0"/>
              <w:ind w:left="0" w:right="0"/>
              <w:jc w:val="both"/>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与其他投标供应商的投标文件或部分投标文件</w:t>
            </w:r>
            <w:r>
              <w:rPr>
                <w:rFonts w:hint="eastAsia" w:ascii="仿宋" w:hAnsi="仿宋" w:eastAsia="仿宋" w:cs="仿宋"/>
                <w:b/>
                <w:bCs/>
                <w:color w:val="FF0000"/>
                <w:sz w:val="24"/>
                <w:szCs w:val="24"/>
                <w:highlight w:val="none"/>
              </w:rPr>
              <w:t>相互混装或存在非正常一致</w:t>
            </w:r>
            <w:r>
              <w:rPr>
                <w:rFonts w:hint="eastAsia" w:ascii="仿宋" w:hAnsi="仿宋" w:eastAsia="仿宋" w:cs="仿宋"/>
                <w:color w:val="FF0000"/>
                <w:sz w:val="24"/>
                <w:szCs w:val="24"/>
                <w:highlight w:val="none"/>
              </w:rPr>
              <w:t>。</w:t>
            </w:r>
          </w:p>
        </w:tc>
      </w:tr>
      <w:tr w14:paraId="3759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433038D9">
            <w:pPr>
              <w:keepNext w:val="0"/>
              <w:keepLines w:val="0"/>
              <w:widowControl w:val="0"/>
              <w:suppressLineNumbers w:val="0"/>
              <w:spacing w:before="0" w:beforeAutospacing="0" w:after="0" w:afterAutospacing="0"/>
              <w:ind w:left="0" w:right="0"/>
              <w:jc w:val="center"/>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4</w:t>
            </w:r>
          </w:p>
        </w:tc>
        <w:tc>
          <w:tcPr>
            <w:tcW w:w="7711" w:type="dxa"/>
            <w:vAlign w:val="center"/>
          </w:tcPr>
          <w:p w14:paraId="45AB2014">
            <w:pPr>
              <w:keepNext w:val="0"/>
              <w:keepLines w:val="0"/>
              <w:widowControl w:val="0"/>
              <w:suppressLineNumbers w:val="0"/>
              <w:spacing w:before="0" w:beforeAutospacing="0" w:after="0" w:afterAutospacing="0"/>
              <w:ind w:left="0" w:right="0"/>
              <w:jc w:val="both"/>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与其他投标供应商的投标文件由</w:t>
            </w:r>
            <w:r>
              <w:rPr>
                <w:rFonts w:hint="eastAsia" w:ascii="仿宋" w:hAnsi="仿宋" w:eastAsia="仿宋" w:cs="仿宋"/>
                <w:b/>
                <w:bCs/>
                <w:color w:val="FF0000"/>
                <w:sz w:val="24"/>
                <w:szCs w:val="24"/>
                <w:highlight w:val="none"/>
              </w:rPr>
              <w:t>同一单位或者同一人编制</w:t>
            </w:r>
            <w:r>
              <w:rPr>
                <w:rFonts w:hint="eastAsia" w:ascii="仿宋" w:hAnsi="仿宋" w:eastAsia="仿宋" w:cs="仿宋"/>
                <w:color w:val="FF0000"/>
                <w:sz w:val="24"/>
                <w:szCs w:val="24"/>
                <w:highlight w:val="none"/>
              </w:rPr>
              <w:t>，或者使用</w:t>
            </w:r>
            <w:r>
              <w:rPr>
                <w:rFonts w:hint="eastAsia" w:ascii="仿宋" w:hAnsi="仿宋" w:eastAsia="仿宋" w:cs="仿宋"/>
                <w:b/>
                <w:bCs/>
                <w:color w:val="FF0000"/>
                <w:sz w:val="24"/>
                <w:szCs w:val="24"/>
                <w:highlight w:val="none"/>
              </w:rPr>
              <w:t>同一设备编制</w:t>
            </w:r>
            <w:r>
              <w:rPr>
                <w:rFonts w:hint="eastAsia" w:ascii="仿宋" w:hAnsi="仿宋" w:eastAsia="仿宋" w:cs="仿宋"/>
                <w:color w:val="FF0000"/>
                <w:sz w:val="24"/>
                <w:szCs w:val="24"/>
                <w:highlight w:val="none"/>
              </w:rPr>
              <w:t>。</w:t>
            </w:r>
          </w:p>
        </w:tc>
      </w:tr>
      <w:tr w14:paraId="32D8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5AEC9BC9">
            <w:pPr>
              <w:keepNext w:val="0"/>
              <w:keepLines w:val="0"/>
              <w:widowControl w:val="0"/>
              <w:suppressLineNumbers w:val="0"/>
              <w:spacing w:before="0" w:beforeAutospacing="0" w:after="0" w:afterAutospacing="0"/>
              <w:ind w:left="0" w:right="0"/>
              <w:jc w:val="center"/>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5</w:t>
            </w:r>
          </w:p>
        </w:tc>
        <w:tc>
          <w:tcPr>
            <w:tcW w:w="7711" w:type="dxa"/>
            <w:vAlign w:val="center"/>
          </w:tcPr>
          <w:p w14:paraId="495E896C">
            <w:pPr>
              <w:keepNext w:val="0"/>
              <w:keepLines w:val="0"/>
              <w:widowControl w:val="0"/>
              <w:suppressLineNumbers w:val="0"/>
              <w:spacing w:before="0" w:beforeAutospacing="0" w:after="0" w:afterAutospacing="0"/>
              <w:ind w:left="0" w:right="0"/>
              <w:jc w:val="both"/>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提供</w:t>
            </w:r>
            <w:r>
              <w:rPr>
                <w:rFonts w:hint="eastAsia" w:ascii="仿宋" w:hAnsi="仿宋" w:eastAsia="仿宋" w:cs="仿宋"/>
                <w:b/>
                <w:bCs/>
                <w:color w:val="FF0000"/>
                <w:sz w:val="24"/>
                <w:szCs w:val="24"/>
                <w:highlight w:val="none"/>
              </w:rPr>
              <w:t>未经出具机构核实</w:t>
            </w:r>
            <w:r>
              <w:rPr>
                <w:rFonts w:hint="eastAsia" w:ascii="仿宋" w:hAnsi="仿宋" w:eastAsia="仿宋" w:cs="仿宋"/>
                <w:color w:val="FF0000"/>
                <w:sz w:val="24"/>
                <w:szCs w:val="24"/>
                <w:highlight w:val="none"/>
              </w:rPr>
              <w:t>的虚假的检验检测报告、业绩材料、社保缴纳证明、学历学位证书、职称认证证书等材料。</w:t>
            </w:r>
          </w:p>
        </w:tc>
      </w:tr>
      <w:tr w14:paraId="56D1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70CC07CC">
            <w:pPr>
              <w:keepNext w:val="0"/>
              <w:keepLines w:val="0"/>
              <w:widowControl w:val="0"/>
              <w:suppressLineNumbers w:val="0"/>
              <w:spacing w:before="0" w:beforeAutospacing="0" w:after="0" w:afterAutospacing="0"/>
              <w:ind w:left="0" w:right="0"/>
              <w:jc w:val="center"/>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6</w:t>
            </w:r>
          </w:p>
        </w:tc>
        <w:tc>
          <w:tcPr>
            <w:tcW w:w="7711" w:type="dxa"/>
            <w:vAlign w:val="center"/>
          </w:tcPr>
          <w:p w14:paraId="7853B804">
            <w:pPr>
              <w:keepNext w:val="0"/>
              <w:keepLines w:val="0"/>
              <w:widowControl w:val="0"/>
              <w:suppressLineNumbers w:val="0"/>
              <w:spacing w:before="0" w:beforeAutospacing="0" w:after="0" w:afterAutospacing="0"/>
              <w:ind w:left="0" w:right="0"/>
              <w:jc w:val="both"/>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擅自将投标密钥或电子营业执照出借他人使用或未妥善保管。</w:t>
            </w:r>
          </w:p>
        </w:tc>
      </w:tr>
    </w:tbl>
    <w:p w14:paraId="5AF27FA9">
      <w:pPr>
        <w:snapToGrid w:val="0"/>
        <w:spacing w:line="360" w:lineRule="auto"/>
        <w:ind w:firstLine="470" w:firstLineChars="196"/>
        <w:rPr>
          <w:rFonts w:hint="eastAsia" w:ascii="仿宋" w:hAnsi="仿宋" w:eastAsia="仿宋" w:cs="仿宋"/>
          <w:color w:val="FF0000"/>
          <w:sz w:val="24"/>
          <w:highlight w:val="none"/>
        </w:rPr>
      </w:pPr>
      <w:r>
        <w:rPr>
          <w:rFonts w:hint="eastAsia" w:ascii="仿宋" w:hAnsi="仿宋" w:eastAsia="仿宋" w:cs="仿宋"/>
          <w:color w:val="FF0000"/>
          <w:sz w:val="24"/>
          <w:highlight w:val="none"/>
          <w:lang w:eastAsia="zh-CN"/>
        </w:rPr>
        <w:t>二</w:t>
      </w:r>
      <w:r>
        <w:rPr>
          <w:rFonts w:hint="eastAsia" w:ascii="仿宋" w:hAnsi="仿宋" w:eastAsia="仿宋" w:cs="仿宋"/>
          <w:color w:val="FF0000"/>
          <w:sz w:val="24"/>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71F39600">
      <w:pPr>
        <w:snapToGrid w:val="0"/>
        <w:spacing w:line="360" w:lineRule="auto"/>
        <w:ind w:firstLine="470" w:firstLineChars="196"/>
        <w:rPr>
          <w:rFonts w:hint="eastAsia" w:ascii="仿宋" w:hAnsi="仿宋" w:eastAsia="仿宋" w:cs="仿宋"/>
          <w:color w:val="FF0000"/>
          <w:sz w:val="24"/>
          <w:highlight w:val="none"/>
        </w:rPr>
      </w:pPr>
      <w:r>
        <w:rPr>
          <w:rFonts w:hint="eastAsia" w:ascii="仿宋" w:hAnsi="仿宋" w:eastAsia="仿宋" w:cs="仿宋"/>
          <w:color w:val="FF0000"/>
          <w:sz w:val="24"/>
          <w:highlight w:val="none"/>
        </w:rPr>
        <w:t>（一）在采购活动中应当回避而未回避的；</w:t>
      </w:r>
    </w:p>
    <w:p w14:paraId="756E4E6A">
      <w:pPr>
        <w:snapToGrid w:val="0"/>
        <w:spacing w:line="360" w:lineRule="auto"/>
        <w:ind w:firstLine="470" w:firstLineChars="196"/>
        <w:rPr>
          <w:rFonts w:hint="eastAsia" w:ascii="仿宋" w:hAnsi="仿宋" w:eastAsia="仿宋" w:cs="仿宋"/>
          <w:color w:val="FF0000"/>
          <w:sz w:val="24"/>
          <w:highlight w:val="none"/>
        </w:rPr>
      </w:pPr>
      <w:r>
        <w:rPr>
          <w:rFonts w:hint="eastAsia" w:ascii="仿宋" w:hAnsi="仿宋" w:eastAsia="仿宋" w:cs="仿宋"/>
          <w:color w:val="FF0000"/>
          <w:sz w:val="24"/>
          <w:highlight w:val="none"/>
        </w:rPr>
        <w:t>（二）未按本条例规定签订、履行采购合同，造成严重后果的；</w:t>
      </w:r>
    </w:p>
    <w:p w14:paraId="1936FE69">
      <w:pPr>
        <w:snapToGrid w:val="0"/>
        <w:spacing w:line="360" w:lineRule="auto"/>
        <w:ind w:firstLine="470" w:firstLineChars="196"/>
        <w:rPr>
          <w:rFonts w:hint="eastAsia" w:ascii="仿宋" w:hAnsi="仿宋" w:eastAsia="仿宋" w:cs="仿宋"/>
          <w:color w:val="FF0000"/>
          <w:sz w:val="24"/>
          <w:highlight w:val="none"/>
        </w:rPr>
      </w:pPr>
      <w:r>
        <w:rPr>
          <w:rFonts w:hint="eastAsia" w:ascii="仿宋" w:hAnsi="仿宋" w:eastAsia="仿宋" w:cs="仿宋"/>
          <w:color w:val="FF0000"/>
          <w:sz w:val="24"/>
          <w:highlight w:val="none"/>
        </w:rPr>
        <w:t>（三）隐瞒真实情况，提供虚假资料的；</w:t>
      </w:r>
    </w:p>
    <w:p w14:paraId="3134F3A8">
      <w:pPr>
        <w:snapToGrid w:val="0"/>
        <w:spacing w:line="360" w:lineRule="auto"/>
        <w:ind w:firstLine="470" w:firstLineChars="196"/>
        <w:rPr>
          <w:rFonts w:hint="eastAsia" w:ascii="仿宋" w:hAnsi="仿宋" w:eastAsia="仿宋" w:cs="仿宋"/>
          <w:color w:val="FF0000"/>
          <w:sz w:val="24"/>
          <w:highlight w:val="none"/>
        </w:rPr>
      </w:pPr>
      <w:r>
        <w:rPr>
          <w:rFonts w:hint="eastAsia" w:ascii="仿宋" w:hAnsi="仿宋" w:eastAsia="仿宋" w:cs="仿宋"/>
          <w:color w:val="FF0000"/>
          <w:sz w:val="24"/>
          <w:highlight w:val="none"/>
        </w:rPr>
        <w:t>（四）以非法手段排斥其他供应商参与竞争的；</w:t>
      </w:r>
    </w:p>
    <w:p w14:paraId="27E8923D">
      <w:pPr>
        <w:snapToGrid w:val="0"/>
        <w:spacing w:line="360" w:lineRule="auto"/>
        <w:ind w:firstLine="470" w:firstLineChars="196"/>
        <w:rPr>
          <w:rFonts w:hint="eastAsia" w:ascii="仿宋" w:hAnsi="仿宋" w:eastAsia="仿宋" w:cs="仿宋"/>
          <w:color w:val="FF0000"/>
          <w:sz w:val="24"/>
          <w:highlight w:val="none"/>
        </w:rPr>
      </w:pPr>
      <w:r>
        <w:rPr>
          <w:rFonts w:hint="eastAsia" w:ascii="仿宋" w:hAnsi="仿宋" w:eastAsia="仿宋" w:cs="仿宋"/>
          <w:color w:val="FF0000"/>
          <w:sz w:val="24"/>
          <w:highlight w:val="none"/>
        </w:rPr>
        <w:t>（五）与其他采购参加人串通投标的；</w:t>
      </w:r>
    </w:p>
    <w:p w14:paraId="65CEF3A8">
      <w:pPr>
        <w:snapToGrid w:val="0"/>
        <w:spacing w:line="360" w:lineRule="auto"/>
        <w:ind w:firstLine="470" w:firstLineChars="196"/>
        <w:rPr>
          <w:rFonts w:hint="eastAsia" w:ascii="仿宋" w:hAnsi="仿宋" w:eastAsia="仿宋" w:cs="仿宋"/>
          <w:color w:val="FF0000"/>
          <w:sz w:val="24"/>
          <w:highlight w:val="none"/>
        </w:rPr>
      </w:pPr>
      <w:r>
        <w:rPr>
          <w:rFonts w:hint="eastAsia" w:ascii="仿宋" w:hAnsi="仿宋" w:eastAsia="仿宋" w:cs="仿宋"/>
          <w:color w:val="FF0000"/>
          <w:sz w:val="24"/>
          <w:highlight w:val="none"/>
        </w:rPr>
        <w:t>（六）恶意投诉的；</w:t>
      </w:r>
    </w:p>
    <w:p w14:paraId="76A292E2">
      <w:pPr>
        <w:snapToGrid w:val="0"/>
        <w:spacing w:line="360" w:lineRule="auto"/>
        <w:ind w:firstLine="470" w:firstLineChars="196"/>
        <w:rPr>
          <w:rFonts w:hint="eastAsia" w:ascii="仿宋" w:hAnsi="仿宋" w:eastAsia="仿宋" w:cs="仿宋"/>
          <w:color w:val="FF0000"/>
          <w:sz w:val="24"/>
          <w:highlight w:val="none"/>
        </w:rPr>
      </w:pPr>
      <w:r>
        <w:rPr>
          <w:rFonts w:hint="eastAsia" w:ascii="仿宋" w:hAnsi="仿宋" w:eastAsia="仿宋" w:cs="仿宋"/>
          <w:color w:val="FF0000"/>
          <w:sz w:val="24"/>
          <w:highlight w:val="none"/>
        </w:rPr>
        <w:t>（七）向采购项目相关人行贿或者提供其他不当利益的；</w:t>
      </w:r>
    </w:p>
    <w:p w14:paraId="413C19F0">
      <w:pPr>
        <w:snapToGrid w:val="0"/>
        <w:spacing w:line="360" w:lineRule="auto"/>
        <w:ind w:firstLine="470" w:firstLineChars="196"/>
        <w:rPr>
          <w:rFonts w:hint="eastAsia" w:ascii="仿宋" w:hAnsi="仿宋" w:eastAsia="仿宋" w:cs="仿宋"/>
          <w:color w:val="FF0000"/>
          <w:sz w:val="24"/>
          <w:highlight w:val="none"/>
        </w:rPr>
      </w:pPr>
      <w:r>
        <w:rPr>
          <w:rFonts w:hint="eastAsia" w:ascii="仿宋" w:hAnsi="仿宋" w:eastAsia="仿宋" w:cs="仿宋"/>
          <w:color w:val="FF0000"/>
          <w:sz w:val="24"/>
          <w:highlight w:val="none"/>
        </w:rPr>
        <w:t>（八）阻碍、抗拒主管部门监督检查的；</w:t>
      </w:r>
    </w:p>
    <w:p w14:paraId="0C9DDA08">
      <w:pPr>
        <w:snapToGrid w:val="0"/>
        <w:spacing w:line="360" w:lineRule="auto"/>
        <w:ind w:firstLine="470" w:firstLineChars="196"/>
        <w:rPr>
          <w:rFonts w:hint="eastAsia" w:ascii="仿宋" w:hAnsi="仿宋" w:eastAsia="仿宋" w:cs="仿宋"/>
          <w:color w:val="FF0000"/>
          <w:sz w:val="24"/>
          <w:highlight w:val="none"/>
        </w:rPr>
      </w:pPr>
      <w:r>
        <w:rPr>
          <w:rFonts w:hint="eastAsia" w:ascii="仿宋" w:hAnsi="仿宋" w:eastAsia="仿宋" w:cs="仿宋"/>
          <w:color w:val="FF0000"/>
          <w:sz w:val="24"/>
          <w:highlight w:val="none"/>
        </w:rPr>
        <w:t>（九）其他违反本条例规定的行为。</w:t>
      </w:r>
    </w:p>
    <w:p w14:paraId="082B1830">
      <w:pPr>
        <w:keepNext w:val="0"/>
        <w:keepLines w:val="0"/>
        <w:pageBreakBefore w:val="0"/>
        <w:widowControl w:val="0"/>
        <w:kinsoku/>
        <w:wordWrap/>
        <w:overflowPunct/>
        <w:topLinePunct w:val="0"/>
        <w:autoSpaceDE/>
        <w:autoSpaceDN/>
        <w:bidi w:val="0"/>
        <w:adjustRightInd/>
        <w:snapToGrid w:val="0"/>
        <w:spacing w:line="360" w:lineRule="auto"/>
        <w:ind w:firstLine="470" w:firstLineChars="196"/>
        <w:textAlignment w:val="auto"/>
        <w:outlineLvl w:val="9"/>
        <w:rPr>
          <w:rFonts w:hint="eastAsia" w:ascii="仿宋" w:hAnsi="仿宋" w:eastAsia="仿宋" w:cs="仿宋"/>
          <w:color w:val="FF0000"/>
          <w:sz w:val="24"/>
          <w:highlight w:val="none"/>
        </w:rPr>
      </w:pPr>
      <w:r>
        <w:rPr>
          <w:rFonts w:hint="eastAsia" w:ascii="仿宋" w:hAnsi="仿宋" w:eastAsia="仿宋" w:cs="仿宋"/>
          <w:color w:val="FF0000"/>
          <w:sz w:val="24"/>
          <w:highlight w:val="none"/>
          <w:lang w:eastAsia="zh-CN"/>
        </w:rPr>
        <w:t>三</w:t>
      </w:r>
      <w:r>
        <w:rPr>
          <w:rFonts w:hint="eastAsia" w:ascii="仿宋" w:hAnsi="仿宋" w:eastAsia="仿宋" w:cs="仿宋"/>
          <w:color w:val="FF0000"/>
          <w:sz w:val="24"/>
          <w:highlight w:val="none"/>
        </w:rPr>
        <w:t>、《深圳经济特区政府采购条例实施细则》第七十</w:t>
      </w:r>
      <w:r>
        <w:rPr>
          <w:rFonts w:hint="eastAsia" w:ascii="仿宋" w:hAnsi="仿宋" w:eastAsia="仿宋" w:cs="仿宋"/>
          <w:color w:val="FF0000"/>
          <w:sz w:val="24"/>
          <w:highlight w:val="none"/>
          <w:lang w:eastAsia="zh-CN"/>
        </w:rPr>
        <w:t>五</w:t>
      </w:r>
      <w:r>
        <w:rPr>
          <w:rFonts w:hint="eastAsia" w:ascii="仿宋" w:hAnsi="仿宋" w:eastAsia="仿宋" w:cs="仿宋"/>
          <w:color w:val="FF0000"/>
          <w:sz w:val="24"/>
          <w:highlight w:val="none"/>
        </w:rPr>
        <w:t>条 供应商有下列情形之一的，属于采购条例所称的串通投标行为，按照采购条例第五十七条有关规定处理：</w:t>
      </w:r>
    </w:p>
    <w:p w14:paraId="4CFA70F5">
      <w:pPr>
        <w:keepNext w:val="0"/>
        <w:keepLines w:val="0"/>
        <w:pageBreakBefore w:val="0"/>
        <w:widowControl w:val="0"/>
        <w:kinsoku/>
        <w:wordWrap/>
        <w:overflowPunct/>
        <w:topLinePunct w:val="0"/>
        <w:autoSpaceDE/>
        <w:autoSpaceDN/>
        <w:bidi w:val="0"/>
        <w:adjustRightInd/>
        <w:snapToGrid w:val="0"/>
        <w:spacing w:line="360" w:lineRule="auto"/>
        <w:ind w:firstLine="470" w:firstLineChars="196"/>
        <w:textAlignment w:val="auto"/>
        <w:outlineLvl w:val="9"/>
        <w:rPr>
          <w:rFonts w:hint="eastAsia" w:ascii="仿宋" w:hAnsi="仿宋" w:eastAsia="仿宋" w:cs="仿宋"/>
          <w:color w:val="FF0000"/>
          <w:sz w:val="24"/>
          <w:highlight w:val="none"/>
        </w:rPr>
      </w:pPr>
      <w:r>
        <w:rPr>
          <w:rFonts w:hint="eastAsia" w:ascii="仿宋" w:hAnsi="仿宋" w:eastAsia="仿宋" w:cs="仿宋"/>
          <w:color w:val="FF0000"/>
          <w:sz w:val="24"/>
          <w:highlight w:val="none"/>
        </w:rPr>
        <w:t>（一）投标供应商之间相互约定给予未中标的供应商利益补偿。</w:t>
      </w:r>
    </w:p>
    <w:p w14:paraId="4EC2A75F">
      <w:pPr>
        <w:keepNext w:val="0"/>
        <w:keepLines w:val="0"/>
        <w:pageBreakBefore w:val="0"/>
        <w:widowControl w:val="0"/>
        <w:kinsoku/>
        <w:wordWrap/>
        <w:overflowPunct/>
        <w:topLinePunct w:val="0"/>
        <w:autoSpaceDE/>
        <w:autoSpaceDN/>
        <w:bidi w:val="0"/>
        <w:adjustRightInd/>
        <w:snapToGrid w:val="0"/>
        <w:spacing w:line="360" w:lineRule="auto"/>
        <w:ind w:firstLine="470" w:firstLineChars="196"/>
        <w:textAlignment w:val="auto"/>
        <w:outlineLvl w:val="9"/>
        <w:rPr>
          <w:rFonts w:hint="eastAsia" w:ascii="仿宋" w:hAnsi="仿宋" w:eastAsia="仿宋" w:cs="仿宋"/>
          <w:color w:val="FF0000"/>
          <w:sz w:val="24"/>
          <w:highlight w:val="none"/>
        </w:rPr>
      </w:pPr>
      <w:r>
        <w:rPr>
          <w:rFonts w:hint="eastAsia" w:ascii="仿宋" w:hAnsi="仿宋" w:eastAsia="仿宋" w:cs="仿宋"/>
          <w:color w:val="FF0000"/>
          <w:sz w:val="24"/>
          <w:highlight w:val="none"/>
        </w:rPr>
        <w:t>（二）不同投标供应商的法定代表人、主要经营负责人、项目投标授权代表人、项目负责人、主要技术人员为同一人、属同一单位或者在同一单位缴纳社会保险。</w:t>
      </w:r>
    </w:p>
    <w:p w14:paraId="1309DF84">
      <w:pPr>
        <w:keepNext w:val="0"/>
        <w:keepLines w:val="0"/>
        <w:pageBreakBefore w:val="0"/>
        <w:widowControl w:val="0"/>
        <w:kinsoku/>
        <w:wordWrap/>
        <w:overflowPunct/>
        <w:topLinePunct w:val="0"/>
        <w:autoSpaceDE/>
        <w:autoSpaceDN/>
        <w:bidi w:val="0"/>
        <w:adjustRightInd/>
        <w:snapToGrid w:val="0"/>
        <w:spacing w:line="360" w:lineRule="auto"/>
        <w:ind w:firstLine="470" w:firstLineChars="196"/>
        <w:textAlignment w:val="auto"/>
        <w:outlineLvl w:val="9"/>
        <w:rPr>
          <w:rFonts w:hint="eastAsia" w:ascii="仿宋" w:hAnsi="仿宋" w:eastAsia="仿宋" w:cs="仿宋"/>
          <w:color w:val="FF0000"/>
          <w:sz w:val="24"/>
          <w:highlight w:val="none"/>
        </w:rPr>
      </w:pPr>
      <w:r>
        <w:rPr>
          <w:rFonts w:hint="eastAsia" w:ascii="仿宋" w:hAnsi="仿宋" w:eastAsia="仿宋" w:cs="仿宋"/>
          <w:color w:val="FF0000"/>
          <w:sz w:val="24"/>
          <w:highlight w:val="none"/>
        </w:rPr>
        <w:t>（三）不同投标供应商的投标文件由同一单位或者同一人编制，或者由同一人分阶段参与编制的。</w:t>
      </w:r>
    </w:p>
    <w:p w14:paraId="7BAA67B2">
      <w:pPr>
        <w:keepNext w:val="0"/>
        <w:keepLines w:val="0"/>
        <w:pageBreakBefore w:val="0"/>
        <w:widowControl w:val="0"/>
        <w:kinsoku/>
        <w:wordWrap/>
        <w:overflowPunct/>
        <w:topLinePunct w:val="0"/>
        <w:autoSpaceDE/>
        <w:autoSpaceDN/>
        <w:bidi w:val="0"/>
        <w:adjustRightInd/>
        <w:snapToGrid w:val="0"/>
        <w:spacing w:line="360" w:lineRule="auto"/>
        <w:ind w:firstLine="470" w:firstLineChars="196"/>
        <w:textAlignment w:val="auto"/>
        <w:outlineLvl w:val="9"/>
        <w:rPr>
          <w:rFonts w:hint="eastAsia" w:ascii="仿宋" w:hAnsi="仿宋" w:eastAsia="仿宋" w:cs="仿宋"/>
          <w:color w:val="FF0000"/>
          <w:sz w:val="24"/>
          <w:highlight w:val="none"/>
        </w:rPr>
      </w:pPr>
      <w:r>
        <w:rPr>
          <w:rFonts w:hint="eastAsia" w:ascii="仿宋" w:hAnsi="仿宋" w:eastAsia="仿宋" w:cs="仿宋"/>
          <w:color w:val="FF0000"/>
          <w:sz w:val="24"/>
          <w:highlight w:val="none"/>
        </w:rPr>
        <w:t>（四）不同投标供应商的投标文件或部分投标文件相互混装。</w:t>
      </w:r>
    </w:p>
    <w:p w14:paraId="07C55C08">
      <w:pPr>
        <w:keepNext w:val="0"/>
        <w:keepLines w:val="0"/>
        <w:pageBreakBefore w:val="0"/>
        <w:widowControl w:val="0"/>
        <w:kinsoku/>
        <w:wordWrap/>
        <w:overflowPunct/>
        <w:topLinePunct w:val="0"/>
        <w:autoSpaceDE/>
        <w:autoSpaceDN/>
        <w:bidi w:val="0"/>
        <w:adjustRightInd/>
        <w:snapToGrid w:val="0"/>
        <w:spacing w:line="360" w:lineRule="auto"/>
        <w:ind w:firstLine="470" w:firstLineChars="196"/>
        <w:textAlignment w:val="auto"/>
        <w:outlineLvl w:val="9"/>
        <w:rPr>
          <w:rFonts w:hint="eastAsia" w:ascii="仿宋" w:hAnsi="仿宋" w:eastAsia="仿宋" w:cs="仿宋"/>
          <w:color w:val="FF0000"/>
          <w:sz w:val="24"/>
          <w:highlight w:val="none"/>
        </w:rPr>
      </w:pPr>
      <w:r>
        <w:rPr>
          <w:rFonts w:hint="eastAsia" w:ascii="仿宋" w:hAnsi="仿宋" w:eastAsia="仿宋" w:cs="仿宋"/>
          <w:color w:val="FF0000"/>
          <w:sz w:val="24"/>
          <w:highlight w:val="none"/>
        </w:rPr>
        <w:t>（五）不同投标供应商的投标文件内容存在非正常一致。</w:t>
      </w:r>
    </w:p>
    <w:p w14:paraId="4623150B">
      <w:pPr>
        <w:keepNext w:val="0"/>
        <w:keepLines w:val="0"/>
        <w:pageBreakBefore w:val="0"/>
        <w:widowControl w:val="0"/>
        <w:kinsoku/>
        <w:wordWrap/>
        <w:overflowPunct/>
        <w:topLinePunct w:val="0"/>
        <w:autoSpaceDE/>
        <w:autoSpaceDN/>
        <w:bidi w:val="0"/>
        <w:adjustRightInd/>
        <w:snapToGrid w:val="0"/>
        <w:spacing w:line="360" w:lineRule="auto"/>
        <w:ind w:firstLine="470" w:firstLineChars="196"/>
        <w:textAlignment w:val="auto"/>
        <w:outlineLvl w:val="9"/>
        <w:rPr>
          <w:rFonts w:hint="eastAsia" w:ascii="仿宋" w:hAnsi="仿宋" w:eastAsia="仿宋" w:cs="仿宋"/>
          <w:color w:val="FF0000"/>
          <w:sz w:val="24"/>
          <w:highlight w:val="none"/>
        </w:rPr>
      </w:pPr>
      <w:r>
        <w:rPr>
          <w:rFonts w:hint="eastAsia" w:ascii="仿宋" w:hAnsi="仿宋" w:eastAsia="仿宋" w:cs="仿宋"/>
          <w:color w:val="FF0000"/>
          <w:sz w:val="24"/>
          <w:highlight w:val="none"/>
        </w:rPr>
        <w:t>（六）由同一单位工作人员为两家以上（含两家）供应商进行同一项投标活动的。</w:t>
      </w:r>
    </w:p>
    <w:p w14:paraId="76AFFDEB">
      <w:pPr>
        <w:keepNext w:val="0"/>
        <w:keepLines w:val="0"/>
        <w:pageBreakBefore w:val="0"/>
        <w:widowControl w:val="0"/>
        <w:kinsoku/>
        <w:wordWrap/>
        <w:overflowPunct/>
        <w:topLinePunct w:val="0"/>
        <w:autoSpaceDE/>
        <w:autoSpaceDN/>
        <w:bidi w:val="0"/>
        <w:adjustRightInd/>
        <w:snapToGrid w:val="0"/>
        <w:spacing w:line="360" w:lineRule="auto"/>
        <w:ind w:firstLine="470" w:firstLineChars="196"/>
        <w:textAlignment w:val="auto"/>
        <w:outlineLvl w:val="9"/>
        <w:rPr>
          <w:rFonts w:hint="eastAsia" w:ascii="仿宋" w:hAnsi="仿宋" w:eastAsia="仿宋" w:cs="仿宋"/>
          <w:color w:val="FF0000"/>
          <w:sz w:val="24"/>
          <w:highlight w:val="none"/>
        </w:rPr>
      </w:pPr>
      <w:r>
        <w:rPr>
          <w:rFonts w:hint="eastAsia" w:ascii="仿宋" w:hAnsi="仿宋" w:eastAsia="仿宋" w:cs="仿宋"/>
          <w:color w:val="FF0000"/>
          <w:sz w:val="24"/>
          <w:highlight w:val="none"/>
        </w:rPr>
        <w:t>（七）主管部门依照法律、法规认定的其他情形。</w:t>
      </w:r>
    </w:p>
    <w:p w14:paraId="04472864">
      <w:pPr>
        <w:keepNext w:val="0"/>
        <w:keepLines w:val="0"/>
        <w:pageBreakBefore w:val="0"/>
        <w:widowControl w:val="0"/>
        <w:kinsoku/>
        <w:wordWrap/>
        <w:overflowPunct/>
        <w:topLinePunct w:val="0"/>
        <w:autoSpaceDE/>
        <w:autoSpaceDN/>
        <w:bidi w:val="0"/>
        <w:adjustRightInd/>
        <w:snapToGrid w:val="0"/>
        <w:spacing w:line="360" w:lineRule="auto"/>
        <w:ind w:firstLine="470" w:firstLineChars="196"/>
        <w:textAlignment w:val="auto"/>
        <w:outlineLvl w:val="9"/>
        <w:rPr>
          <w:rFonts w:hint="eastAsia" w:ascii="仿宋" w:hAnsi="仿宋" w:eastAsia="仿宋" w:cs="仿宋"/>
          <w:color w:val="FF0000"/>
          <w:sz w:val="24"/>
          <w:highlight w:val="none"/>
        </w:rPr>
      </w:pPr>
    </w:p>
    <w:p w14:paraId="67B5F695">
      <w:pPr>
        <w:keepNext w:val="0"/>
        <w:keepLines w:val="0"/>
        <w:pageBreakBefore w:val="0"/>
        <w:widowControl w:val="0"/>
        <w:kinsoku/>
        <w:wordWrap/>
        <w:overflowPunct/>
        <w:topLinePunct w:val="0"/>
        <w:autoSpaceDE/>
        <w:autoSpaceDN/>
        <w:bidi w:val="0"/>
        <w:adjustRightInd/>
        <w:snapToGrid w:val="0"/>
        <w:spacing w:line="360" w:lineRule="auto"/>
        <w:ind w:firstLine="470" w:firstLineChars="196"/>
        <w:textAlignment w:val="auto"/>
        <w:outlineLvl w:val="9"/>
        <w:rPr>
          <w:rFonts w:hint="eastAsia" w:ascii="仿宋" w:hAnsi="仿宋" w:eastAsia="仿宋" w:cs="仿宋"/>
          <w:color w:val="FF0000"/>
          <w:sz w:val="24"/>
          <w:highlight w:val="none"/>
        </w:rPr>
      </w:pPr>
      <w:r>
        <w:rPr>
          <w:rFonts w:hint="eastAsia" w:ascii="仿宋" w:hAnsi="仿宋" w:eastAsia="仿宋" w:cs="仿宋"/>
          <w:color w:val="FF0000"/>
          <w:sz w:val="24"/>
          <w:highlight w:val="none"/>
          <w:lang w:eastAsia="zh-CN"/>
        </w:rPr>
        <w:t>四</w:t>
      </w:r>
      <w:r>
        <w:rPr>
          <w:rFonts w:hint="eastAsia" w:ascii="仿宋" w:hAnsi="仿宋" w:eastAsia="仿宋" w:cs="仿宋"/>
          <w:color w:val="FF0000"/>
          <w:sz w:val="24"/>
          <w:highlight w:val="none"/>
        </w:rPr>
        <w:t>、《深圳经济特区政府采购条例实施细则》第</w:t>
      </w:r>
      <w:r>
        <w:rPr>
          <w:rFonts w:hint="eastAsia" w:ascii="仿宋" w:hAnsi="仿宋" w:eastAsia="仿宋" w:cs="仿宋"/>
          <w:color w:val="FF0000"/>
          <w:sz w:val="24"/>
          <w:highlight w:val="none"/>
          <w:lang w:eastAsia="zh-CN"/>
        </w:rPr>
        <w:t>七十七</w:t>
      </w:r>
      <w:r>
        <w:rPr>
          <w:rFonts w:hint="eastAsia" w:ascii="仿宋" w:hAnsi="仿宋" w:eastAsia="仿宋" w:cs="仿宋"/>
          <w:color w:val="FF0000"/>
          <w:sz w:val="24"/>
          <w:highlight w:val="none"/>
        </w:rPr>
        <w:t>条 供应商有下列情形之一的，属于隐瞒真实情况，提供虚假资料，按照采购条例第五十七条的有关规定处理：</w:t>
      </w:r>
    </w:p>
    <w:p w14:paraId="718544DE">
      <w:pPr>
        <w:keepNext w:val="0"/>
        <w:keepLines w:val="0"/>
        <w:pageBreakBefore w:val="0"/>
        <w:widowControl w:val="0"/>
        <w:kinsoku/>
        <w:wordWrap/>
        <w:overflowPunct/>
        <w:topLinePunct w:val="0"/>
        <w:autoSpaceDE/>
        <w:autoSpaceDN/>
        <w:bidi w:val="0"/>
        <w:adjustRightInd/>
        <w:snapToGrid w:val="0"/>
        <w:spacing w:line="360" w:lineRule="auto"/>
        <w:ind w:firstLine="470" w:firstLineChars="196"/>
        <w:textAlignment w:val="auto"/>
        <w:outlineLvl w:val="9"/>
        <w:rPr>
          <w:rFonts w:hint="eastAsia" w:ascii="仿宋" w:hAnsi="仿宋" w:eastAsia="仿宋" w:cs="仿宋"/>
          <w:color w:val="FF0000"/>
          <w:sz w:val="24"/>
          <w:highlight w:val="none"/>
        </w:rPr>
      </w:pPr>
      <w:r>
        <w:rPr>
          <w:rFonts w:hint="eastAsia" w:ascii="仿宋" w:hAnsi="仿宋" w:eastAsia="仿宋" w:cs="仿宋"/>
          <w:color w:val="FF0000"/>
          <w:sz w:val="24"/>
          <w:highlight w:val="none"/>
        </w:rPr>
        <w:t>（一）通过转让或者租借等方式从其他单位获取资格或者资质证书投标的。</w:t>
      </w:r>
    </w:p>
    <w:p w14:paraId="58D2C6C5">
      <w:pPr>
        <w:keepNext w:val="0"/>
        <w:keepLines w:val="0"/>
        <w:pageBreakBefore w:val="0"/>
        <w:widowControl w:val="0"/>
        <w:kinsoku/>
        <w:wordWrap/>
        <w:overflowPunct/>
        <w:topLinePunct w:val="0"/>
        <w:autoSpaceDE/>
        <w:autoSpaceDN/>
        <w:bidi w:val="0"/>
        <w:adjustRightInd/>
        <w:snapToGrid w:val="0"/>
        <w:spacing w:line="360" w:lineRule="auto"/>
        <w:ind w:firstLine="470" w:firstLineChars="196"/>
        <w:textAlignment w:val="auto"/>
        <w:outlineLvl w:val="9"/>
        <w:rPr>
          <w:rFonts w:hint="eastAsia" w:ascii="仿宋" w:hAnsi="仿宋" w:eastAsia="仿宋" w:cs="仿宋"/>
          <w:color w:val="FF0000"/>
          <w:sz w:val="24"/>
          <w:highlight w:val="none"/>
        </w:rPr>
      </w:pPr>
      <w:r>
        <w:rPr>
          <w:rFonts w:hint="eastAsia" w:ascii="仿宋" w:hAnsi="仿宋" w:eastAsia="仿宋" w:cs="仿宋"/>
          <w:color w:val="FF0000"/>
          <w:sz w:val="24"/>
          <w:highlight w:val="none"/>
        </w:rPr>
        <w:t>（二）由其他单位或者其他单位负责人在投标供应商编制的投标文件上加盖印章或者签字的。</w:t>
      </w:r>
    </w:p>
    <w:p w14:paraId="5C3C1BD5">
      <w:pPr>
        <w:keepNext w:val="0"/>
        <w:keepLines w:val="0"/>
        <w:pageBreakBefore w:val="0"/>
        <w:widowControl w:val="0"/>
        <w:kinsoku/>
        <w:wordWrap/>
        <w:overflowPunct/>
        <w:topLinePunct w:val="0"/>
        <w:autoSpaceDE/>
        <w:autoSpaceDN/>
        <w:bidi w:val="0"/>
        <w:adjustRightInd/>
        <w:snapToGrid w:val="0"/>
        <w:spacing w:line="360" w:lineRule="auto"/>
        <w:ind w:firstLine="470" w:firstLineChars="196"/>
        <w:textAlignment w:val="auto"/>
        <w:outlineLvl w:val="9"/>
        <w:rPr>
          <w:rFonts w:hint="eastAsia" w:ascii="仿宋" w:hAnsi="仿宋" w:eastAsia="仿宋" w:cs="仿宋"/>
          <w:color w:val="FF0000"/>
          <w:sz w:val="24"/>
          <w:highlight w:val="none"/>
        </w:rPr>
      </w:pPr>
      <w:r>
        <w:rPr>
          <w:rFonts w:hint="eastAsia" w:ascii="仿宋" w:hAnsi="仿宋" w:eastAsia="仿宋" w:cs="仿宋"/>
          <w:color w:val="FF0000"/>
          <w:sz w:val="24"/>
          <w:highlight w:val="none"/>
        </w:rPr>
        <w:t>（三）项目负责人或者主要技术人员不是本单位人员的。</w:t>
      </w:r>
    </w:p>
    <w:p w14:paraId="03BF361E">
      <w:pPr>
        <w:keepNext w:val="0"/>
        <w:keepLines w:val="0"/>
        <w:pageBreakBefore w:val="0"/>
        <w:widowControl w:val="0"/>
        <w:kinsoku/>
        <w:wordWrap/>
        <w:overflowPunct/>
        <w:topLinePunct w:val="0"/>
        <w:autoSpaceDE/>
        <w:autoSpaceDN/>
        <w:bidi w:val="0"/>
        <w:adjustRightInd/>
        <w:snapToGrid w:val="0"/>
        <w:spacing w:line="360" w:lineRule="auto"/>
        <w:ind w:firstLine="470" w:firstLineChars="196"/>
        <w:textAlignment w:val="auto"/>
        <w:outlineLvl w:val="9"/>
        <w:rPr>
          <w:rFonts w:hint="eastAsia" w:ascii="仿宋" w:hAnsi="仿宋" w:eastAsia="仿宋" w:cs="仿宋"/>
          <w:color w:val="FF0000"/>
          <w:sz w:val="24"/>
          <w:highlight w:val="none"/>
        </w:rPr>
      </w:pPr>
      <w:r>
        <w:rPr>
          <w:rFonts w:hint="eastAsia" w:ascii="仿宋" w:hAnsi="仿宋" w:eastAsia="仿宋" w:cs="仿宋"/>
          <w:color w:val="FF0000"/>
          <w:sz w:val="24"/>
          <w:highlight w:val="none"/>
        </w:rPr>
        <w:t>（四）投标保证金不是从投标供应商基本账户转出的。</w:t>
      </w:r>
    </w:p>
    <w:p w14:paraId="1DFF82AE">
      <w:pPr>
        <w:keepNext w:val="0"/>
        <w:keepLines w:val="0"/>
        <w:pageBreakBefore w:val="0"/>
        <w:widowControl w:val="0"/>
        <w:kinsoku/>
        <w:wordWrap/>
        <w:overflowPunct/>
        <w:topLinePunct w:val="0"/>
        <w:autoSpaceDE/>
        <w:autoSpaceDN/>
        <w:bidi w:val="0"/>
        <w:adjustRightInd/>
        <w:snapToGrid w:val="0"/>
        <w:spacing w:line="360" w:lineRule="auto"/>
        <w:ind w:firstLine="470" w:firstLineChars="196"/>
        <w:textAlignment w:val="auto"/>
        <w:outlineLvl w:val="9"/>
        <w:rPr>
          <w:rFonts w:hint="eastAsia" w:ascii="仿宋" w:hAnsi="仿宋" w:eastAsia="仿宋" w:cs="仿宋"/>
          <w:color w:val="FF0000"/>
          <w:sz w:val="24"/>
          <w:highlight w:val="none"/>
        </w:rPr>
      </w:pPr>
      <w:r>
        <w:rPr>
          <w:rFonts w:hint="eastAsia" w:ascii="仿宋" w:hAnsi="仿宋" w:eastAsia="仿宋" w:cs="仿宋"/>
          <w:color w:val="FF0000"/>
          <w:sz w:val="24"/>
          <w:highlight w:val="none"/>
        </w:rPr>
        <w:t>（五）其他隐瞒真实情况、提供虚假资料的行为。</w:t>
      </w:r>
    </w:p>
    <w:p w14:paraId="61AA9582">
      <w:pPr>
        <w:snapToGrid w:val="0"/>
        <w:spacing w:line="360" w:lineRule="auto"/>
        <w:ind w:firstLine="470" w:firstLineChars="196"/>
        <w:rPr>
          <w:rFonts w:hint="eastAsia" w:ascii="仿宋" w:hAnsi="仿宋" w:eastAsia="仿宋" w:cs="仿宋"/>
          <w:color w:val="FF0000"/>
          <w:sz w:val="24"/>
          <w:highlight w:val="none"/>
        </w:rPr>
      </w:pPr>
      <w:r>
        <w:rPr>
          <w:rFonts w:hint="eastAsia" w:ascii="仿宋" w:hAnsi="仿宋" w:eastAsia="仿宋" w:cs="仿宋"/>
          <w:color w:val="FF0000"/>
          <w:sz w:val="24"/>
          <w:highlight w:val="none"/>
        </w:rPr>
        <w:t>投标供应商不能提供项目负责人或者主要技术人员的劳动合同、社会保险等劳动关系证明材料的，视为存在前款第（三）项规定的情形。</w:t>
      </w:r>
    </w:p>
    <w:p w14:paraId="05E72F47">
      <w:pPr>
        <w:snapToGrid w:val="0"/>
        <w:spacing w:line="360" w:lineRule="auto"/>
        <w:ind w:firstLine="470" w:firstLineChars="196"/>
        <w:rPr>
          <w:rFonts w:hint="eastAsia" w:ascii="仿宋" w:hAnsi="仿宋" w:eastAsia="仿宋" w:cs="仿宋"/>
          <w:color w:val="FF0000"/>
          <w:sz w:val="24"/>
          <w:highlight w:val="none"/>
          <w:lang w:eastAsia="zh-CN"/>
        </w:rPr>
      </w:pPr>
      <w:r>
        <w:rPr>
          <w:rFonts w:hint="eastAsia" w:ascii="仿宋" w:hAnsi="仿宋" w:eastAsia="仿宋" w:cs="仿宋"/>
          <w:color w:val="FF0000"/>
          <w:sz w:val="24"/>
          <w:highlight w:val="none"/>
          <w:lang w:eastAsia="zh-CN"/>
        </w:rPr>
        <w:t>五</w:t>
      </w:r>
      <w:r>
        <w:rPr>
          <w:rFonts w:hint="eastAsia" w:ascii="仿宋" w:hAnsi="仿宋" w:eastAsia="仿宋" w:cs="仿宋"/>
          <w:color w:val="FF0000"/>
          <w:sz w:val="24"/>
          <w:highlight w:val="none"/>
        </w:rPr>
        <w:t>、请投标供应商阅读《采购违法行为风险知悉确认书》（内容详见“投标文件的格式、附件”中“招标文件要求的其他内容及投标人认为需要加以说明其他内容”），并经各投标供应商负责人或投标授权代表签字并加盖单位公章后，扫描上传至投标文件一并提交。</w:t>
      </w:r>
    </w:p>
    <w:p w14:paraId="576FC4B4">
      <w:pPr>
        <w:snapToGrid w:val="0"/>
        <w:spacing w:line="360" w:lineRule="auto"/>
        <w:ind w:firstLine="470" w:firstLineChars="196"/>
        <w:rPr>
          <w:rFonts w:hint="eastAsia" w:ascii="仿宋" w:hAnsi="仿宋" w:eastAsia="仿宋" w:cs="仿宋"/>
          <w:color w:val="FF0000"/>
          <w:sz w:val="24"/>
          <w:highlight w:val="none"/>
        </w:rPr>
      </w:pPr>
      <w:r>
        <w:rPr>
          <w:rFonts w:hint="eastAsia" w:ascii="仿宋" w:hAnsi="仿宋" w:eastAsia="仿宋" w:cs="仿宋"/>
          <w:color w:val="FF0000"/>
          <w:sz w:val="24"/>
          <w:highlight w:val="none"/>
        </w:rPr>
        <w:t>注：该风险知悉确认书用于对供应商违法行为的警示，不作为供应商资格性审查及符合性审查条件。</w:t>
      </w:r>
    </w:p>
    <w:p w14:paraId="300CFF8A">
      <w:pPr>
        <w:rPr>
          <w:rFonts w:hint="eastAsia" w:ascii="仿宋" w:hAnsi="仿宋" w:eastAsia="仿宋" w:cs="仿宋"/>
          <w:highlight w:val="none"/>
        </w:rPr>
      </w:pPr>
    </w:p>
    <w:p w14:paraId="1ABF1BD2">
      <w:pPr>
        <w:rPr>
          <w:rFonts w:hint="eastAsia" w:ascii="仿宋" w:hAnsi="仿宋" w:eastAsia="仿宋" w:cs="仿宋"/>
          <w:highlight w:val="none"/>
        </w:rPr>
      </w:pPr>
      <w:r>
        <w:rPr>
          <w:rFonts w:hint="eastAsia" w:ascii="仿宋" w:hAnsi="仿宋" w:eastAsia="仿宋" w:cs="仿宋"/>
          <w:highlight w:val="none"/>
        </w:rPr>
        <w:br w:type="page"/>
      </w:r>
    </w:p>
    <w:p w14:paraId="50233228">
      <w:pPr>
        <w:pStyle w:val="13"/>
        <w:rPr>
          <w:rFonts w:hint="eastAsia" w:ascii="仿宋" w:hAnsi="仿宋" w:eastAsia="仿宋" w:cs="仿宋"/>
          <w:highlight w:val="none"/>
        </w:rPr>
      </w:pPr>
    </w:p>
    <w:p w14:paraId="45C69FD3">
      <w:pPr>
        <w:rPr>
          <w:rFonts w:hint="eastAsia" w:ascii="仿宋" w:hAnsi="仿宋" w:eastAsia="仿宋" w:cs="仿宋"/>
          <w:highlight w:val="none"/>
        </w:rPr>
      </w:pPr>
    </w:p>
    <w:p w14:paraId="0CFBA692">
      <w:pPr>
        <w:rPr>
          <w:rFonts w:hint="eastAsia" w:ascii="仿宋" w:hAnsi="仿宋" w:eastAsia="仿宋" w:cs="仿宋"/>
          <w:highlight w:val="none"/>
        </w:rPr>
      </w:pPr>
    </w:p>
    <w:p w14:paraId="798A6C08">
      <w:pPr>
        <w:rPr>
          <w:rFonts w:hint="eastAsia" w:ascii="仿宋" w:hAnsi="仿宋" w:eastAsia="仿宋" w:cs="仿宋"/>
          <w:highlight w:val="none"/>
        </w:rPr>
      </w:pPr>
    </w:p>
    <w:p w14:paraId="6C3BCE34">
      <w:pPr>
        <w:rPr>
          <w:rFonts w:hint="eastAsia" w:ascii="仿宋" w:hAnsi="仿宋" w:eastAsia="仿宋" w:cs="仿宋"/>
          <w:highlight w:val="none"/>
        </w:rPr>
      </w:pPr>
    </w:p>
    <w:p w14:paraId="337E772E">
      <w:pPr>
        <w:rPr>
          <w:rFonts w:hint="eastAsia" w:ascii="仿宋" w:hAnsi="仿宋" w:eastAsia="仿宋" w:cs="仿宋"/>
          <w:highlight w:val="none"/>
        </w:rPr>
      </w:pPr>
    </w:p>
    <w:p w14:paraId="397F4A59">
      <w:pPr>
        <w:rPr>
          <w:rFonts w:hint="eastAsia" w:ascii="仿宋" w:hAnsi="仿宋" w:eastAsia="仿宋" w:cs="仿宋"/>
          <w:highlight w:val="none"/>
        </w:rPr>
      </w:pPr>
    </w:p>
    <w:p w14:paraId="66ADEA5E">
      <w:pPr>
        <w:rPr>
          <w:rFonts w:hint="eastAsia" w:ascii="仿宋" w:hAnsi="仿宋" w:eastAsia="仿宋" w:cs="仿宋"/>
          <w:highlight w:val="none"/>
        </w:rPr>
      </w:pPr>
    </w:p>
    <w:p w14:paraId="4C11A650">
      <w:pPr>
        <w:rPr>
          <w:rFonts w:hint="eastAsia" w:ascii="仿宋" w:hAnsi="仿宋" w:eastAsia="仿宋" w:cs="仿宋"/>
          <w:highlight w:val="none"/>
        </w:rPr>
      </w:pPr>
    </w:p>
    <w:p w14:paraId="3B13BD3B">
      <w:pPr>
        <w:rPr>
          <w:rFonts w:hint="eastAsia" w:ascii="仿宋" w:hAnsi="仿宋" w:eastAsia="仿宋" w:cs="仿宋"/>
          <w:highlight w:val="none"/>
        </w:rPr>
      </w:pPr>
    </w:p>
    <w:p w14:paraId="43EE2BA4">
      <w:pPr>
        <w:rPr>
          <w:rFonts w:hint="eastAsia" w:ascii="仿宋" w:hAnsi="仿宋" w:eastAsia="仿宋" w:cs="仿宋"/>
          <w:highlight w:val="none"/>
        </w:rPr>
      </w:pPr>
    </w:p>
    <w:p w14:paraId="65B17C6F">
      <w:pPr>
        <w:rPr>
          <w:rFonts w:hint="eastAsia" w:ascii="仿宋" w:hAnsi="仿宋" w:eastAsia="仿宋" w:cs="仿宋"/>
          <w:highlight w:val="none"/>
        </w:rPr>
      </w:pPr>
    </w:p>
    <w:p w14:paraId="6D3B7D34">
      <w:pPr>
        <w:rPr>
          <w:rFonts w:hint="eastAsia" w:ascii="仿宋" w:hAnsi="仿宋" w:eastAsia="仿宋" w:cs="仿宋"/>
          <w:highlight w:val="none"/>
        </w:rPr>
      </w:pPr>
    </w:p>
    <w:p w14:paraId="07B82357">
      <w:pPr>
        <w:rPr>
          <w:rFonts w:hint="eastAsia" w:ascii="仿宋" w:hAnsi="仿宋" w:eastAsia="仿宋" w:cs="仿宋"/>
          <w:highlight w:val="none"/>
        </w:rPr>
      </w:pPr>
    </w:p>
    <w:p w14:paraId="17E15D50">
      <w:pPr>
        <w:rPr>
          <w:rFonts w:hint="eastAsia" w:ascii="仿宋" w:hAnsi="仿宋" w:eastAsia="仿宋" w:cs="仿宋"/>
          <w:highlight w:val="none"/>
        </w:rPr>
      </w:pPr>
    </w:p>
    <w:p w14:paraId="63BAE8ED">
      <w:pPr>
        <w:rPr>
          <w:rFonts w:hint="eastAsia" w:ascii="仿宋" w:hAnsi="仿宋" w:eastAsia="仿宋" w:cs="仿宋"/>
          <w:highlight w:val="none"/>
        </w:rPr>
      </w:pPr>
    </w:p>
    <w:p w14:paraId="7A88FBF3">
      <w:pPr>
        <w:pStyle w:val="39"/>
        <w:spacing w:before="120" w:after="120"/>
        <w:rPr>
          <w:rFonts w:hint="eastAsia" w:ascii="仿宋" w:hAnsi="仿宋" w:eastAsia="仿宋" w:cs="仿宋"/>
          <w:b w:val="0"/>
          <w:highlight w:val="none"/>
        </w:rPr>
      </w:pPr>
      <w:bookmarkStart w:id="2" w:name="_Toc22450"/>
      <w:r>
        <w:rPr>
          <w:rFonts w:hint="eastAsia" w:ascii="仿宋" w:hAnsi="仿宋" w:eastAsia="仿宋" w:cs="仿宋"/>
          <w:b w:val="0"/>
          <w:sz w:val="44"/>
          <w:highlight w:val="none"/>
        </w:rPr>
        <w:t>第一册</w:t>
      </w:r>
      <w:r>
        <w:rPr>
          <w:rFonts w:hint="eastAsia" w:ascii="仿宋" w:hAnsi="仿宋" w:eastAsia="仿宋" w:cs="仿宋"/>
          <w:b w:val="0"/>
          <w:sz w:val="44"/>
          <w:highlight w:val="none"/>
          <w:lang w:val="en-US" w:eastAsia="zh-CN"/>
        </w:rPr>
        <w:t xml:space="preserve"> </w:t>
      </w:r>
      <w:r>
        <w:rPr>
          <w:rFonts w:hint="eastAsia" w:ascii="仿宋" w:hAnsi="仿宋" w:eastAsia="仿宋" w:cs="仿宋"/>
          <w:b w:val="0"/>
          <w:sz w:val="44"/>
          <w:highlight w:val="none"/>
        </w:rPr>
        <w:t>通用条款</w:t>
      </w:r>
      <w:bookmarkEnd w:id="2"/>
    </w:p>
    <w:p w14:paraId="02E28DBA">
      <w:pPr>
        <w:rPr>
          <w:rFonts w:hint="eastAsia" w:ascii="仿宋" w:hAnsi="仿宋" w:eastAsia="仿宋" w:cs="仿宋"/>
          <w:highlight w:val="none"/>
        </w:rPr>
      </w:pPr>
    </w:p>
    <w:p w14:paraId="603B726C">
      <w:pPr>
        <w:rPr>
          <w:rFonts w:hint="eastAsia" w:ascii="仿宋" w:hAnsi="仿宋" w:eastAsia="仿宋" w:cs="仿宋"/>
          <w:highlight w:val="none"/>
        </w:rPr>
      </w:pPr>
    </w:p>
    <w:p w14:paraId="432D86B2">
      <w:pPr>
        <w:rPr>
          <w:rFonts w:hint="eastAsia" w:ascii="仿宋" w:hAnsi="仿宋" w:eastAsia="仿宋" w:cs="仿宋"/>
          <w:highlight w:val="none"/>
        </w:rPr>
      </w:pPr>
    </w:p>
    <w:p w14:paraId="62BFB9B0">
      <w:pPr>
        <w:rPr>
          <w:rFonts w:hint="eastAsia" w:ascii="仿宋" w:hAnsi="仿宋" w:eastAsia="仿宋" w:cs="仿宋"/>
          <w:highlight w:val="none"/>
        </w:rPr>
      </w:pPr>
    </w:p>
    <w:p w14:paraId="3E72F9B6">
      <w:pPr>
        <w:rPr>
          <w:rFonts w:hint="eastAsia" w:ascii="仿宋" w:hAnsi="仿宋" w:eastAsia="仿宋" w:cs="仿宋"/>
          <w:highlight w:val="none"/>
        </w:rPr>
      </w:pPr>
    </w:p>
    <w:p w14:paraId="3944638E">
      <w:pPr>
        <w:rPr>
          <w:rFonts w:hint="eastAsia" w:ascii="仿宋" w:hAnsi="仿宋" w:eastAsia="仿宋" w:cs="仿宋"/>
          <w:highlight w:val="none"/>
        </w:rPr>
      </w:pPr>
    </w:p>
    <w:p w14:paraId="1194B18E">
      <w:pPr>
        <w:rPr>
          <w:rFonts w:hint="eastAsia" w:ascii="仿宋" w:hAnsi="仿宋" w:eastAsia="仿宋" w:cs="仿宋"/>
          <w:highlight w:val="none"/>
        </w:rPr>
      </w:pPr>
    </w:p>
    <w:p w14:paraId="39FC5F32">
      <w:pPr>
        <w:rPr>
          <w:rFonts w:hint="eastAsia" w:ascii="仿宋" w:hAnsi="仿宋" w:eastAsia="仿宋" w:cs="仿宋"/>
          <w:highlight w:val="none"/>
        </w:rPr>
      </w:pPr>
    </w:p>
    <w:p w14:paraId="3B22279F">
      <w:pPr>
        <w:rPr>
          <w:rFonts w:hint="eastAsia" w:ascii="仿宋" w:hAnsi="仿宋" w:eastAsia="仿宋" w:cs="仿宋"/>
          <w:highlight w:val="none"/>
        </w:rPr>
      </w:pPr>
    </w:p>
    <w:p w14:paraId="1CEB4765">
      <w:pPr>
        <w:rPr>
          <w:rFonts w:hint="eastAsia" w:ascii="仿宋" w:hAnsi="仿宋" w:eastAsia="仿宋" w:cs="仿宋"/>
          <w:highlight w:val="none"/>
        </w:rPr>
      </w:pPr>
    </w:p>
    <w:p w14:paraId="47357A33">
      <w:pPr>
        <w:rPr>
          <w:rFonts w:hint="eastAsia" w:ascii="仿宋" w:hAnsi="仿宋" w:eastAsia="仿宋" w:cs="仿宋"/>
          <w:highlight w:val="none"/>
        </w:rPr>
      </w:pPr>
    </w:p>
    <w:p w14:paraId="5BFF9DCA">
      <w:pPr>
        <w:rPr>
          <w:rFonts w:hint="eastAsia" w:ascii="仿宋" w:hAnsi="仿宋" w:eastAsia="仿宋" w:cs="仿宋"/>
          <w:highlight w:val="none"/>
        </w:rPr>
      </w:pPr>
    </w:p>
    <w:p w14:paraId="4A45E18D">
      <w:pPr>
        <w:rPr>
          <w:rFonts w:hint="eastAsia" w:ascii="仿宋" w:hAnsi="仿宋" w:eastAsia="仿宋" w:cs="仿宋"/>
          <w:highlight w:val="none"/>
        </w:rPr>
      </w:pPr>
    </w:p>
    <w:p w14:paraId="032922DB">
      <w:pPr>
        <w:rPr>
          <w:rFonts w:hint="eastAsia" w:ascii="仿宋" w:hAnsi="仿宋" w:eastAsia="仿宋" w:cs="仿宋"/>
          <w:highlight w:val="none"/>
        </w:rPr>
      </w:pPr>
    </w:p>
    <w:p w14:paraId="45C2BEE7">
      <w:pPr>
        <w:rPr>
          <w:rFonts w:hint="eastAsia" w:ascii="仿宋" w:hAnsi="仿宋" w:eastAsia="仿宋" w:cs="仿宋"/>
          <w:highlight w:val="none"/>
        </w:rPr>
      </w:pPr>
    </w:p>
    <w:p w14:paraId="1E6D3DF4">
      <w:pPr>
        <w:rPr>
          <w:rFonts w:hint="eastAsia" w:ascii="仿宋" w:hAnsi="仿宋" w:eastAsia="仿宋" w:cs="仿宋"/>
          <w:highlight w:val="none"/>
        </w:rPr>
      </w:pPr>
    </w:p>
    <w:p w14:paraId="5915F67B">
      <w:pPr>
        <w:rPr>
          <w:rFonts w:hint="eastAsia" w:ascii="仿宋" w:hAnsi="仿宋" w:eastAsia="仿宋" w:cs="仿宋"/>
          <w:highlight w:val="none"/>
        </w:rPr>
      </w:pPr>
    </w:p>
    <w:p w14:paraId="78749756">
      <w:pPr>
        <w:rPr>
          <w:rFonts w:hint="eastAsia" w:ascii="仿宋" w:hAnsi="仿宋" w:eastAsia="仿宋" w:cs="仿宋"/>
          <w:highlight w:val="none"/>
        </w:rPr>
      </w:pPr>
    </w:p>
    <w:p w14:paraId="26234670">
      <w:pPr>
        <w:rPr>
          <w:rFonts w:hint="eastAsia" w:ascii="仿宋" w:hAnsi="仿宋" w:eastAsia="仿宋" w:cs="仿宋"/>
          <w:highlight w:val="none"/>
        </w:rPr>
      </w:pPr>
    </w:p>
    <w:p w14:paraId="1883E086">
      <w:pPr>
        <w:rPr>
          <w:rFonts w:hint="eastAsia" w:ascii="仿宋" w:hAnsi="仿宋" w:eastAsia="仿宋" w:cs="仿宋"/>
          <w:b/>
          <w:sz w:val="44"/>
          <w:highlight w:val="none"/>
        </w:rPr>
      </w:pPr>
    </w:p>
    <w:p w14:paraId="2B5AFA93">
      <w:pPr>
        <w:rPr>
          <w:rFonts w:hint="eastAsia" w:ascii="仿宋" w:hAnsi="仿宋" w:eastAsia="仿宋" w:cs="仿宋"/>
          <w:highlight w:val="none"/>
        </w:rPr>
      </w:pPr>
      <w:bookmarkStart w:id="3" w:name="bt工程概况"/>
      <w:bookmarkEnd w:id="3"/>
    </w:p>
    <w:p w14:paraId="7B0FB0D3">
      <w:pPr>
        <w:rPr>
          <w:rFonts w:hint="eastAsia" w:ascii="仿宋" w:hAnsi="仿宋" w:eastAsia="仿宋" w:cs="仿宋"/>
          <w:color w:val="000000"/>
          <w:sz w:val="32"/>
          <w:szCs w:val="32"/>
          <w:highlight w:val="none"/>
        </w:rPr>
      </w:pPr>
      <w:bookmarkStart w:id="4" w:name="_Toc5090"/>
      <w:bookmarkStart w:id="5" w:name="_Toc23292"/>
      <w:bookmarkStart w:id="6" w:name="_Toc23314"/>
      <w:bookmarkStart w:id="7" w:name="_Toc22001"/>
      <w:bookmarkStart w:id="8" w:name="_Toc20144"/>
      <w:bookmarkStart w:id="9" w:name="_Toc6220"/>
      <w:r>
        <w:rPr>
          <w:rFonts w:hint="eastAsia" w:ascii="仿宋" w:hAnsi="仿宋" w:eastAsia="仿宋" w:cs="仿宋"/>
          <w:color w:val="000000"/>
          <w:sz w:val="32"/>
          <w:szCs w:val="32"/>
          <w:highlight w:val="none"/>
        </w:rPr>
        <w:br w:type="page"/>
      </w:r>
    </w:p>
    <w:bookmarkEnd w:id="4"/>
    <w:bookmarkEnd w:id="5"/>
    <w:bookmarkEnd w:id="6"/>
    <w:bookmarkEnd w:id="7"/>
    <w:bookmarkEnd w:id="8"/>
    <w:bookmarkEnd w:id="9"/>
    <w:p w14:paraId="425F0CDF">
      <w:pPr>
        <w:jc w:val="center"/>
        <w:outlineLvl w:val="1"/>
        <w:rPr>
          <w:rFonts w:hint="eastAsia" w:ascii="仿宋" w:hAnsi="仿宋" w:eastAsia="仿宋" w:cs="仿宋"/>
          <w:color w:val="000000"/>
          <w:sz w:val="32"/>
          <w:szCs w:val="32"/>
          <w:highlight w:val="none"/>
        </w:rPr>
      </w:pPr>
      <w:bookmarkStart w:id="10" w:name="_Toc4848"/>
      <w:r>
        <w:rPr>
          <w:rFonts w:hint="eastAsia" w:ascii="仿宋" w:hAnsi="仿宋" w:eastAsia="仿宋" w:cs="仿宋"/>
          <w:color w:val="000000"/>
          <w:sz w:val="32"/>
          <w:szCs w:val="32"/>
          <w:highlight w:val="none"/>
        </w:rPr>
        <w:t>第一章  总则</w:t>
      </w:r>
      <w:bookmarkEnd w:id="10"/>
    </w:p>
    <w:p w14:paraId="1BFD25F9">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仿宋" w:hAnsi="仿宋" w:eastAsia="仿宋" w:cs="仿宋"/>
          <w:sz w:val="24"/>
          <w:highlight w:val="none"/>
        </w:rPr>
      </w:pPr>
      <w:bookmarkStart w:id="11" w:name="_Toc9387"/>
      <w:bookmarkStart w:id="12" w:name="_Toc2218"/>
      <w:bookmarkStart w:id="13" w:name="_Toc3619"/>
      <w:r>
        <w:rPr>
          <w:rFonts w:hint="eastAsia" w:ascii="仿宋" w:hAnsi="仿宋" w:eastAsia="仿宋" w:cs="仿宋"/>
          <w:sz w:val="24"/>
          <w:highlight w:val="none"/>
        </w:rPr>
        <w:t>1．招标说明</w:t>
      </w:r>
      <w:bookmarkEnd w:id="11"/>
      <w:bookmarkEnd w:id="12"/>
      <w:bookmarkEnd w:id="13"/>
    </w:p>
    <w:p w14:paraId="31C5E68B">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本项</w:t>
      </w:r>
      <w:r>
        <w:rPr>
          <w:rFonts w:hint="eastAsia" w:ascii="仿宋" w:hAnsi="仿宋" w:eastAsia="仿宋" w:cs="仿宋"/>
          <w:color w:val="000000"/>
          <w:kern w:val="0"/>
          <w:sz w:val="22"/>
          <w:szCs w:val="22"/>
          <w:highlight w:val="none"/>
        </w:rPr>
        <w:t>目</w:t>
      </w:r>
      <w:r>
        <w:rPr>
          <w:rFonts w:hint="eastAsia" w:ascii="仿宋" w:hAnsi="仿宋" w:eastAsia="仿宋" w:cs="仿宋"/>
          <w:color w:val="000000"/>
          <w:kern w:val="0"/>
          <w:sz w:val="22"/>
          <w:szCs w:val="22"/>
          <w:highlight w:val="none"/>
          <w:lang w:eastAsia="zh-CN"/>
        </w:rPr>
        <w:t>参照</w:t>
      </w:r>
      <w:r>
        <w:rPr>
          <w:rFonts w:hint="eastAsia" w:ascii="仿宋" w:hAnsi="仿宋" w:eastAsia="仿宋" w:cs="仿宋"/>
          <w:color w:val="000000"/>
          <w:kern w:val="0"/>
          <w:sz w:val="22"/>
          <w:szCs w:val="22"/>
          <w:highlight w:val="none"/>
        </w:rPr>
        <w:t>《深圳经济特区政府采购条例》《深圳经济特区政府采购条例实施细则》</w:t>
      </w:r>
      <w:r>
        <w:rPr>
          <w:rFonts w:hint="eastAsia" w:ascii="仿宋" w:hAnsi="仿宋" w:eastAsia="仿宋" w:cs="仿宋"/>
          <w:color w:val="000000"/>
          <w:sz w:val="22"/>
          <w:szCs w:val="22"/>
          <w:highlight w:val="none"/>
        </w:rPr>
        <w:t>的规定，并参考有关法规、政策、规章、规定，通过</w:t>
      </w:r>
      <w:r>
        <w:rPr>
          <w:rFonts w:hint="eastAsia" w:ascii="仿宋" w:hAnsi="仿宋" w:eastAsia="仿宋" w:cs="仿宋"/>
          <w:b/>
          <w:bCs/>
          <w:color w:val="000000"/>
          <w:sz w:val="22"/>
          <w:szCs w:val="22"/>
          <w:highlight w:val="none"/>
        </w:rPr>
        <w:t>公开招标</w:t>
      </w:r>
      <w:r>
        <w:rPr>
          <w:rFonts w:hint="eastAsia" w:ascii="仿宋" w:hAnsi="仿宋" w:eastAsia="仿宋" w:cs="仿宋"/>
          <w:color w:val="000000"/>
          <w:sz w:val="22"/>
          <w:szCs w:val="22"/>
          <w:highlight w:val="none"/>
        </w:rPr>
        <w:t>择优选定供应商。</w:t>
      </w:r>
    </w:p>
    <w:p w14:paraId="36D24576">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本招标文件适用于</w:t>
      </w:r>
      <w:r>
        <w:rPr>
          <w:rFonts w:hint="eastAsia" w:ascii="仿宋" w:hAnsi="仿宋" w:eastAsia="仿宋" w:cs="仿宋"/>
          <w:b/>
          <w:bCs/>
          <w:color w:val="000000"/>
          <w:sz w:val="22"/>
          <w:szCs w:val="22"/>
          <w:highlight w:val="none"/>
        </w:rPr>
        <w:t>服务</w:t>
      </w:r>
      <w:r>
        <w:rPr>
          <w:rFonts w:hint="eastAsia" w:ascii="仿宋" w:hAnsi="仿宋" w:eastAsia="仿宋" w:cs="仿宋"/>
          <w:color w:val="000000"/>
          <w:sz w:val="22"/>
          <w:szCs w:val="22"/>
          <w:highlight w:val="none"/>
        </w:rPr>
        <w:t>采购项目。</w:t>
      </w:r>
    </w:p>
    <w:p w14:paraId="6F51DECB">
      <w:pPr>
        <w:snapToGrid w:val="0"/>
        <w:spacing w:line="360" w:lineRule="auto"/>
        <w:ind w:firstLine="431" w:firstLineChars="196"/>
        <w:rPr>
          <w:rFonts w:hint="eastAsia" w:ascii="仿宋" w:hAnsi="仿宋" w:eastAsia="仿宋" w:cs="仿宋"/>
          <w:highlight w:val="none"/>
        </w:rPr>
      </w:pPr>
      <w:r>
        <w:rPr>
          <w:rFonts w:hint="eastAsia" w:ascii="仿宋" w:hAnsi="仿宋" w:eastAsia="仿宋" w:cs="仿宋"/>
          <w:sz w:val="22"/>
          <w:szCs w:val="22"/>
          <w:highlight w:val="none"/>
        </w:rPr>
        <w:t>本项目的投标</w:t>
      </w:r>
      <w:r>
        <w:rPr>
          <w:rFonts w:hint="eastAsia" w:ascii="仿宋" w:hAnsi="仿宋" w:eastAsia="仿宋" w:cs="仿宋"/>
          <w:sz w:val="22"/>
          <w:szCs w:val="22"/>
          <w:highlight w:val="none"/>
          <w:lang w:eastAsia="zh-CN"/>
        </w:rPr>
        <w:t>货币</w:t>
      </w:r>
      <w:r>
        <w:rPr>
          <w:rFonts w:hint="eastAsia" w:ascii="仿宋" w:hAnsi="仿宋" w:eastAsia="仿宋" w:cs="仿宋"/>
          <w:sz w:val="22"/>
          <w:szCs w:val="22"/>
          <w:highlight w:val="none"/>
        </w:rPr>
        <w:t>应以人民币计。</w:t>
      </w:r>
    </w:p>
    <w:p w14:paraId="0D5EE542">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本招标文件的解释权归属</w:t>
      </w:r>
      <w:r>
        <w:rPr>
          <w:rFonts w:hint="eastAsia" w:ascii="仿宋" w:hAnsi="仿宋" w:eastAsia="仿宋" w:cs="仿宋"/>
          <w:b/>
          <w:bCs/>
          <w:color w:val="000000"/>
          <w:sz w:val="22"/>
          <w:szCs w:val="22"/>
          <w:highlight w:val="none"/>
          <w:lang w:eastAsia="zh-CN"/>
        </w:rPr>
        <w:t>友和保险经纪有限公司</w:t>
      </w:r>
      <w:r>
        <w:rPr>
          <w:rFonts w:hint="eastAsia" w:ascii="仿宋" w:hAnsi="仿宋" w:eastAsia="仿宋" w:cs="仿宋"/>
          <w:color w:val="000000"/>
          <w:sz w:val="22"/>
          <w:szCs w:val="22"/>
          <w:highlight w:val="none"/>
        </w:rPr>
        <w:t>。</w:t>
      </w:r>
    </w:p>
    <w:p w14:paraId="266DFAEE">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仿宋" w:hAnsi="仿宋" w:eastAsia="仿宋" w:cs="仿宋"/>
          <w:sz w:val="24"/>
          <w:highlight w:val="none"/>
        </w:rPr>
      </w:pPr>
      <w:bookmarkStart w:id="14" w:name="_Toc27296"/>
      <w:bookmarkStart w:id="15" w:name="_Toc13338"/>
      <w:bookmarkStart w:id="16" w:name="_Toc2553"/>
      <w:r>
        <w:rPr>
          <w:rFonts w:hint="eastAsia" w:ascii="仿宋" w:hAnsi="仿宋" w:eastAsia="仿宋" w:cs="仿宋"/>
          <w:sz w:val="24"/>
          <w:highlight w:val="none"/>
        </w:rPr>
        <w:t>2．定义</w:t>
      </w:r>
      <w:bookmarkEnd w:id="14"/>
      <w:bookmarkEnd w:id="15"/>
      <w:bookmarkEnd w:id="16"/>
    </w:p>
    <w:p w14:paraId="72D28BBD">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招标文件中下列术语应解释为：</w:t>
      </w:r>
    </w:p>
    <w:p w14:paraId="3DF561BB">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2.1 “</w:t>
      </w:r>
      <w:r>
        <w:rPr>
          <w:rFonts w:hint="eastAsia" w:ascii="仿宋" w:hAnsi="仿宋" w:eastAsia="仿宋" w:cs="仿宋"/>
          <w:color w:val="000000"/>
          <w:sz w:val="22"/>
          <w:szCs w:val="22"/>
          <w:highlight w:val="none"/>
          <w:lang w:eastAsia="zh-CN"/>
        </w:rPr>
        <w:t>代理机构</w:t>
      </w:r>
      <w:r>
        <w:rPr>
          <w:rFonts w:hint="eastAsia" w:ascii="仿宋" w:hAnsi="仿宋" w:eastAsia="仿宋" w:cs="仿宋"/>
          <w:color w:val="000000"/>
          <w:sz w:val="22"/>
          <w:szCs w:val="22"/>
          <w:highlight w:val="none"/>
        </w:rPr>
        <w:t>”，系</w:t>
      </w:r>
      <w:r>
        <w:rPr>
          <w:rFonts w:hint="eastAsia" w:ascii="仿宋" w:hAnsi="仿宋" w:eastAsia="仿宋" w:cs="仿宋"/>
          <w:color w:val="000000"/>
          <w:spacing w:val="8"/>
          <w:sz w:val="22"/>
          <w:szCs w:val="28"/>
          <w:highlight w:val="none"/>
        </w:rPr>
        <w:t>指根据采购人的委托，代理</w:t>
      </w:r>
      <w:r>
        <w:rPr>
          <w:rFonts w:hint="eastAsia" w:ascii="仿宋" w:hAnsi="仿宋" w:eastAsia="仿宋" w:cs="仿宋"/>
          <w:color w:val="000000"/>
          <w:spacing w:val="8"/>
          <w:sz w:val="22"/>
          <w:szCs w:val="28"/>
          <w:highlight w:val="none"/>
          <w:lang w:eastAsia="zh-CN"/>
        </w:rPr>
        <w:t>采购事宜</w:t>
      </w:r>
      <w:r>
        <w:rPr>
          <w:rFonts w:hint="eastAsia" w:ascii="仿宋" w:hAnsi="仿宋" w:eastAsia="仿宋" w:cs="仿宋"/>
          <w:color w:val="000000"/>
          <w:spacing w:val="8"/>
          <w:sz w:val="22"/>
          <w:szCs w:val="28"/>
          <w:highlight w:val="none"/>
        </w:rPr>
        <w:t>的机构，在此特指拥有采购代理资格的</w:t>
      </w:r>
      <w:r>
        <w:rPr>
          <w:rFonts w:hint="eastAsia" w:ascii="仿宋" w:hAnsi="仿宋" w:eastAsia="仿宋" w:cs="仿宋"/>
          <w:b/>
          <w:color w:val="000000"/>
          <w:spacing w:val="8"/>
          <w:sz w:val="22"/>
          <w:szCs w:val="28"/>
          <w:highlight w:val="none"/>
          <w:lang w:eastAsia="zh-CN"/>
        </w:rPr>
        <w:t>友和保险经纪有限公司</w:t>
      </w:r>
      <w:r>
        <w:rPr>
          <w:rFonts w:hint="eastAsia" w:ascii="仿宋" w:hAnsi="仿宋" w:eastAsia="仿宋" w:cs="仿宋"/>
          <w:color w:val="000000"/>
          <w:spacing w:val="8"/>
          <w:sz w:val="22"/>
          <w:szCs w:val="28"/>
          <w:highlight w:val="none"/>
        </w:rPr>
        <w:t>。</w:t>
      </w:r>
    </w:p>
    <w:p w14:paraId="65D8157D">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bCs/>
          <w:color w:val="000000"/>
          <w:sz w:val="22"/>
          <w:szCs w:val="22"/>
          <w:highlight w:val="none"/>
        </w:rPr>
      </w:pPr>
      <w:r>
        <w:rPr>
          <w:rFonts w:hint="eastAsia" w:ascii="仿宋" w:hAnsi="仿宋" w:eastAsia="仿宋" w:cs="仿宋"/>
          <w:color w:val="000000"/>
          <w:sz w:val="22"/>
          <w:szCs w:val="22"/>
          <w:highlight w:val="none"/>
        </w:rPr>
        <w:t>2.2 “采购人”、“采购方”：系指</w:t>
      </w:r>
      <w:r>
        <w:rPr>
          <w:rFonts w:hint="eastAsia" w:ascii="仿宋" w:hAnsi="仿宋" w:eastAsia="仿宋" w:cs="仿宋"/>
          <w:color w:val="000000"/>
          <w:sz w:val="22"/>
          <w:szCs w:val="22"/>
          <w:highlight w:val="none"/>
          <w:lang w:val="en-US" w:eastAsia="zh-Hans"/>
        </w:rPr>
        <w:t>深圳博物馆</w:t>
      </w:r>
      <w:r>
        <w:rPr>
          <w:rFonts w:hint="eastAsia" w:ascii="仿宋" w:hAnsi="仿宋" w:eastAsia="仿宋" w:cs="仿宋"/>
          <w:color w:val="000000"/>
          <w:sz w:val="22"/>
          <w:szCs w:val="22"/>
          <w:highlight w:val="none"/>
        </w:rPr>
        <w:t xml:space="preserve">。 </w:t>
      </w:r>
    </w:p>
    <w:p w14:paraId="601A5AFE">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2.3 “投标人”、“投标方”，即供应商，是指愿意按照招标文件要求向采购人提供服务的法人、其他组织或者自然人。</w:t>
      </w:r>
    </w:p>
    <w:p w14:paraId="705CBBC1">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2.4 “评审委员会”是专门负责本项目评标工作的临时性机构。</w:t>
      </w:r>
    </w:p>
    <w:p w14:paraId="7EBEC022">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2.5 “日期”指公历日。</w:t>
      </w:r>
    </w:p>
    <w:p w14:paraId="516CB20F">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2.6 “合同”指由本次招标所产生的合同或合约文件。</w:t>
      </w:r>
    </w:p>
    <w:p w14:paraId="4ED10F38">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2.7 “纸质投标文件”指根据本招标文件模板的要求规范填写，打印输出并盖有单位公章的投标文件原件。</w:t>
      </w:r>
    </w:p>
    <w:p w14:paraId="1D3198F6">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2.8 “现场投标”指在规定时间内直接向</w:t>
      </w:r>
      <w:r>
        <w:rPr>
          <w:rFonts w:hint="eastAsia" w:ascii="仿宋" w:hAnsi="仿宋" w:eastAsia="仿宋" w:cs="仿宋"/>
          <w:color w:val="000000"/>
          <w:sz w:val="22"/>
          <w:szCs w:val="22"/>
          <w:highlight w:val="none"/>
          <w:lang w:eastAsia="zh-CN"/>
        </w:rPr>
        <w:t>代理机构</w:t>
      </w:r>
      <w:r>
        <w:rPr>
          <w:rFonts w:hint="eastAsia" w:ascii="仿宋" w:hAnsi="仿宋" w:eastAsia="仿宋" w:cs="仿宋"/>
          <w:color w:val="000000"/>
          <w:sz w:val="22"/>
          <w:szCs w:val="22"/>
          <w:highlight w:val="none"/>
        </w:rPr>
        <w:t>（</w:t>
      </w:r>
      <w:r>
        <w:rPr>
          <w:rFonts w:hint="eastAsia" w:ascii="仿宋" w:hAnsi="仿宋" w:eastAsia="仿宋" w:cs="仿宋"/>
          <w:color w:val="000000"/>
          <w:sz w:val="22"/>
          <w:szCs w:val="22"/>
          <w:highlight w:val="none"/>
          <w:lang w:eastAsia="zh-CN"/>
        </w:rPr>
        <w:t>友和保险经纪有限公司</w:t>
      </w:r>
      <w:r>
        <w:rPr>
          <w:rFonts w:hint="eastAsia" w:ascii="仿宋" w:hAnsi="仿宋" w:eastAsia="仿宋" w:cs="仿宋"/>
          <w:color w:val="000000"/>
          <w:sz w:val="22"/>
          <w:szCs w:val="22"/>
          <w:highlight w:val="none"/>
        </w:rPr>
        <w:t>）提交纸质投标文件。</w:t>
      </w:r>
    </w:p>
    <w:p w14:paraId="2E497323">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2.9 招标文件中的标题或题名仅起引导作用，而不应视为对招标文件内容的理解和解释。</w:t>
      </w:r>
    </w:p>
    <w:p w14:paraId="3FD90559">
      <w:pPr>
        <w:keepNext w:val="0"/>
        <w:keepLines w:val="0"/>
        <w:pageBreakBefore w:val="0"/>
        <w:widowControl w:val="0"/>
        <w:kinsoku/>
        <w:wordWrap/>
        <w:overflowPunct/>
        <w:topLinePunct w:val="0"/>
        <w:autoSpaceDE/>
        <w:autoSpaceDN/>
        <w:bidi w:val="0"/>
        <w:adjustRightInd/>
        <w:snapToGrid w:val="0"/>
        <w:spacing w:line="360" w:lineRule="auto"/>
        <w:ind w:firstLine="431" w:firstLineChars="196"/>
        <w:jc w:val="left"/>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2.10 “项目名称”指本次招标的项目“</w:t>
      </w:r>
      <w:r>
        <w:rPr>
          <w:rFonts w:hint="eastAsia" w:ascii="仿宋" w:hAnsi="仿宋" w:eastAsia="仿宋" w:cs="仿宋"/>
          <w:color w:val="000000"/>
          <w:sz w:val="22"/>
          <w:szCs w:val="22"/>
          <w:highlight w:val="none"/>
          <w:lang w:eastAsia="zh-CN"/>
        </w:rPr>
        <w:t>深圳自然博物馆展品征集（古生物标本修复）服务</w:t>
      </w:r>
      <w:r>
        <w:rPr>
          <w:rFonts w:hint="eastAsia" w:ascii="仿宋" w:hAnsi="仿宋" w:eastAsia="仿宋" w:cs="仿宋"/>
          <w:color w:val="000000"/>
          <w:sz w:val="22"/>
          <w:szCs w:val="22"/>
          <w:highlight w:val="none"/>
        </w:rPr>
        <w:t>”。</w:t>
      </w:r>
    </w:p>
    <w:p w14:paraId="377F4FE3">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仿宋" w:hAnsi="仿宋" w:eastAsia="仿宋" w:cs="仿宋"/>
          <w:sz w:val="24"/>
          <w:highlight w:val="none"/>
        </w:rPr>
      </w:pPr>
      <w:bookmarkStart w:id="17" w:name="_Toc220"/>
      <w:bookmarkStart w:id="18" w:name="_Toc12017"/>
      <w:bookmarkStart w:id="19" w:name="_Toc6298"/>
      <w:r>
        <w:rPr>
          <w:rFonts w:hint="eastAsia" w:ascii="仿宋" w:hAnsi="仿宋" w:eastAsia="仿宋" w:cs="仿宋"/>
          <w:sz w:val="24"/>
          <w:highlight w:val="none"/>
        </w:rPr>
        <w:t>3．投标人的资质要求</w:t>
      </w:r>
      <w:bookmarkEnd w:id="17"/>
      <w:bookmarkEnd w:id="18"/>
      <w:bookmarkEnd w:id="19"/>
    </w:p>
    <w:p w14:paraId="10A0EFDA">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3.1 参加招标活动投标人应当具备条件：</w:t>
      </w:r>
      <w:r>
        <w:rPr>
          <w:rFonts w:hint="eastAsia" w:ascii="仿宋" w:hAnsi="仿宋" w:eastAsia="仿宋" w:cs="仿宋"/>
          <w:b/>
          <w:bCs/>
          <w:color w:val="000000"/>
          <w:sz w:val="22"/>
          <w:szCs w:val="22"/>
          <w:highlight w:val="none"/>
        </w:rPr>
        <w:t>见招标公告有关资质要求。</w:t>
      </w:r>
    </w:p>
    <w:p w14:paraId="48088716">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bookmarkStart w:id="20" w:name="_Toc22312"/>
      <w:bookmarkStart w:id="21" w:name="_Toc13118"/>
      <w:bookmarkStart w:id="22" w:name="_Toc3146"/>
      <w:r>
        <w:rPr>
          <w:rFonts w:hint="eastAsia" w:ascii="仿宋" w:hAnsi="仿宋" w:eastAsia="仿宋" w:cs="仿宋"/>
          <w:color w:val="000000"/>
          <w:sz w:val="22"/>
          <w:szCs w:val="22"/>
          <w:highlight w:val="none"/>
          <w:lang w:val="en-US" w:eastAsia="zh-CN"/>
        </w:rPr>
        <w:t xml:space="preserve">3.2 </w:t>
      </w:r>
      <w:r>
        <w:rPr>
          <w:rFonts w:hint="eastAsia" w:ascii="仿宋" w:hAnsi="仿宋" w:eastAsia="仿宋" w:cs="仿宋"/>
          <w:color w:val="000000"/>
          <w:sz w:val="22"/>
          <w:szCs w:val="22"/>
          <w:highlight w:val="none"/>
        </w:rPr>
        <w:t>联合体投标</w:t>
      </w:r>
      <w:bookmarkEnd w:id="20"/>
      <w:bookmarkEnd w:id="21"/>
      <w:bookmarkEnd w:id="22"/>
    </w:p>
    <w:p w14:paraId="51922A35">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lang w:val="en-US" w:eastAsia="zh-CN"/>
        </w:rPr>
        <w:t>3</w:t>
      </w:r>
      <w:r>
        <w:rPr>
          <w:rFonts w:hint="eastAsia" w:ascii="仿宋" w:hAnsi="仿宋" w:eastAsia="仿宋" w:cs="仿宋"/>
          <w:color w:val="000000"/>
          <w:sz w:val="22"/>
          <w:szCs w:val="28"/>
          <w:highlight w:val="none"/>
        </w:rPr>
        <w:t>.</w:t>
      </w:r>
      <w:r>
        <w:rPr>
          <w:rFonts w:hint="eastAsia" w:ascii="仿宋" w:hAnsi="仿宋" w:eastAsia="仿宋" w:cs="仿宋"/>
          <w:color w:val="000000"/>
          <w:sz w:val="22"/>
          <w:szCs w:val="28"/>
          <w:highlight w:val="none"/>
          <w:lang w:val="en-US" w:eastAsia="zh-CN"/>
        </w:rPr>
        <w:t>2.</w:t>
      </w:r>
      <w:r>
        <w:rPr>
          <w:rFonts w:hint="eastAsia" w:ascii="仿宋" w:hAnsi="仿宋" w:eastAsia="仿宋" w:cs="仿宋"/>
          <w:color w:val="000000"/>
          <w:sz w:val="22"/>
          <w:szCs w:val="28"/>
          <w:highlight w:val="none"/>
        </w:rPr>
        <w:t>1 除非招标公告中允许投标人组成联合体投标，否则以下有关联合体投标的条款不予考虑。</w:t>
      </w:r>
    </w:p>
    <w:p w14:paraId="0BF45358">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lang w:val="en-US" w:eastAsia="zh-CN"/>
        </w:rPr>
        <w:t>3</w:t>
      </w:r>
      <w:r>
        <w:rPr>
          <w:rFonts w:hint="eastAsia" w:ascii="仿宋" w:hAnsi="仿宋" w:eastAsia="仿宋" w:cs="仿宋"/>
          <w:color w:val="000000"/>
          <w:sz w:val="22"/>
          <w:szCs w:val="28"/>
          <w:highlight w:val="none"/>
        </w:rPr>
        <w:t>.</w:t>
      </w:r>
      <w:r>
        <w:rPr>
          <w:rFonts w:hint="eastAsia" w:ascii="仿宋" w:hAnsi="仿宋" w:eastAsia="仿宋" w:cs="仿宋"/>
          <w:color w:val="000000"/>
          <w:sz w:val="22"/>
          <w:szCs w:val="28"/>
          <w:highlight w:val="none"/>
          <w:lang w:val="en-US" w:eastAsia="zh-CN"/>
        </w:rPr>
        <w:t>2.</w:t>
      </w:r>
      <w:r>
        <w:rPr>
          <w:rFonts w:hint="eastAsia" w:ascii="仿宋" w:hAnsi="仿宋" w:eastAsia="仿宋" w:cs="仿宋"/>
          <w:color w:val="000000"/>
          <w:sz w:val="22"/>
          <w:szCs w:val="28"/>
          <w:highlight w:val="none"/>
        </w:rPr>
        <w:t>2 由两个或两个以上法人组成一个联合体以一个投标人的身份共同投标时，应符合以下原则：</w:t>
      </w:r>
    </w:p>
    <w:p w14:paraId="178992E8">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rPr>
        <w:t>（1）投标联合体各方参加采购活动应当具备下列条件：</w:t>
      </w:r>
    </w:p>
    <w:p w14:paraId="457D6596">
      <w:pPr>
        <w:keepNext w:val="0"/>
        <w:keepLines w:val="0"/>
        <w:pageBreakBefore w:val="0"/>
        <w:widowControl w:val="0"/>
        <w:kinsoku/>
        <w:wordWrap/>
        <w:overflowPunct/>
        <w:topLinePunct w:val="0"/>
        <w:autoSpaceDE/>
        <w:autoSpaceDN/>
        <w:bidi w:val="0"/>
        <w:adjustRightInd/>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rPr>
        <w:t>① 具有独立承担民事责任的能力；</w:t>
      </w:r>
    </w:p>
    <w:p w14:paraId="0A8124F7">
      <w:pPr>
        <w:keepNext w:val="0"/>
        <w:keepLines w:val="0"/>
        <w:pageBreakBefore w:val="0"/>
        <w:widowControl w:val="0"/>
        <w:kinsoku/>
        <w:wordWrap/>
        <w:overflowPunct/>
        <w:topLinePunct w:val="0"/>
        <w:autoSpaceDE/>
        <w:autoSpaceDN/>
        <w:bidi w:val="0"/>
        <w:adjustRightInd/>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rPr>
        <w:t>② 有良好的商业信誉和健全的财务会计制度；</w:t>
      </w:r>
    </w:p>
    <w:p w14:paraId="5EBD9E0C">
      <w:pPr>
        <w:keepNext w:val="0"/>
        <w:keepLines w:val="0"/>
        <w:pageBreakBefore w:val="0"/>
        <w:widowControl w:val="0"/>
        <w:kinsoku/>
        <w:wordWrap/>
        <w:overflowPunct/>
        <w:topLinePunct w:val="0"/>
        <w:autoSpaceDE/>
        <w:autoSpaceDN/>
        <w:bidi w:val="0"/>
        <w:adjustRightInd/>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rPr>
        <w:t>③ 具有履行合同所必需的产品和专业技术能力；</w:t>
      </w:r>
    </w:p>
    <w:p w14:paraId="633C70D7">
      <w:pPr>
        <w:keepNext w:val="0"/>
        <w:keepLines w:val="0"/>
        <w:pageBreakBefore w:val="0"/>
        <w:widowControl w:val="0"/>
        <w:kinsoku/>
        <w:wordWrap/>
        <w:overflowPunct/>
        <w:topLinePunct w:val="0"/>
        <w:autoSpaceDE/>
        <w:autoSpaceDN/>
        <w:bidi w:val="0"/>
        <w:adjustRightInd/>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rPr>
        <w:t>④ 有依法缴纳税收和社会保障资金的良好记录；</w:t>
      </w:r>
    </w:p>
    <w:p w14:paraId="1BDC7ECB">
      <w:pPr>
        <w:keepNext w:val="0"/>
        <w:keepLines w:val="0"/>
        <w:pageBreakBefore w:val="0"/>
        <w:widowControl w:val="0"/>
        <w:kinsoku/>
        <w:wordWrap/>
        <w:overflowPunct/>
        <w:topLinePunct w:val="0"/>
        <w:autoSpaceDE/>
        <w:autoSpaceDN/>
        <w:bidi w:val="0"/>
        <w:adjustRightInd/>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rPr>
        <w:t>⑤ 参加采购活动前三年内，在经营活动中没有重大违法记录；</w:t>
      </w:r>
    </w:p>
    <w:p w14:paraId="3065C906">
      <w:pPr>
        <w:keepNext w:val="0"/>
        <w:keepLines w:val="0"/>
        <w:pageBreakBefore w:val="0"/>
        <w:widowControl w:val="0"/>
        <w:kinsoku/>
        <w:wordWrap/>
        <w:overflowPunct/>
        <w:topLinePunct w:val="0"/>
        <w:autoSpaceDE/>
        <w:autoSpaceDN/>
        <w:bidi w:val="0"/>
        <w:adjustRightInd/>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rPr>
        <w:t>⑥ 法律、行政法规规定的其他条件。</w:t>
      </w:r>
    </w:p>
    <w:p w14:paraId="22AB6782">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rPr>
        <w:t>（2）联合体中有同类资质的供应商按照联合体分工承担相同工作的，应当按照资质等级较低的供应商确定资质等级；联合体各方的不同资质可优势互补。</w:t>
      </w:r>
    </w:p>
    <w:p w14:paraId="4755BC3F">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rPr>
        <w:t>（3）投标人的投标文件及中标后签署的合同协议对联合体各方均具法律约束力；</w:t>
      </w:r>
    </w:p>
    <w:p w14:paraId="6A39AA66">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rPr>
        <w:t>（4）联合体各方应当签订共同投标协议，明确约定各方拟承担的工作和责任，并将该共同投标协议随投标文件一并递交给</w:t>
      </w:r>
      <w:r>
        <w:rPr>
          <w:rFonts w:hint="eastAsia" w:ascii="仿宋" w:hAnsi="仿宋" w:eastAsia="仿宋" w:cs="仿宋"/>
          <w:color w:val="000000"/>
          <w:sz w:val="22"/>
          <w:szCs w:val="28"/>
          <w:highlight w:val="none"/>
          <w:lang w:eastAsia="zh-CN"/>
        </w:rPr>
        <w:t>代理机构</w:t>
      </w:r>
      <w:r>
        <w:rPr>
          <w:rFonts w:hint="eastAsia" w:ascii="仿宋" w:hAnsi="仿宋" w:eastAsia="仿宋" w:cs="仿宋"/>
          <w:color w:val="000000"/>
          <w:sz w:val="22"/>
          <w:szCs w:val="28"/>
          <w:highlight w:val="none"/>
        </w:rPr>
        <w:t>；</w:t>
      </w:r>
    </w:p>
    <w:p w14:paraId="4C857913">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rPr>
        <w:t>（5）联合体中标后，联合体各方应当共同与采购人签订合同，就中标项目向采购人承担连带责任；</w:t>
      </w:r>
    </w:p>
    <w:p w14:paraId="520F2460">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rPr>
        <w:t>（6）联合体的各方应当共同推荐一联合体投标授权代表人，由联合体各方提交一份授权书，证明其有资格代表联合体各方签署投标文件，该授权书作为投标文件的组成部分一并提交给</w:t>
      </w:r>
      <w:r>
        <w:rPr>
          <w:rFonts w:hint="eastAsia" w:ascii="仿宋" w:hAnsi="仿宋" w:eastAsia="仿宋" w:cs="仿宋"/>
          <w:color w:val="000000"/>
          <w:sz w:val="22"/>
          <w:szCs w:val="28"/>
          <w:highlight w:val="none"/>
          <w:lang w:eastAsia="zh-CN"/>
        </w:rPr>
        <w:t>代理机构</w:t>
      </w:r>
      <w:r>
        <w:rPr>
          <w:rFonts w:hint="eastAsia" w:ascii="仿宋" w:hAnsi="仿宋" w:eastAsia="仿宋" w:cs="仿宋"/>
          <w:color w:val="000000"/>
          <w:sz w:val="22"/>
          <w:szCs w:val="28"/>
          <w:highlight w:val="none"/>
        </w:rPr>
        <w:t>；</w:t>
      </w:r>
    </w:p>
    <w:p w14:paraId="43C50EBF">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rPr>
        <w:t>（7）参加联合体的各方不得再以自己的名义单独投标，不得同时参加两个或两个以上的联合体投标、不得以分包商或其他形式参与投标，出现上述情况者，其投标和与此有关联合体、总包单位的投标将被拒绝；</w:t>
      </w:r>
    </w:p>
    <w:p w14:paraId="17ACB156">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rPr>
        <w:t>（8）除非另有规定或说明，本通用条款中“投标人”一词亦指联合体各方。</w:t>
      </w:r>
    </w:p>
    <w:p w14:paraId="2036BD5F">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仿宋" w:hAnsi="仿宋" w:eastAsia="仿宋" w:cs="仿宋"/>
          <w:sz w:val="24"/>
          <w:highlight w:val="none"/>
        </w:rPr>
      </w:pPr>
      <w:bookmarkStart w:id="23" w:name="_Toc9148"/>
      <w:bookmarkStart w:id="24" w:name="_Toc29860"/>
      <w:bookmarkStart w:id="25" w:name="_Toc8340"/>
      <w:r>
        <w:rPr>
          <w:rFonts w:hint="eastAsia" w:ascii="仿宋" w:hAnsi="仿宋" w:eastAsia="仿宋" w:cs="仿宋"/>
          <w:sz w:val="24"/>
          <w:highlight w:val="none"/>
          <w:lang w:val="en-US" w:eastAsia="zh-CN"/>
        </w:rPr>
        <w:t>4</w:t>
      </w:r>
      <w:r>
        <w:rPr>
          <w:rFonts w:hint="eastAsia" w:ascii="仿宋" w:hAnsi="仿宋" w:eastAsia="仿宋" w:cs="仿宋"/>
          <w:sz w:val="24"/>
          <w:highlight w:val="none"/>
        </w:rPr>
        <w:t>．投标费用</w:t>
      </w:r>
      <w:bookmarkEnd w:id="23"/>
      <w:bookmarkEnd w:id="24"/>
      <w:bookmarkEnd w:id="25"/>
    </w:p>
    <w:p w14:paraId="5FB5D577">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不论投标结果如何，投标人应承担其编制投标文件与递交投标文件所涉及的一切费用。</w:t>
      </w:r>
    </w:p>
    <w:p w14:paraId="7DFCBDA9">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rPr>
        <w:t>本项目若涉及采购货物，则合格的货物及相应服务应满足以下要求：</w:t>
      </w:r>
    </w:p>
    <w:p w14:paraId="6796789E">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lang w:val="en-US" w:eastAsia="zh-CN"/>
        </w:rPr>
        <w:t>5</w:t>
      </w:r>
      <w:r>
        <w:rPr>
          <w:rFonts w:hint="eastAsia" w:ascii="仿宋" w:hAnsi="仿宋" w:eastAsia="仿宋" w:cs="仿宋"/>
          <w:color w:val="000000"/>
          <w:sz w:val="22"/>
          <w:szCs w:val="22"/>
          <w:highlight w:val="none"/>
        </w:rPr>
        <w:t>.1必须是全新、未使用过的原装合格正品（包括零部件），如安装或配置了软件的，须为正版软件。</w:t>
      </w:r>
    </w:p>
    <w:p w14:paraId="63C97A94">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lang w:val="en-US" w:eastAsia="zh-CN"/>
        </w:rPr>
        <w:t>5</w:t>
      </w:r>
      <w:r>
        <w:rPr>
          <w:rFonts w:hint="eastAsia" w:ascii="仿宋" w:hAnsi="仿宋" w:eastAsia="仿宋" w:cs="仿宋"/>
          <w:color w:val="000000"/>
          <w:sz w:val="22"/>
          <w:szCs w:val="22"/>
          <w:highlight w:val="none"/>
        </w:rPr>
        <w:t>.2国产的货物及其有关服务必须符合中华人民共和国的设计、制造生产标准及行业标准。招标公告有其他要求的，亦应符合其要求。</w:t>
      </w:r>
    </w:p>
    <w:p w14:paraId="2F88B5E1">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lang w:val="en-US" w:eastAsia="zh-CN"/>
        </w:rPr>
        <w:t>5</w:t>
      </w:r>
      <w:r>
        <w:rPr>
          <w:rFonts w:hint="eastAsia" w:ascii="仿宋" w:hAnsi="仿宋" w:eastAsia="仿宋" w:cs="仿宋"/>
          <w:color w:val="000000"/>
          <w:sz w:val="22"/>
          <w:szCs w:val="22"/>
          <w:highlight w:val="none"/>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175BAD04">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lang w:val="en-US" w:eastAsia="zh-CN"/>
        </w:rPr>
        <w:t>5</w:t>
      </w:r>
      <w:r>
        <w:rPr>
          <w:rFonts w:hint="eastAsia" w:ascii="仿宋" w:hAnsi="仿宋" w:eastAsia="仿宋" w:cs="仿宋"/>
          <w:color w:val="000000"/>
          <w:sz w:val="22"/>
          <w:szCs w:val="22"/>
          <w:highlight w:val="none"/>
        </w:rPr>
        <w:t>.4投标人</w:t>
      </w:r>
      <w:bookmarkStart w:id="26" w:name="_Hlk72152753"/>
      <w:r>
        <w:rPr>
          <w:rFonts w:hint="eastAsia" w:ascii="仿宋" w:hAnsi="仿宋" w:eastAsia="仿宋" w:cs="仿宋"/>
          <w:color w:val="000000"/>
          <w:sz w:val="22"/>
          <w:szCs w:val="22"/>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26"/>
    </w:p>
    <w:p w14:paraId="173B32F2">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lang w:val="en-US" w:eastAsia="zh-CN"/>
        </w:rPr>
        <w:t>5</w:t>
      </w:r>
      <w:r>
        <w:rPr>
          <w:rFonts w:hint="eastAsia" w:ascii="仿宋" w:hAnsi="仿宋" w:eastAsia="仿宋" w:cs="仿宋"/>
          <w:color w:val="000000"/>
          <w:sz w:val="22"/>
          <w:szCs w:val="22"/>
          <w:highlight w:val="none"/>
        </w:rPr>
        <w:t>.5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94AAC7E">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lang w:val="en-US" w:eastAsia="zh-CN"/>
        </w:rPr>
        <w:t>5</w:t>
      </w:r>
      <w:r>
        <w:rPr>
          <w:rFonts w:hint="eastAsia" w:ascii="仿宋" w:hAnsi="仿宋" w:eastAsia="仿宋" w:cs="仿宋"/>
          <w:color w:val="000000"/>
          <w:sz w:val="22"/>
          <w:szCs w:val="22"/>
          <w:highlight w:val="none"/>
        </w:rPr>
        <w:t>.6工期要求：投标人在投标时对其所投项目应提交交货进度、交货计划等，在合同规定的时间内完成项目实施工作。</w:t>
      </w:r>
    </w:p>
    <w:p w14:paraId="754776D1">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lang w:val="en-US" w:eastAsia="zh-CN"/>
        </w:rPr>
        <w:t>5</w:t>
      </w:r>
      <w:r>
        <w:rPr>
          <w:rFonts w:hint="eastAsia" w:ascii="仿宋" w:hAnsi="仿宋" w:eastAsia="仿宋" w:cs="仿宋"/>
          <w:color w:val="000000"/>
          <w:sz w:val="22"/>
          <w:szCs w:val="22"/>
          <w:highlight w:val="none"/>
        </w:rPr>
        <w:t>.7投标人必须承担的设备运输、安装调试、验收检测和提供设备操作说明书、图纸等其他相关及类似的义务。</w:t>
      </w:r>
    </w:p>
    <w:p w14:paraId="143FED53">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仿宋" w:hAnsi="仿宋" w:eastAsia="仿宋" w:cs="仿宋"/>
          <w:sz w:val="24"/>
          <w:highlight w:val="none"/>
        </w:rPr>
      </w:pPr>
      <w:bookmarkStart w:id="27" w:name="_Toc3516"/>
      <w:bookmarkStart w:id="28" w:name="_Toc5"/>
      <w:bookmarkStart w:id="29" w:name="_Toc7446"/>
      <w:r>
        <w:rPr>
          <w:rFonts w:hint="eastAsia" w:ascii="仿宋" w:hAnsi="仿宋" w:eastAsia="仿宋" w:cs="仿宋"/>
          <w:sz w:val="24"/>
          <w:highlight w:val="none"/>
        </w:rPr>
        <w:t>6．踏勘现场</w:t>
      </w:r>
      <w:bookmarkEnd w:id="27"/>
      <w:bookmarkEnd w:id="28"/>
      <w:bookmarkEnd w:id="29"/>
    </w:p>
    <w:p w14:paraId="3B222FAF">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rPr>
        <w:t>6.1 如有需要，</w:t>
      </w:r>
      <w:r>
        <w:rPr>
          <w:rFonts w:hint="eastAsia" w:ascii="仿宋" w:hAnsi="仿宋" w:eastAsia="仿宋" w:cs="仿宋"/>
          <w:color w:val="000000"/>
          <w:sz w:val="22"/>
          <w:szCs w:val="28"/>
          <w:highlight w:val="none"/>
          <w:lang w:eastAsia="zh-CN"/>
        </w:rPr>
        <w:t>代理机构</w:t>
      </w:r>
      <w:r>
        <w:rPr>
          <w:rFonts w:hint="eastAsia" w:ascii="仿宋" w:hAnsi="仿宋" w:eastAsia="仿宋" w:cs="仿宋"/>
          <w:color w:val="000000"/>
          <w:sz w:val="22"/>
          <w:szCs w:val="28"/>
          <w:highlight w:val="none"/>
        </w:rPr>
        <w:t>或采购人将组织投标人对项目现场及周围环境进行踏勘，以便投标人获取有关编制投标文件和签署合同所需的所有资料。踏勘现场所发生的费用由投标人自行承担，本项目投标人自行踏勘现场。</w:t>
      </w:r>
    </w:p>
    <w:p w14:paraId="6FE00928">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lang w:val="en-US" w:eastAsia="zh-CN"/>
        </w:rPr>
        <w:t>6</w:t>
      </w:r>
      <w:r>
        <w:rPr>
          <w:rFonts w:hint="eastAsia" w:ascii="仿宋" w:hAnsi="仿宋" w:eastAsia="仿宋" w:cs="仿宋"/>
          <w:color w:val="000000"/>
          <w:sz w:val="22"/>
          <w:szCs w:val="28"/>
          <w:highlight w:val="none"/>
        </w:rPr>
        <w:t>.2投标人及其人员经过采购人的允许，可以进入采购人的项目现场踏勘。若招标文件要求投标人于统一时间地点踏勘现场的，投标人应当按时前往。</w:t>
      </w:r>
    </w:p>
    <w:p w14:paraId="0BC1858F">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lang w:val="en-US" w:eastAsia="zh-CN"/>
        </w:rPr>
        <w:t>6</w:t>
      </w:r>
      <w:r>
        <w:rPr>
          <w:rFonts w:hint="eastAsia" w:ascii="仿宋" w:hAnsi="仿宋" w:eastAsia="仿宋" w:cs="仿宋"/>
          <w:color w:val="000000"/>
          <w:sz w:val="22"/>
          <w:szCs w:val="28"/>
          <w:highlight w:val="none"/>
        </w:rPr>
        <w:t>.3采购人应当通过</w:t>
      </w:r>
      <w:r>
        <w:rPr>
          <w:rFonts w:hint="eastAsia" w:ascii="仿宋" w:hAnsi="仿宋" w:eastAsia="仿宋" w:cs="仿宋"/>
          <w:color w:val="000000"/>
          <w:sz w:val="22"/>
          <w:szCs w:val="28"/>
          <w:highlight w:val="none"/>
          <w:lang w:eastAsia="zh-CN"/>
        </w:rPr>
        <w:t>代理机构</w:t>
      </w:r>
      <w:r>
        <w:rPr>
          <w:rFonts w:hint="eastAsia" w:ascii="仿宋" w:hAnsi="仿宋" w:eastAsia="仿宋" w:cs="仿宋"/>
          <w:color w:val="000000"/>
          <w:sz w:val="22"/>
          <w:szCs w:val="28"/>
          <w:highlight w:val="none"/>
        </w:rPr>
        <w:t>向投标人提供有关现场的书面资料和数据。</w:t>
      </w:r>
    </w:p>
    <w:p w14:paraId="7D08FCF7">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lang w:val="en-US" w:eastAsia="zh-CN"/>
        </w:rPr>
        <w:t>6</w:t>
      </w:r>
      <w:r>
        <w:rPr>
          <w:rFonts w:hint="eastAsia" w:ascii="仿宋" w:hAnsi="仿宋" w:eastAsia="仿宋" w:cs="仿宋"/>
          <w:color w:val="000000"/>
          <w:sz w:val="22"/>
          <w:szCs w:val="28"/>
          <w:highlight w:val="none"/>
        </w:rPr>
        <w:t>.4任何人或任何组织在踏勘现场时向投标人提供的任何书面资料或口头承诺，未经</w:t>
      </w:r>
      <w:r>
        <w:rPr>
          <w:rFonts w:hint="eastAsia" w:ascii="仿宋" w:hAnsi="仿宋" w:eastAsia="仿宋" w:cs="仿宋"/>
          <w:color w:val="000000"/>
          <w:sz w:val="22"/>
          <w:szCs w:val="28"/>
          <w:highlight w:val="none"/>
          <w:lang w:eastAsia="zh-CN"/>
        </w:rPr>
        <w:t>代理机构</w:t>
      </w:r>
      <w:r>
        <w:rPr>
          <w:rFonts w:hint="eastAsia" w:ascii="仿宋" w:hAnsi="仿宋" w:eastAsia="仿宋" w:cs="仿宋"/>
          <w:color w:val="000000"/>
          <w:sz w:val="22"/>
          <w:szCs w:val="28"/>
          <w:highlight w:val="none"/>
        </w:rPr>
        <w:t>在网上发布或书面通知，均作无效处理。</w:t>
      </w:r>
    </w:p>
    <w:p w14:paraId="3D2BC270">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rPr>
        <w:t>6.</w:t>
      </w:r>
      <w:r>
        <w:rPr>
          <w:rFonts w:hint="eastAsia" w:ascii="仿宋" w:hAnsi="仿宋" w:eastAsia="仿宋" w:cs="仿宋"/>
          <w:color w:val="000000"/>
          <w:sz w:val="22"/>
          <w:szCs w:val="28"/>
          <w:highlight w:val="none"/>
          <w:lang w:val="en-US" w:eastAsia="zh-CN"/>
        </w:rPr>
        <w:t>5</w:t>
      </w:r>
      <w:r>
        <w:rPr>
          <w:rFonts w:hint="eastAsia" w:ascii="仿宋" w:hAnsi="仿宋" w:eastAsia="仿宋" w:cs="仿宋"/>
          <w:color w:val="000000"/>
          <w:sz w:val="22"/>
          <w:szCs w:val="28"/>
          <w:highlight w:val="none"/>
        </w:rPr>
        <w:t xml:space="preserve"> 未参与现场踏勘不作为否定投标人资格的理由。</w:t>
      </w:r>
    </w:p>
    <w:p w14:paraId="5B51D2F7">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仿宋" w:hAnsi="仿宋" w:eastAsia="仿宋" w:cs="仿宋"/>
          <w:sz w:val="24"/>
          <w:highlight w:val="none"/>
        </w:rPr>
      </w:pPr>
      <w:bookmarkStart w:id="30" w:name="_Toc13770"/>
      <w:bookmarkStart w:id="31" w:name="_Toc12297"/>
      <w:bookmarkStart w:id="32" w:name="_Toc9508"/>
      <w:r>
        <w:rPr>
          <w:rFonts w:hint="eastAsia" w:ascii="仿宋" w:hAnsi="仿宋" w:eastAsia="仿宋" w:cs="仿宋"/>
          <w:sz w:val="24"/>
          <w:highlight w:val="none"/>
        </w:rPr>
        <w:t>7．招标答疑</w:t>
      </w:r>
      <w:bookmarkEnd w:id="30"/>
      <w:bookmarkEnd w:id="31"/>
      <w:bookmarkEnd w:id="32"/>
    </w:p>
    <w:p w14:paraId="58A081A3">
      <w:pPr>
        <w:keepNext w:val="0"/>
        <w:keepLines w:val="0"/>
        <w:pageBreakBefore w:val="0"/>
        <w:widowControl w:val="0"/>
        <w:kinsoku/>
        <w:wordWrap/>
        <w:overflowPunct/>
        <w:topLinePunct w:val="0"/>
        <w:autoSpaceDE/>
        <w:autoSpaceDN/>
        <w:bidi w:val="0"/>
        <w:adjustRightInd/>
        <w:snapToGrid w:val="0"/>
        <w:spacing w:line="360" w:lineRule="auto"/>
        <w:ind w:firstLine="431" w:firstLineChars="196"/>
        <w:textAlignment w:val="auto"/>
        <w:outlineLvl w:val="9"/>
        <w:rPr>
          <w:rFonts w:hint="eastAsia" w:ascii="仿宋" w:hAnsi="仿宋" w:eastAsia="仿宋" w:cs="仿宋"/>
          <w:color w:val="000000"/>
          <w:sz w:val="22"/>
          <w:szCs w:val="28"/>
          <w:highlight w:val="none"/>
        </w:rPr>
      </w:pPr>
      <w:r>
        <w:rPr>
          <w:rFonts w:hint="eastAsia" w:ascii="仿宋" w:hAnsi="仿宋" w:eastAsia="仿宋" w:cs="仿宋"/>
          <w:color w:val="000000"/>
          <w:sz w:val="22"/>
          <w:szCs w:val="28"/>
          <w:highlight w:val="none"/>
        </w:rPr>
        <w:t xml:space="preserve">7.1 </w:t>
      </w:r>
      <w:r>
        <w:rPr>
          <w:rFonts w:hint="eastAsia" w:ascii="仿宋" w:hAnsi="仿宋" w:eastAsia="仿宋" w:cs="仿宋"/>
          <w:color w:val="000000"/>
          <w:sz w:val="22"/>
          <w:szCs w:val="22"/>
          <w:highlight w:val="none"/>
        </w:rPr>
        <w:t>任何要求对招标文件进行澄清或者对招标文件有限制性、倾向性条款提出质疑的投标人，均应于“招标公告”中所述答疑截止时间前在书面通知</w:t>
      </w:r>
      <w:r>
        <w:rPr>
          <w:rFonts w:hint="eastAsia" w:ascii="仿宋" w:hAnsi="仿宋" w:eastAsia="仿宋" w:cs="仿宋"/>
          <w:color w:val="000000"/>
          <w:sz w:val="22"/>
          <w:szCs w:val="22"/>
          <w:highlight w:val="none"/>
          <w:lang w:eastAsia="zh-CN"/>
        </w:rPr>
        <w:t>代理机构</w:t>
      </w:r>
      <w:r>
        <w:rPr>
          <w:rFonts w:hint="eastAsia" w:ascii="仿宋" w:hAnsi="仿宋" w:eastAsia="仿宋" w:cs="仿宋"/>
          <w:color w:val="000000"/>
          <w:sz w:val="22"/>
          <w:szCs w:val="22"/>
          <w:highlight w:val="none"/>
        </w:rPr>
        <w:t>。</w:t>
      </w:r>
      <w:r>
        <w:rPr>
          <w:rFonts w:hint="eastAsia" w:ascii="仿宋" w:hAnsi="仿宋" w:eastAsia="仿宋" w:cs="仿宋"/>
          <w:color w:val="000000"/>
          <w:sz w:val="22"/>
          <w:szCs w:val="22"/>
          <w:highlight w:val="none"/>
          <w:lang w:eastAsia="zh-CN"/>
        </w:rPr>
        <w:t>代理机构</w:t>
      </w:r>
      <w:r>
        <w:rPr>
          <w:rFonts w:hint="eastAsia" w:ascii="仿宋" w:hAnsi="仿宋" w:eastAsia="仿宋" w:cs="仿宋"/>
          <w:color w:val="000000"/>
          <w:sz w:val="22"/>
          <w:szCs w:val="22"/>
          <w:highlight w:val="none"/>
        </w:rPr>
        <w:t>对规定时间内收到的对招标文件的澄清或者质疑，视情况予以答复。具体答疑方式请见本招标文件</w:t>
      </w:r>
      <w:r>
        <w:rPr>
          <w:rFonts w:hint="eastAsia" w:ascii="仿宋" w:hAnsi="仿宋" w:eastAsia="仿宋" w:cs="仿宋"/>
          <w:color w:val="000000"/>
          <w:sz w:val="22"/>
          <w:szCs w:val="22"/>
          <w:highlight w:val="none"/>
          <w:lang w:eastAsia="zh-CN"/>
        </w:rPr>
        <w:t>第二册</w:t>
      </w:r>
      <w:r>
        <w:rPr>
          <w:rFonts w:hint="eastAsia" w:ascii="仿宋" w:hAnsi="仿宋" w:eastAsia="仿宋" w:cs="仿宋"/>
          <w:color w:val="000000"/>
          <w:sz w:val="22"/>
          <w:szCs w:val="22"/>
          <w:highlight w:val="none"/>
        </w:rPr>
        <w:t>第一章之规定</w:t>
      </w:r>
      <w:r>
        <w:rPr>
          <w:rFonts w:hint="eastAsia" w:ascii="仿宋" w:hAnsi="仿宋" w:eastAsia="仿宋" w:cs="仿宋"/>
          <w:color w:val="000000"/>
          <w:sz w:val="22"/>
          <w:szCs w:val="28"/>
          <w:highlight w:val="none"/>
        </w:rPr>
        <w:t>。</w:t>
      </w:r>
    </w:p>
    <w:p w14:paraId="2FB90ADB">
      <w:pPr>
        <w:snapToGrid w:val="0"/>
        <w:spacing w:line="360" w:lineRule="auto"/>
        <w:ind w:firstLine="431" w:firstLineChars="196"/>
        <w:rPr>
          <w:rFonts w:hint="eastAsia" w:ascii="仿宋" w:hAnsi="仿宋" w:eastAsia="仿宋" w:cs="仿宋"/>
          <w:color w:val="000000"/>
          <w:sz w:val="22"/>
          <w:szCs w:val="28"/>
          <w:highlight w:val="none"/>
        </w:rPr>
      </w:pPr>
    </w:p>
    <w:p w14:paraId="3BB0C39C">
      <w:pPr>
        <w:pStyle w:val="3"/>
        <w:spacing w:line="360" w:lineRule="auto"/>
        <w:jc w:val="center"/>
        <w:rPr>
          <w:rFonts w:hint="eastAsia" w:ascii="仿宋" w:hAnsi="仿宋" w:eastAsia="仿宋" w:cs="仿宋"/>
          <w:b w:val="0"/>
          <w:bCs w:val="0"/>
          <w:color w:val="000000"/>
          <w:kern w:val="2"/>
          <w:highlight w:val="none"/>
        </w:rPr>
      </w:pPr>
      <w:bookmarkStart w:id="33" w:name="_Toc22318"/>
      <w:bookmarkStart w:id="34" w:name="_Toc2251"/>
      <w:bookmarkStart w:id="35" w:name="_Toc15768"/>
      <w:bookmarkStart w:id="36" w:name="_Toc26680"/>
      <w:bookmarkStart w:id="37" w:name="_Toc20274"/>
      <w:bookmarkStart w:id="38" w:name="_Toc5529"/>
      <w:bookmarkStart w:id="39" w:name="_Toc8372"/>
      <w:r>
        <w:rPr>
          <w:rFonts w:hint="eastAsia" w:ascii="仿宋" w:hAnsi="仿宋" w:eastAsia="仿宋" w:cs="仿宋"/>
          <w:b w:val="0"/>
          <w:bCs w:val="0"/>
          <w:color w:val="000000"/>
          <w:kern w:val="2"/>
          <w:highlight w:val="none"/>
        </w:rPr>
        <w:t>第二章  招标文件</w:t>
      </w:r>
      <w:bookmarkEnd w:id="33"/>
      <w:bookmarkEnd w:id="34"/>
      <w:bookmarkEnd w:id="35"/>
      <w:bookmarkEnd w:id="36"/>
      <w:bookmarkEnd w:id="37"/>
      <w:bookmarkEnd w:id="38"/>
      <w:bookmarkEnd w:id="39"/>
    </w:p>
    <w:p w14:paraId="573A602A">
      <w:pPr>
        <w:spacing w:line="360" w:lineRule="auto"/>
        <w:rPr>
          <w:rFonts w:hint="eastAsia" w:ascii="仿宋" w:hAnsi="仿宋" w:eastAsia="仿宋" w:cs="仿宋"/>
          <w:sz w:val="24"/>
          <w:highlight w:val="none"/>
        </w:rPr>
      </w:pPr>
      <w:r>
        <w:rPr>
          <w:rFonts w:hint="eastAsia" w:ascii="仿宋" w:hAnsi="仿宋" w:eastAsia="仿宋" w:cs="仿宋"/>
          <w:sz w:val="24"/>
          <w:highlight w:val="none"/>
        </w:rPr>
        <w:t>8．招标文件的组成</w:t>
      </w:r>
    </w:p>
    <w:p w14:paraId="37410610">
      <w:pPr>
        <w:snapToGrid w:val="0"/>
        <w:spacing w:line="360" w:lineRule="auto"/>
        <w:ind w:firstLine="431" w:firstLineChars="196"/>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8.1 招标文件除以下内容外，</w:t>
      </w:r>
      <w:r>
        <w:rPr>
          <w:rFonts w:hint="eastAsia" w:ascii="仿宋" w:hAnsi="仿宋" w:eastAsia="仿宋" w:cs="仿宋"/>
          <w:color w:val="000000"/>
          <w:sz w:val="22"/>
          <w:szCs w:val="22"/>
          <w:highlight w:val="none"/>
          <w:lang w:eastAsia="zh-CN"/>
        </w:rPr>
        <w:t>代理机构</w:t>
      </w:r>
      <w:r>
        <w:rPr>
          <w:rFonts w:hint="eastAsia" w:ascii="仿宋" w:hAnsi="仿宋" w:eastAsia="仿宋" w:cs="仿宋"/>
          <w:color w:val="000000"/>
          <w:sz w:val="22"/>
          <w:szCs w:val="22"/>
          <w:highlight w:val="none"/>
        </w:rPr>
        <w:t>在招标期间发出的答疑文件和其他补充修改文件，均是招标文件的组成部分，对投标人起约束作用；</w:t>
      </w:r>
    </w:p>
    <w:p w14:paraId="50ECEE8F">
      <w:pPr>
        <w:snapToGrid w:val="0"/>
        <w:spacing w:line="360" w:lineRule="auto"/>
        <w:ind w:firstLine="431" w:firstLineChars="196"/>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招标文件包括下列内容：</w:t>
      </w:r>
    </w:p>
    <w:p w14:paraId="64CE01DA">
      <w:pPr>
        <w:spacing w:line="360" w:lineRule="auto"/>
        <w:ind w:firstLine="442" w:firstLineChars="200"/>
        <w:rPr>
          <w:rFonts w:hint="eastAsia" w:ascii="仿宋" w:hAnsi="仿宋" w:eastAsia="仿宋" w:cs="仿宋"/>
          <w:b/>
          <w:szCs w:val="21"/>
          <w:highlight w:val="none"/>
        </w:rPr>
      </w:pPr>
      <w:r>
        <w:rPr>
          <w:rFonts w:hint="eastAsia" w:ascii="仿宋" w:hAnsi="仿宋" w:eastAsia="仿宋" w:cs="仿宋"/>
          <w:b/>
          <w:color w:val="000000"/>
          <w:sz w:val="22"/>
          <w:szCs w:val="22"/>
          <w:highlight w:val="none"/>
          <w:lang w:eastAsia="zh-CN"/>
        </w:rPr>
        <w:t>第一册</w:t>
      </w:r>
      <w:r>
        <w:rPr>
          <w:rFonts w:hint="eastAsia" w:ascii="仿宋" w:hAnsi="仿宋" w:eastAsia="仿宋" w:cs="仿宋"/>
          <w:b/>
          <w:color w:val="000000"/>
          <w:sz w:val="22"/>
          <w:szCs w:val="22"/>
          <w:highlight w:val="none"/>
        </w:rPr>
        <w:t xml:space="preserve">  </w:t>
      </w:r>
      <w:r>
        <w:rPr>
          <w:rFonts w:hint="eastAsia" w:ascii="仿宋" w:hAnsi="仿宋" w:eastAsia="仿宋" w:cs="仿宋"/>
          <w:b/>
          <w:szCs w:val="21"/>
          <w:highlight w:val="none"/>
        </w:rPr>
        <w:t>通用条款</w:t>
      </w:r>
    </w:p>
    <w:p w14:paraId="2ED45AC7">
      <w:pPr>
        <w:spacing w:line="360" w:lineRule="auto"/>
        <w:ind w:firstLine="880" w:firstLineChars="4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第一章 总则</w:t>
      </w:r>
    </w:p>
    <w:p w14:paraId="34290571">
      <w:pPr>
        <w:spacing w:line="360" w:lineRule="auto"/>
        <w:ind w:firstLine="880" w:firstLineChars="4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第二章 招标文件</w:t>
      </w:r>
    </w:p>
    <w:p w14:paraId="1AAA1CCB">
      <w:pPr>
        <w:spacing w:line="360" w:lineRule="auto"/>
        <w:ind w:firstLine="880" w:firstLineChars="4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第三章 投标文件的编制</w:t>
      </w:r>
    </w:p>
    <w:p w14:paraId="4A1138EA">
      <w:pPr>
        <w:spacing w:line="360" w:lineRule="auto"/>
        <w:ind w:firstLine="880" w:firstLineChars="4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第四章 投标文件的递交</w:t>
      </w:r>
    </w:p>
    <w:p w14:paraId="796D12CC">
      <w:pPr>
        <w:spacing w:line="360" w:lineRule="auto"/>
        <w:ind w:firstLine="880" w:firstLineChars="4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第五章 开标</w:t>
      </w:r>
    </w:p>
    <w:p w14:paraId="40D8495C">
      <w:pPr>
        <w:spacing w:line="360" w:lineRule="auto"/>
        <w:ind w:firstLine="880" w:firstLineChars="4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第六章 评标</w:t>
      </w:r>
    </w:p>
    <w:p w14:paraId="4D45A972">
      <w:pPr>
        <w:spacing w:line="360" w:lineRule="auto"/>
        <w:ind w:firstLine="880" w:firstLineChars="4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第七章 评标程序及评标方法</w:t>
      </w:r>
    </w:p>
    <w:p w14:paraId="7161BD3C">
      <w:pPr>
        <w:spacing w:line="360" w:lineRule="auto"/>
        <w:ind w:firstLine="880" w:firstLineChars="4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第八章 公开招标失败的后续处理</w:t>
      </w:r>
    </w:p>
    <w:p w14:paraId="3D868E87">
      <w:pPr>
        <w:spacing w:line="360" w:lineRule="auto"/>
        <w:ind w:firstLine="880" w:firstLineChars="4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第九章 合同的授予</w:t>
      </w:r>
    </w:p>
    <w:p w14:paraId="2CF9F77C">
      <w:pPr>
        <w:spacing w:line="360" w:lineRule="auto"/>
        <w:ind w:firstLine="422" w:firstLineChars="200"/>
        <w:rPr>
          <w:rFonts w:hint="eastAsia" w:ascii="仿宋" w:hAnsi="仿宋" w:eastAsia="仿宋" w:cs="仿宋"/>
          <w:b/>
          <w:color w:val="000000"/>
          <w:sz w:val="22"/>
          <w:szCs w:val="22"/>
          <w:highlight w:val="none"/>
        </w:rPr>
      </w:pPr>
      <w:r>
        <w:rPr>
          <w:rFonts w:hint="eastAsia" w:ascii="仿宋" w:hAnsi="仿宋" w:eastAsia="仿宋" w:cs="仿宋"/>
          <w:b/>
          <w:szCs w:val="21"/>
          <w:highlight w:val="none"/>
        </w:rPr>
        <w:t xml:space="preserve">第二册  </w:t>
      </w:r>
      <w:r>
        <w:rPr>
          <w:rFonts w:hint="eastAsia" w:ascii="仿宋" w:hAnsi="仿宋" w:eastAsia="仿宋" w:cs="仿宋"/>
          <w:b/>
          <w:color w:val="000000"/>
          <w:sz w:val="22"/>
          <w:szCs w:val="22"/>
          <w:highlight w:val="none"/>
        </w:rPr>
        <w:t>专用条款</w:t>
      </w:r>
    </w:p>
    <w:p w14:paraId="2B441276">
      <w:pPr>
        <w:spacing w:line="360" w:lineRule="auto"/>
        <w:ind w:firstLine="880" w:firstLineChars="4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第一章 招标公告</w:t>
      </w:r>
    </w:p>
    <w:p w14:paraId="1080DDD0">
      <w:pPr>
        <w:spacing w:line="360" w:lineRule="auto"/>
        <w:ind w:firstLine="880" w:firstLineChars="4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第二章 关键信息</w:t>
      </w:r>
    </w:p>
    <w:p w14:paraId="446433C3">
      <w:pPr>
        <w:spacing w:line="360" w:lineRule="auto"/>
        <w:ind w:firstLine="1320" w:firstLineChars="6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表一、投标须知前附表</w:t>
      </w:r>
    </w:p>
    <w:p w14:paraId="3B42D72E">
      <w:pPr>
        <w:spacing w:line="360" w:lineRule="auto"/>
        <w:ind w:firstLine="1320" w:firstLineChars="6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表二、投标文件初审表</w:t>
      </w:r>
    </w:p>
    <w:p w14:paraId="0B2364F6">
      <w:pPr>
        <w:spacing w:line="360" w:lineRule="auto"/>
        <w:ind w:firstLine="1320" w:firstLineChars="6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表三、评标信息</w:t>
      </w:r>
    </w:p>
    <w:p w14:paraId="02261406">
      <w:pPr>
        <w:spacing w:line="360" w:lineRule="auto"/>
        <w:ind w:firstLine="880" w:firstLineChars="4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第三章 招标项目需求</w:t>
      </w:r>
    </w:p>
    <w:p w14:paraId="1E5F9AF0">
      <w:pPr>
        <w:spacing w:line="360" w:lineRule="auto"/>
        <w:ind w:firstLine="880" w:firstLineChars="4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第四章 合同条款及格式</w:t>
      </w:r>
    </w:p>
    <w:p w14:paraId="31D6A59B">
      <w:pPr>
        <w:spacing w:line="360" w:lineRule="auto"/>
        <w:ind w:firstLine="880" w:firstLineChars="4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第五章 投标文件的格式、附件</w:t>
      </w:r>
    </w:p>
    <w:p w14:paraId="62A3AE82">
      <w:pPr>
        <w:spacing w:line="360" w:lineRule="auto"/>
        <w:ind w:firstLine="880" w:firstLineChars="4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第六章 采购履约情况反馈表</w:t>
      </w:r>
    </w:p>
    <w:p w14:paraId="77549515">
      <w:pPr>
        <w:snapToGrid w:val="0"/>
        <w:spacing w:line="360" w:lineRule="auto"/>
        <w:ind w:firstLine="431" w:firstLineChars="196"/>
        <w:rPr>
          <w:rFonts w:hint="eastAsia" w:ascii="仿宋" w:hAnsi="仿宋" w:eastAsia="仿宋" w:cs="仿宋"/>
          <w:color w:val="FF0000"/>
          <w:sz w:val="22"/>
          <w:szCs w:val="22"/>
          <w:highlight w:val="none"/>
        </w:rPr>
      </w:pPr>
      <w:r>
        <w:rPr>
          <w:rFonts w:hint="eastAsia" w:ascii="仿宋" w:hAnsi="仿宋" w:eastAsia="仿宋" w:cs="仿宋"/>
          <w:color w:val="000000"/>
          <w:sz w:val="22"/>
          <w:szCs w:val="22"/>
          <w:highlight w:val="none"/>
        </w:rPr>
        <w:t>8.2 招标活动信息发布及通告：</w:t>
      </w:r>
      <w:r>
        <w:rPr>
          <w:rFonts w:hint="eastAsia" w:ascii="仿宋" w:hAnsi="仿宋" w:eastAsia="仿宋" w:cs="仿宋"/>
          <w:color w:val="FF0000"/>
          <w:sz w:val="22"/>
          <w:szCs w:val="22"/>
          <w:highlight w:val="none"/>
        </w:rPr>
        <w:t>采购人确认招标文件后，</w:t>
      </w:r>
      <w:r>
        <w:rPr>
          <w:rFonts w:hint="eastAsia" w:ascii="仿宋" w:hAnsi="仿宋" w:eastAsia="仿宋" w:cs="仿宋"/>
          <w:color w:val="FF0000"/>
          <w:sz w:val="22"/>
          <w:szCs w:val="22"/>
          <w:highlight w:val="none"/>
          <w:lang w:eastAsia="zh-CN"/>
        </w:rPr>
        <w:t>代理机构</w:t>
      </w:r>
      <w:r>
        <w:rPr>
          <w:rFonts w:hint="eastAsia" w:ascii="仿宋" w:hAnsi="仿宋" w:eastAsia="仿宋" w:cs="仿宋"/>
          <w:color w:val="FF0000"/>
          <w:sz w:val="22"/>
          <w:szCs w:val="22"/>
          <w:highlight w:val="none"/>
        </w:rPr>
        <w:t>在投标截止前十日公布招标公告和招标文件，预算金额在一千万元以上的采购项目，在投标截止前十五日公布招标公告和招标文件；自评审结束之日起两个工作日内，</w:t>
      </w:r>
      <w:r>
        <w:rPr>
          <w:rFonts w:hint="eastAsia" w:ascii="仿宋" w:hAnsi="仿宋" w:eastAsia="仿宋" w:cs="仿宋"/>
          <w:color w:val="FF0000"/>
          <w:sz w:val="22"/>
          <w:szCs w:val="22"/>
          <w:highlight w:val="none"/>
          <w:lang w:eastAsia="zh-CN"/>
        </w:rPr>
        <w:t>代理机构</w:t>
      </w:r>
      <w:r>
        <w:rPr>
          <w:rFonts w:hint="eastAsia" w:ascii="仿宋" w:hAnsi="仿宋" w:eastAsia="仿宋" w:cs="仿宋"/>
          <w:color w:val="FF0000"/>
          <w:sz w:val="22"/>
          <w:szCs w:val="22"/>
          <w:highlight w:val="none"/>
        </w:rPr>
        <w:t>将中标结果送交采购人确认中标供应商；</w:t>
      </w:r>
      <w:r>
        <w:rPr>
          <w:rFonts w:hint="eastAsia" w:ascii="仿宋" w:hAnsi="仿宋" w:eastAsia="仿宋" w:cs="仿宋"/>
          <w:color w:val="FF0000"/>
          <w:sz w:val="22"/>
          <w:szCs w:val="22"/>
          <w:highlight w:val="none"/>
          <w:lang w:eastAsia="zh-CN"/>
        </w:rPr>
        <w:t>代理机构</w:t>
      </w:r>
      <w:r>
        <w:rPr>
          <w:rFonts w:hint="eastAsia" w:ascii="仿宋" w:hAnsi="仿宋" w:eastAsia="仿宋" w:cs="仿宋"/>
          <w:color w:val="FF0000"/>
          <w:sz w:val="22"/>
          <w:szCs w:val="22"/>
          <w:highlight w:val="none"/>
        </w:rPr>
        <w:t>在发出中标通知书之前，将中标结果通过采购指定网站进行公示三日；公示期满无异议或者异议不成立的，</w:t>
      </w:r>
      <w:r>
        <w:rPr>
          <w:rFonts w:hint="eastAsia" w:ascii="仿宋" w:hAnsi="仿宋" w:eastAsia="仿宋" w:cs="仿宋"/>
          <w:color w:val="FF0000"/>
          <w:sz w:val="22"/>
          <w:szCs w:val="22"/>
          <w:highlight w:val="none"/>
          <w:lang w:eastAsia="zh-CN"/>
        </w:rPr>
        <w:t>代理机构</w:t>
      </w:r>
      <w:r>
        <w:rPr>
          <w:rFonts w:hint="eastAsia" w:ascii="仿宋" w:hAnsi="仿宋" w:eastAsia="仿宋" w:cs="仿宋"/>
          <w:color w:val="FF0000"/>
          <w:sz w:val="22"/>
          <w:szCs w:val="22"/>
          <w:highlight w:val="none"/>
        </w:rPr>
        <w:t>发出中标通知书。</w:t>
      </w:r>
    </w:p>
    <w:p w14:paraId="2F6460F6">
      <w:pPr>
        <w:snapToGrid w:val="0"/>
        <w:spacing w:line="360" w:lineRule="auto"/>
        <w:ind w:firstLine="431" w:firstLineChars="196"/>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8.3 投标人获得招标文件后，应仔细检查招标文件的所有内容，如有残缺应在投标答疑截止时间之前向</w:t>
      </w:r>
      <w:r>
        <w:rPr>
          <w:rFonts w:hint="eastAsia" w:ascii="仿宋" w:hAnsi="仿宋" w:eastAsia="仿宋" w:cs="仿宋"/>
          <w:color w:val="000000"/>
          <w:sz w:val="22"/>
          <w:szCs w:val="22"/>
          <w:highlight w:val="none"/>
          <w:lang w:eastAsia="zh-CN"/>
        </w:rPr>
        <w:t>代理机构</w:t>
      </w:r>
      <w:r>
        <w:rPr>
          <w:rFonts w:hint="eastAsia" w:ascii="仿宋" w:hAnsi="仿宋" w:eastAsia="仿宋" w:cs="仿宋"/>
          <w:color w:val="000000"/>
          <w:sz w:val="22"/>
          <w:szCs w:val="22"/>
          <w:highlight w:val="none"/>
        </w:rPr>
        <w:t>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14:paraId="3BB28BBE">
      <w:pPr>
        <w:snapToGrid w:val="0"/>
        <w:spacing w:line="360" w:lineRule="auto"/>
        <w:ind w:firstLine="431" w:firstLineChars="196"/>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 xml:space="preserve">8.4 </w:t>
      </w:r>
      <w:r>
        <w:rPr>
          <w:rFonts w:hint="eastAsia" w:ascii="仿宋" w:hAnsi="仿宋" w:eastAsia="仿宋" w:cs="仿宋"/>
          <w:color w:val="000000"/>
          <w:sz w:val="22"/>
          <w:szCs w:val="28"/>
          <w:highlight w:val="none"/>
        </w:rPr>
        <w:t>任何人或任何组织向投标人提交的任何书面或口头资料，未经</w:t>
      </w:r>
      <w:r>
        <w:rPr>
          <w:rFonts w:hint="eastAsia" w:ascii="仿宋" w:hAnsi="仿宋" w:eastAsia="仿宋" w:cs="仿宋"/>
          <w:color w:val="000000"/>
          <w:sz w:val="22"/>
          <w:szCs w:val="28"/>
          <w:highlight w:val="none"/>
          <w:lang w:eastAsia="zh-CN"/>
        </w:rPr>
        <w:t>代理机构</w:t>
      </w:r>
      <w:r>
        <w:rPr>
          <w:rFonts w:hint="eastAsia" w:ascii="仿宋" w:hAnsi="仿宋" w:eastAsia="仿宋" w:cs="仿宋"/>
          <w:color w:val="000000"/>
          <w:sz w:val="22"/>
          <w:szCs w:val="28"/>
          <w:highlight w:val="none"/>
        </w:rPr>
        <w:t>在网上发布或书面通知，均作无效处理，不得作为招标文件的组成部分。</w:t>
      </w:r>
      <w:r>
        <w:rPr>
          <w:rFonts w:hint="eastAsia" w:ascii="仿宋" w:hAnsi="仿宋" w:eastAsia="仿宋" w:cs="仿宋"/>
          <w:color w:val="000000"/>
          <w:sz w:val="22"/>
          <w:szCs w:val="28"/>
          <w:highlight w:val="none"/>
          <w:lang w:eastAsia="zh-CN"/>
        </w:rPr>
        <w:t>代理机构</w:t>
      </w:r>
      <w:r>
        <w:rPr>
          <w:rFonts w:hint="eastAsia" w:ascii="仿宋" w:hAnsi="仿宋" w:eastAsia="仿宋" w:cs="仿宋"/>
          <w:color w:val="000000"/>
          <w:sz w:val="22"/>
          <w:szCs w:val="28"/>
          <w:highlight w:val="none"/>
        </w:rPr>
        <w:t>对投标人由此而做出的推论、理解和结论概不负责。</w:t>
      </w:r>
    </w:p>
    <w:p w14:paraId="32C3598E">
      <w:pPr>
        <w:spacing w:line="360" w:lineRule="auto"/>
        <w:rPr>
          <w:rFonts w:hint="eastAsia" w:ascii="仿宋" w:hAnsi="仿宋" w:eastAsia="仿宋" w:cs="仿宋"/>
          <w:sz w:val="24"/>
          <w:highlight w:val="none"/>
        </w:rPr>
      </w:pPr>
      <w:r>
        <w:rPr>
          <w:rFonts w:hint="eastAsia" w:ascii="仿宋" w:hAnsi="仿宋" w:eastAsia="仿宋" w:cs="仿宋"/>
          <w:sz w:val="24"/>
          <w:highlight w:val="none"/>
        </w:rPr>
        <w:t>9．招标文件的澄清</w:t>
      </w:r>
    </w:p>
    <w:p w14:paraId="616275E9">
      <w:pPr>
        <w:snapToGrid w:val="0"/>
        <w:spacing w:line="360" w:lineRule="auto"/>
        <w:ind w:firstLine="431" w:firstLineChars="196"/>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9.1 招标文件澄清的目的是澄清、解答投标人在查阅招标文件后或现场踏勘中可能提出的与投标有关的疑问或询问。</w:t>
      </w:r>
    </w:p>
    <w:p w14:paraId="0E10FA84">
      <w:pPr>
        <w:snapToGrid w:val="0"/>
        <w:spacing w:line="360" w:lineRule="auto"/>
        <w:ind w:firstLine="431" w:firstLineChars="196"/>
        <w:rPr>
          <w:rFonts w:hint="eastAsia" w:ascii="仿宋" w:hAnsi="仿宋" w:eastAsia="仿宋" w:cs="仿宋"/>
          <w:color w:val="000000"/>
          <w:sz w:val="22"/>
          <w:szCs w:val="22"/>
          <w:highlight w:val="none"/>
          <w:lang w:eastAsia="zh-CN"/>
        </w:rPr>
      </w:pPr>
      <w:r>
        <w:rPr>
          <w:rFonts w:hint="eastAsia" w:ascii="仿宋" w:hAnsi="仿宋" w:eastAsia="仿宋" w:cs="仿宋"/>
          <w:color w:val="000000"/>
          <w:sz w:val="22"/>
          <w:szCs w:val="22"/>
          <w:highlight w:val="none"/>
          <w:lang w:val="en-US" w:eastAsia="zh-CN"/>
        </w:rPr>
        <w:t>9.2 投标人如对招标文件内容有疑问，应当在招标公告规定的澄清（提问）截止时间前提交给</w:t>
      </w:r>
      <w:r>
        <w:rPr>
          <w:rFonts w:hint="eastAsia" w:ascii="仿宋" w:hAnsi="仿宋" w:eastAsia="仿宋" w:cs="仿宋"/>
          <w:color w:val="000000"/>
          <w:sz w:val="22"/>
          <w:szCs w:val="22"/>
          <w:highlight w:val="none"/>
          <w:lang w:eastAsia="zh-CN"/>
        </w:rPr>
        <w:t>代理机构。</w:t>
      </w:r>
    </w:p>
    <w:p w14:paraId="1CC84ED3">
      <w:pPr>
        <w:snapToGrid w:val="0"/>
        <w:spacing w:line="360" w:lineRule="auto"/>
        <w:ind w:firstLine="431" w:firstLineChars="196"/>
        <w:rPr>
          <w:rFonts w:hint="eastAsia" w:ascii="仿宋" w:hAnsi="仿宋" w:eastAsia="仿宋" w:cs="仿宋"/>
          <w:color w:val="000000"/>
          <w:sz w:val="22"/>
          <w:szCs w:val="22"/>
          <w:highlight w:val="none"/>
          <w:lang w:val="en-US" w:eastAsia="zh-CN"/>
        </w:rPr>
      </w:pPr>
      <w:r>
        <w:rPr>
          <w:rFonts w:hint="eastAsia" w:ascii="仿宋" w:hAnsi="仿宋" w:eastAsia="仿宋" w:cs="仿宋"/>
          <w:color w:val="000000"/>
          <w:sz w:val="22"/>
          <w:szCs w:val="22"/>
          <w:highlight w:val="none"/>
          <w:lang w:val="en-US" w:eastAsia="zh-CN"/>
        </w:rPr>
        <w:t>9.3不论是</w:t>
      </w:r>
      <w:r>
        <w:rPr>
          <w:rFonts w:hint="eastAsia" w:ascii="仿宋" w:hAnsi="仿宋" w:eastAsia="仿宋" w:cs="仿宋"/>
          <w:color w:val="000000"/>
          <w:sz w:val="22"/>
          <w:szCs w:val="22"/>
          <w:highlight w:val="none"/>
          <w:lang w:eastAsia="zh-CN"/>
        </w:rPr>
        <w:t>代理机构</w:t>
      </w:r>
      <w:r>
        <w:rPr>
          <w:rFonts w:hint="eastAsia" w:ascii="仿宋" w:hAnsi="仿宋" w:eastAsia="仿宋" w:cs="仿宋"/>
          <w:color w:val="000000"/>
          <w:sz w:val="22"/>
          <w:szCs w:val="22"/>
          <w:highlight w:val="none"/>
          <w:lang w:val="en-US" w:eastAsia="zh-CN"/>
        </w:rPr>
        <w:t>根据需要主动对招标文件进行必要的澄清或是根据投标人的要求对招标文件做出澄清，</w:t>
      </w:r>
      <w:r>
        <w:rPr>
          <w:rFonts w:hint="eastAsia" w:ascii="仿宋" w:hAnsi="仿宋" w:eastAsia="仿宋" w:cs="仿宋"/>
          <w:color w:val="000000"/>
          <w:sz w:val="22"/>
          <w:szCs w:val="22"/>
          <w:highlight w:val="none"/>
          <w:lang w:eastAsia="zh-CN"/>
        </w:rPr>
        <w:t>代理机构</w:t>
      </w:r>
      <w:r>
        <w:rPr>
          <w:rFonts w:hint="eastAsia" w:ascii="仿宋" w:hAnsi="仿宋" w:eastAsia="仿宋" w:cs="仿宋"/>
          <w:color w:val="000000"/>
          <w:sz w:val="22"/>
          <w:szCs w:val="22"/>
          <w:highlight w:val="none"/>
          <w:lang w:val="en-US" w:eastAsia="zh-CN"/>
        </w:rPr>
        <w:t>都将在投标截止日期前以书面形式（包括网站发布方式）答复或发送给所有投标人。答复内容是招标文件的组成部分，对投标人起约束作用。</w:t>
      </w:r>
    </w:p>
    <w:p w14:paraId="0482CA08">
      <w:pPr>
        <w:spacing w:line="360" w:lineRule="auto"/>
        <w:rPr>
          <w:rFonts w:hint="eastAsia" w:ascii="仿宋" w:hAnsi="仿宋" w:eastAsia="仿宋" w:cs="仿宋"/>
          <w:sz w:val="24"/>
          <w:highlight w:val="none"/>
        </w:rPr>
      </w:pPr>
      <w:r>
        <w:rPr>
          <w:rFonts w:hint="eastAsia" w:ascii="仿宋" w:hAnsi="仿宋" w:eastAsia="仿宋" w:cs="仿宋"/>
          <w:sz w:val="24"/>
          <w:highlight w:val="none"/>
        </w:rPr>
        <w:t>10．招标文件的修改</w:t>
      </w:r>
    </w:p>
    <w:p w14:paraId="0C77C17D">
      <w:pPr>
        <w:snapToGrid w:val="0"/>
        <w:spacing w:line="360" w:lineRule="auto"/>
        <w:ind w:firstLine="431" w:firstLineChars="196"/>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10.1 招标文件发出后，在投标截止日期前任何时候，确需要变更招标内容的，</w:t>
      </w:r>
      <w:r>
        <w:rPr>
          <w:rFonts w:hint="eastAsia" w:ascii="仿宋" w:hAnsi="仿宋" w:eastAsia="仿宋" w:cs="仿宋"/>
          <w:color w:val="000000"/>
          <w:sz w:val="22"/>
          <w:szCs w:val="22"/>
          <w:highlight w:val="none"/>
          <w:lang w:eastAsia="zh-CN"/>
        </w:rPr>
        <w:t>代理机构</w:t>
      </w:r>
      <w:r>
        <w:rPr>
          <w:rFonts w:hint="eastAsia" w:ascii="仿宋" w:hAnsi="仿宋" w:eastAsia="仿宋" w:cs="仿宋"/>
          <w:color w:val="000000"/>
          <w:sz w:val="22"/>
          <w:szCs w:val="22"/>
          <w:highlight w:val="none"/>
        </w:rPr>
        <w:t>可主动地或在解答投标人提出的澄清问题时对招标文件进行修改；</w:t>
      </w:r>
    </w:p>
    <w:p w14:paraId="1DE6CC14">
      <w:pPr>
        <w:spacing w:line="360" w:lineRule="auto"/>
        <w:ind w:firstLine="440" w:firstLineChars="2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10.2 招标文件的修改均在</w:t>
      </w:r>
      <w:r>
        <w:rPr>
          <w:rFonts w:hint="eastAsia" w:ascii="仿宋" w:hAnsi="仿宋" w:eastAsia="仿宋" w:cs="仿宋"/>
          <w:b/>
          <w:bCs/>
          <w:color w:val="000000"/>
          <w:sz w:val="22"/>
          <w:szCs w:val="22"/>
          <w:highlight w:val="none"/>
        </w:rPr>
        <w:t>指定网站</w:t>
      </w:r>
      <w:r>
        <w:rPr>
          <w:rFonts w:hint="eastAsia" w:ascii="仿宋" w:hAnsi="仿宋" w:eastAsia="仿宋" w:cs="仿宋"/>
          <w:color w:val="000000"/>
          <w:sz w:val="22"/>
          <w:szCs w:val="22"/>
          <w:highlight w:val="none"/>
        </w:rPr>
        <w:t>和</w:t>
      </w:r>
      <w:r>
        <w:rPr>
          <w:rFonts w:hint="eastAsia" w:ascii="仿宋" w:hAnsi="仿宋" w:eastAsia="仿宋" w:cs="仿宋"/>
          <w:b/>
          <w:bCs/>
          <w:color w:val="000000"/>
          <w:sz w:val="22"/>
          <w:szCs w:val="22"/>
          <w:highlight w:val="none"/>
          <w:lang w:eastAsia="zh-CN"/>
        </w:rPr>
        <w:t>友和招标代理服务网</w:t>
      </w:r>
      <w:r>
        <w:rPr>
          <w:rFonts w:hint="eastAsia" w:ascii="仿宋" w:hAnsi="仿宋" w:eastAsia="仿宋" w:cs="仿宋"/>
          <w:color w:val="000000"/>
          <w:sz w:val="22"/>
          <w:szCs w:val="22"/>
          <w:highlight w:val="none"/>
        </w:rPr>
        <w:t>以网上公告形式发布，并对投标人具有约束力，在项目开标前，投标人有义务上网查看，公告一经上网发布，即视为送达。</w:t>
      </w:r>
    </w:p>
    <w:p w14:paraId="42CF0000">
      <w:pPr>
        <w:spacing w:line="360" w:lineRule="auto"/>
        <w:ind w:firstLine="440" w:firstLineChars="2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10.3 招标文件、招标文件澄清（答疑）纪要、招标文件修改补充通知内容均以书面明确的内容为准。当招标文件、修改补充通知、澄清（答疑）纪要内容相互矛盾时，以最后发出的通知（或纪要）或修改文件为准；</w:t>
      </w:r>
    </w:p>
    <w:p w14:paraId="7C6A0790">
      <w:pPr>
        <w:snapToGrid w:val="0"/>
        <w:spacing w:line="360" w:lineRule="auto"/>
        <w:ind w:firstLine="431" w:firstLineChars="196"/>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 xml:space="preserve">10.4 </w:t>
      </w:r>
      <w:r>
        <w:rPr>
          <w:rFonts w:hint="eastAsia" w:ascii="仿宋" w:hAnsi="仿宋" w:eastAsia="仿宋" w:cs="仿宋"/>
          <w:color w:val="000000"/>
          <w:sz w:val="22"/>
          <w:szCs w:val="22"/>
          <w:highlight w:val="none"/>
          <w:lang w:eastAsia="zh-CN"/>
        </w:rPr>
        <w:t>代理机构</w:t>
      </w:r>
      <w:r>
        <w:rPr>
          <w:rFonts w:hint="eastAsia" w:ascii="仿宋" w:hAnsi="仿宋" w:eastAsia="仿宋" w:cs="仿宋"/>
          <w:color w:val="000000"/>
          <w:sz w:val="22"/>
          <w:szCs w:val="22"/>
          <w:highlight w:val="none"/>
        </w:rPr>
        <w:t>保证招标文件澄清（答疑）纪要和招标文件修改补充通知在投标截止时间前以网站公开发布形式或书面形式发送给所有投标人。为使投标人在编写投标文件时有充分时间对招标文件的修改部分进行研究，</w:t>
      </w:r>
      <w:r>
        <w:rPr>
          <w:rFonts w:hint="eastAsia" w:ascii="仿宋" w:hAnsi="仿宋" w:eastAsia="仿宋" w:cs="仿宋"/>
          <w:color w:val="000000"/>
          <w:sz w:val="22"/>
          <w:szCs w:val="22"/>
          <w:highlight w:val="none"/>
          <w:lang w:eastAsia="zh-CN"/>
        </w:rPr>
        <w:t>代理机构</w:t>
      </w:r>
      <w:r>
        <w:rPr>
          <w:rFonts w:hint="eastAsia" w:ascii="仿宋" w:hAnsi="仿宋" w:eastAsia="仿宋" w:cs="仿宋"/>
          <w:color w:val="000000"/>
          <w:sz w:val="22"/>
          <w:szCs w:val="22"/>
          <w:highlight w:val="none"/>
        </w:rPr>
        <w:t>可以酌情延长递交投标文件的截止日期，具体时间将在修改补充通知中明确。</w:t>
      </w:r>
    </w:p>
    <w:p w14:paraId="4B9D4CBF">
      <w:pPr>
        <w:snapToGrid w:val="0"/>
        <w:spacing w:line="360" w:lineRule="auto"/>
        <w:ind w:firstLine="431" w:firstLineChars="196"/>
        <w:rPr>
          <w:rFonts w:hint="eastAsia" w:ascii="仿宋" w:hAnsi="仿宋" w:eastAsia="仿宋" w:cs="仿宋"/>
          <w:color w:val="000000"/>
          <w:sz w:val="22"/>
          <w:szCs w:val="22"/>
          <w:highlight w:val="none"/>
        </w:rPr>
      </w:pPr>
    </w:p>
    <w:p w14:paraId="14690570">
      <w:pPr>
        <w:pStyle w:val="3"/>
        <w:spacing w:line="360" w:lineRule="auto"/>
        <w:jc w:val="center"/>
        <w:rPr>
          <w:rFonts w:hint="eastAsia" w:ascii="仿宋" w:hAnsi="仿宋" w:eastAsia="仿宋" w:cs="仿宋"/>
          <w:b w:val="0"/>
          <w:bCs w:val="0"/>
          <w:color w:val="000000"/>
          <w:kern w:val="2"/>
          <w:highlight w:val="none"/>
        </w:rPr>
      </w:pPr>
      <w:bookmarkStart w:id="40" w:name="bt投标文件"/>
      <w:bookmarkEnd w:id="40"/>
      <w:bookmarkStart w:id="41" w:name="_Toc73517652"/>
      <w:bookmarkStart w:id="42" w:name="_Toc100052377"/>
      <w:bookmarkStart w:id="43" w:name="_Toc73521648"/>
      <w:bookmarkStart w:id="44" w:name="_Toc73518130"/>
      <w:bookmarkStart w:id="45" w:name="_Toc101074879"/>
      <w:bookmarkStart w:id="46" w:name="_Toc73521560"/>
      <w:bookmarkStart w:id="47" w:name="_Toc9445"/>
      <w:bookmarkStart w:id="48" w:name="_Toc30371"/>
      <w:r>
        <w:rPr>
          <w:rFonts w:hint="eastAsia" w:ascii="仿宋" w:hAnsi="仿宋" w:eastAsia="仿宋" w:cs="仿宋"/>
          <w:b w:val="0"/>
          <w:bCs w:val="0"/>
          <w:color w:val="000000"/>
          <w:kern w:val="2"/>
          <w:highlight w:val="none"/>
        </w:rPr>
        <w:t>第三章  投标文件</w:t>
      </w:r>
      <w:bookmarkEnd w:id="41"/>
      <w:bookmarkEnd w:id="42"/>
      <w:bookmarkEnd w:id="43"/>
      <w:bookmarkEnd w:id="44"/>
      <w:bookmarkEnd w:id="45"/>
      <w:bookmarkEnd w:id="46"/>
      <w:r>
        <w:rPr>
          <w:rFonts w:hint="eastAsia" w:ascii="仿宋" w:hAnsi="仿宋" w:eastAsia="仿宋" w:cs="仿宋"/>
          <w:b w:val="0"/>
          <w:bCs w:val="0"/>
          <w:color w:val="000000"/>
          <w:kern w:val="2"/>
          <w:highlight w:val="none"/>
        </w:rPr>
        <w:t>的编制</w:t>
      </w:r>
      <w:bookmarkEnd w:id="47"/>
      <w:bookmarkEnd w:id="48"/>
    </w:p>
    <w:p w14:paraId="542B7E1F">
      <w:pPr>
        <w:spacing w:line="360" w:lineRule="auto"/>
        <w:rPr>
          <w:rFonts w:hint="eastAsia" w:ascii="仿宋" w:hAnsi="仿宋" w:eastAsia="仿宋" w:cs="仿宋"/>
          <w:sz w:val="24"/>
          <w:highlight w:val="none"/>
        </w:rPr>
      </w:pPr>
      <w:bookmarkStart w:id="49" w:name="_Toc73517653"/>
      <w:bookmarkStart w:id="50" w:name="_Toc100052378"/>
      <w:bookmarkStart w:id="51" w:name="_Toc73518131"/>
      <w:bookmarkStart w:id="52" w:name="_Toc73521649"/>
      <w:bookmarkStart w:id="53" w:name="_Toc73521561"/>
      <w:bookmarkStart w:id="54" w:name="_Toc60560639"/>
      <w:bookmarkStart w:id="55" w:name="_Toc60631634"/>
      <w:r>
        <w:rPr>
          <w:rFonts w:hint="eastAsia" w:ascii="仿宋" w:hAnsi="仿宋" w:eastAsia="仿宋" w:cs="仿宋"/>
          <w:sz w:val="24"/>
          <w:highlight w:val="none"/>
        </w:rPr>
        <w:t>11．投标文件的语言及度量单位</w:t>
      </w:r>
      <w:bookmarkEnd w:id="49"/>
      <w:bookmarkEnd w:id="50"/>
      <w:bookmarkEnd w:id="51"/>
      <w:bookmarkEnd w:id="52"/>
      <w:bookmarkEnd w:id="53"/>
      <w:bookmarkEnd w:id="54"/>
      <w:bookmarkEnd w:id="55"/>
    </w:p>
    <w:p w14:paraId="2D1E80B9">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11.1 投标人与</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之间与投标有关的所有往来通知、函件和投标文件均用中文表述。投标人随投标文件提供的证明文件和资料可以为其他语言，但必须附中文译文，且应以中文为准；</w:t>
      </w:r>
    </w:p>
    <w:p w14:paraId="3E15156D">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11.2 除技术规范另有规定外，投标文件使用的度量单位，均采用中华人民共和国法定计量单位。</w:t>
      </w:r>
    </w:p>
    <w:p w14:paraId="570ADC4A">
      <w:pPr>
        <w:spacing w:line="360" w:lineRule="auto"/>
        <w:rPr>
          <w:rFonts w:hint="eastAsia" w:ascii="仿宋" w:hAnsi="仿宋" w:eastAsia="仿宋" w:cs="仿宋"/>
          <w:sz w:val="24"/>
          <w:highlight w:val="none"/>
        </w:rPr>
      </w:pPr>
      <w:bookmarkStart w:id="56" w:name="_Toc73521562"/>
      <w:bookmarkStart w:id="57" w:name="_Toc73517654"/>
      <w:bookmarkStart w:id="58" w:name="_Toc73518132"/>
      <w:bookmarkStart w:id="59" w:name="_Toc60560640"/>
      <w:bookmarkStart w:id="60" w:name="_Toc60631635"/>
      <w:bookmarkStart w:id="61" w:name="_Toc100052379"/>
      <w:bookmarkStart w:id="62" w:name="_Toc73521650"/>
      <w:r>
        <w:rPr>
          <w:rFonts w:hint="eastAsia" w:ascii="仿宋" w:hAnsi="仿宋" w:eastAsia="仿宋" w:cs="仿宋"/>
          <w:sz w:val="24"/>
          <w:highlight w:val="none"/>
        </w:rPr>
        <w:t>12．投标文件的组成</w:t>
      </w:r>
      <w:bookmarkEnd w:id="56"/>
      <w:bookmarkEnd w:id="57"/>
      <w:bookmarkEnd w:id="58"/>
      <w:bookmarkEnd w:id="59"/>
      <w:bookmarkEnd w:id="60"/>
      <w:bookmarkEnd w:id="61"/>
      <w:bookmarkEnd w:id="62"/>
    </w:p>
    <w:p w14:paraId="247ED192">
      <w:pPr>
        <w:snapToGrid w:val="0"/>
        <w:spacing w:line="360" w:lineRule="auto"/>
        <w:ind w:firstLine="433" w:firstLineChars="196"/>
        <w:rPr>
          <w:rFonts w:hint="eastAsia" w:ascii="仿宋" w:hAnsi="仿宋" w:eastAsia="仿宋" w:cs="仿宋"/>
          <w:b/>
          <w:sz w:val="22"/>
          <w:szCs w:val="22"/>
          <w:highlight w:val="none"/>
        </w:rPr>
      </w:pPr>
      <w:r>
        <w:rPr>
          <w:rFonts w:hint="eastAsia" w:ascii="仿宋" w:hAnsi="仿宋" w:eastAsia="仿宋" w:cs="仿宋"/>
          <w:b/>
          <w:sz w:val="22"/>
          <w:szCs w:val="22"/>
          <w:highlight w:val="none"/>
        </w:rPr>
        <w:t>（具体内容请详见</w:t>
      </w:r>
      <w:r>
        <w:rPr>
          <w:rFonts w:hint="eastAsia" w:ascii="仿宋" w:hAnsi="仿宋" w:eastAsia="仿宋" w:cs="仿宋"/>
          <w:b/>
          <w:sz w:val="22"/>
          <w:szCs w:val="22"/>
          <w:highlight w:val="none"/>
          <w:lang w:eastAsia="zh-CN"/>
        </w:rPr>
        <w:t>第二册</w:t>
      </w:r>
      <w:r>
        <w:rPr>
          <w:rFonts w:hint="eastAsia" w:ascii="仿宋" w:hAnsi="仿宋" w:eastAsia="仿宋" w:cs="仿宋"/>
          <w:b/>
          <w:sz w:val="22"/>
          <w:szCs w:val="22"/>
          <w:highlight w:val="none"/>
        </w:rPr>
        <w:t>第五章的相关内容）</w:t>
      </w:r>
      <w:bookmarkStart w:id="63" w:name="投标文件的组成"/>
      <w:bookmarkStart w:id="64" w:name="_Toc60560641"/>
      <w:bookmarkStart w:id="65" w:name="_Toc73517655"/>
      <w:bookmarkStart w:id="66" w:name="_Toc60631636"/>
      <w:bookmarkStart w:id="67" w:name="_Toc73521651"/>
      <w:bookmarkStart w:id="68" w:name="_Toc73518133"/>
      <w:bookmarkStart w:id="69" w:name="_Toc73521563"/>
    </w:p>
    <w:bookmarkEnd w:id="63"/>
    <w:p w14:paraId="1A58EBF0">
      <w:pPr>
        <w:spacing w:line="360" w:lineRule="auto"/>
        <w:rPr>
          <w:rFonts w:hint="eastAsia" w:ascii="仿宋" w:hAnsi="仿宋" w:eastAsia="仿宋" w:cs="仿宋"/>
          <w:sz w:val="24"/>
          <w:highlight w:val="none"/>
        </w:rPr>
      </w:pPr>
      <w:bookmarkStart w:id="70" w:name="_Toc100052380"/>
      <w:r>
        <w:rPr>
          <w:rFonts w:hint="eastAsia" w:ascii="仿宋" w:hAnsi="仿宋" w:eastAsia="仿宋" w:cs="仿宋"/>
          <w:sz w:val="24"/>
          <w:highlight w:val="none"/>
        </w:rPr>
        <w:t>13．投标文件格式</w:t>
      </w:r>
      <w:bookmarkEnd w:id="64"/>
      <w:bookmarkEnd w:id="65"/>
      <w:bookmarkEnd w:id="66"/>
      <w:bookmarkEnd w:id="67"/>
      <w:bookmarkEnd w:id="68"/>
      <w:bookmarkEnd w:id="69"/>
      <w:bookmarkEnd w:id="70"/>
    </w:p>
    <w:p w14:paraId="18807FA9">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13.1 投标文件包括本通用条款第12条中规定的内容。如招标文件提供了投标文件格式，则</w:t>
      </w:r>
      <w:r>
        <w:rPr>
          <w:rFonts w:hint="eastAsia" w:ascii="仿宋" w:hAnsi="仿宋" w:eastAsia="仿宋" w:cs="仿宋"/>
          <w:b/>
          <w:bCs/>
          <w:sz w:val="22"/>
          <w:szCs w:val="22"/>
          <w:highlight w:val="none"/>
        </w:rPr>
        <w:t>投标人提交的投标文件必须毫无例外地使用招标文件所提供的相应格式</w:t>
      </w:r>
      <w:r>
        <w:rPr>
          <w:rFonts w:hint="eastAsia" w:ascii="仿宋" w:hAnsi="仿宋" w:eastAsia="仿宋" w:cs="仿宋"/>
          <w:sz w:val="22"/>
          <w:szCs w:val="22"/>
          <w:highlight w:val="none"/>
        </w:rPr>
        <w:t>（表格可以按同样格式扩展）。</w:t>
      </w:r>
      <w:bookmarkStart w:id="71" w:name="_Toc73518135"/>
      <w:bookmarkStart w:id="72" w:name="_Toc60560643"/>
      <w:bookmarkStart w:id="73" w:name="_Toc60631638"/>
      <w:bookmarkStart w:id="74" w:name="_Toc73517657"/>
      <w:bookmarkStart w:id="75" w:name="_Toc73521565"/>
      <w:bookmarkStart w:id="76" w:name="_Toc73521653"/>
    </w:p>
    <w:p w14:paraId="09886652">
      <w:pPr>
        <w:spacing w:line="360" w:lineRule="auto"/>
        <w:rPr>
          <w:rFonts w:hint="eastAsia" w:ascii="仿宋" w:hAnsi="仿宋" w:eastAsia="仿宋" w:cs="仿宋"/>
          <w:sz w:val="24"/>
          <w:highlight w:val="none"/>
          <w:lang w:eastAsia="zh-CN"/>
        </w:rPr>
      </w:pPr>
      <w:bookmarkStart w:id="77" w:name="_Toc100052382"/>
      <w:r>
        <w:rPr>
          <w:rFonts w:hint="eastAsia" w:ascii="仿宋" w:hAnsi="仿宋" w:eastAsia="仿宋" w:cs="仿宋"/>
          <w:sz w:val="24"/>
          <w:highlight w:val="none"/>
        </w:rPr>
        <w:t>14．投标</w:t>
      </w:r>
      <w:bookmarkEnd w:id="71"/>
      <w:bookmarkEnd w:id="72"/>
      <w:bookmarkEnd w:id="73"/>
      <w:bookmarkEnd w:id="74"/>
      <w:bookmarkEnd w:id="75"/>
      <w:bookmarkEnd w:id="76"/>
      <w:bookmarkEnd w:id="77"/>
      <w:r>
        <w:rPr>
          <w:rFonts w:hint="eastAsia" w:ascii="仿宋" w:hAnsi="仿宋" w:eastAsia="仿宋" w:cs="仿宋"/>
          <w:sz w:val="24"/>
          <w:highlight w:val="none"/>
          <w:lang w:eastAsia="zh-CN"/>
        </w:rPr>
        <w:t>保证金（本项目不适用）</w:t>
      </w:r>
    </w:p>
    <w:p w14:paraId="5D0EF94E">
      <w:pPr>
        <w:snapToGrid w:val="0"/>
        <w:spacing w:line="360" w:lineRule="auto"/>
        <w:ind w:firstLine="431" w:firstLineChars="196"/>
        <w:rPr>
          <w:rFonts w:hint="eastAsia" w:ascii="仿宋" w:hAnsi="仿宋" w:eastAsia="仿宋" w:cs="仿宋"/>
          <w:sz w:val="22"/>
          <w:szCs w:val="22"/>
          <w:highlight w:val="none"/>
        </w:rPr>
      </w:pPr>
      <w:bookmarkStart w:id="78" w:name="_Toc60631639"/>
      <w:bookmarkStart w:id="79" w:name="_Toc73521566"/>
      <w:bookmarkStart w:id="80" w:name="_Toc73517658"/>
      <w:bookmarkStart w:id="81" w:name="_Toc73518136"/>
      <w:bookmarkStart w:id="82" w:name="_Toc60560644"/>
      <w:bookmarkStart w:id="83" w:name="_Toc100052383"/>
      <w:bookmarkStart w:id="84" w:name="_Toc73521654"/>
      <w:r>
        <w:rPr>
          <w:rFonts w:hint="eastAsia" w:ascii="仿宋" w:hAnsi="仿宋" w:eastAsia="仿宋" w:cs="仿宋"/>
          <w:sz w:val="22"/>
          <w:szCs w:val="22"/>
          <w:highlight w:val="none"/>
          <w:lang w:val="en-US" w:eastAsia="zh-CN"/>
        </w:rPr>
        <w:t>14</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1</w:t>
      </w:r>
      <w:r>
        <w:rPr>
          <w:rFonts w:hint="eastAsia" w:ascii="仿宋" w:hAnsi="仿宋" w:eastAsia="仿宋" w:cs="仿宋"/>
          <w:sz w:val="22"/>
          <w:szCs w:val="22"/>
          <w:highlight w:val="none"/>
        </w:rPr>
        <w:t xml:space="preserve"> 投标人应按第二册第二章“投标须知前附表”第6项规定的人民币金额的投标保证金，并作为其投标的一部分。</w:t>
      </w:r>
    </w:p>
    <w:p w14:paraId="4F37B7A3">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w:t>
      </w:r>
      <w:r>
        <w:rPr>
          <w:rFonts w:hint="eastAsia" w:ascii="仿宋" w:hAnsi="仿宋" w:eastAsia="仿宋" w:cs="仿宋"/>
          <w:sz w:val="22"/>
          <w:szCs w:val="22"/>
          <w:highlight w:val="none"/>
          <w:lang w:val="en-US" w:eastAsia="zh-CN"/>
        </w:rPr>
        <w:t>4</w:t>
      </w:r>
      <w:r>
        <w:rPr>
          <w:rFonts w:hint="eastAsia" w:ascii="仿宋" w:hAnsi="仿宋" w:eastAsia="仿宋" w:cs="仿宋"/>
          <w:sz w:val="22"/>
          <w:szCs w:val="22"/>
          <w:highlight w:val="none"/>
        </w:rPr>
        <w:t>.2 投标保证金是为了保护采购人免遭因投标人的行为而蒙受的损失，采购人在因投标人的行为受到损害时可根据本通用条款第1</w:t>
      </w:r>
      <w:r>
        <w:rPr>
          <w:rFonts w:hint="eastAsia" w:ascii="仿宋" w:hAnsi="仿宋" w:eastAsia="仿宋" w:cs="仿宋"/>
          <w:sz w:val="22"/>
          <w:szCs w:val="22"/>
          <w:highlight w:val="none"/>
          <w:lang w:val="en-US" w:eastAsia="zh-CN"/>
        </w:rPr>
        <w:t>4</w:t>
      </w:r>
      <w:r>
        <w:rPr>
          <w:rFonts w:hint="eastAsia" w:ascii="仿宋" w:hAnsi="仿宋" w:eastAsia="仿宋" w:cs="仿宋"/>
          <w:sz w:val="22"/>
          <w:szCs w:val="22"/>
          <w:highlight w:val="none"/>
        </w:rPr>
        <w:t>.8款的规定没收投标人的投标保证金。</w:t>
      </w:r>
    </w:p>
    <w:p w14:paraId="50173E88">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14</w:t>
      </w:r>
      <w:r>
        <w:rPr>
          <w:rFonts w:hint="eastAsia" w:ascii="仿宋" w:hAnsi="仿宋" w:eastAsia="仿宋" w:cs="仿宋"/>
          <w:sz w:val="22"/>
          <w:szCs w:val="22"/>
          <w:highlight w:val="none"/>
        </w:rPr>
        <w:t>.3 交纳投标保证金应一律从投标供应商基本账户转出，否则按无效投标保证金处理。</w:t>
      </w:r>
    </w:p>
    <w:p w14:paraId="01B0DD01">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w:t>
      </w:r>
      <w:r>
        <w:rPr>
          <w:rFonts w:hint="eastAsia" w:ascii="仿宋" w:hAnsi="仿宋" w:eastAsia="仿宋" w:cs="仿宋"/>
          <w:sz w:val="22"/>
          <w:szCs w:val="22"/>
          <w:highlight w:val="none"/>
          <w:lang w:val="en-US" w:eastAsia="zh-CN"/>
        </w:rPr>
        <w:t>4</w:t>
      </w:r>
      <w:r>
        <w:rPr>
          <w:rFonts w:hint="eastAsia" w:ascii="仿宋" w:hAnsi="仿宋" w:eastAsia="仿宋" w:cs="仿宋"/>
          <w:sz w:val="22"/>
          <w:szCs w:val="22"/>
          <w:highlight w:val="none"/>
        </w:rPr>
        <w:t>.4 投标保证金应于开标前交于</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w:t>
      </w:r>
    </w:p>
    <w:p w14:paraId="728179D9">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w:t>
      </w:r>
      <w:r>
        <w:rPr>
          <w:rFonts w:hint="eastAsia" w:ascii="仿宋" w:hAnsi="仿宋" w:eastAsia="仿宋" w:cs="仿宋"/>
          <w:sz w:val="22"/>
          <w:szCs w:val="22"/>
          <w:highlight w:val="none"/>
          <w:lang w:val="en-US" w:eastAsia="zh-CN"/>
        </w:rPr>
        <w:t>4</w:t>
      </w:r>
      <w:r>
        <w:rPr>
          <w:rFonts w:hint="eastAsia" w:ascii="仿宋" w:hAnsi="仿宋" w:eastAsia="仿宋" w:cs="仿宋"/>
          <w:sz w:val="22"/>
          <w:szCs w:val="22"/>
          <w:highlight w:val="none"/>
        </w:rPr>
        <w:t>.5 在开标时，凡没有交纳投标保证金的投标，应视为非响应性投标予以拒绝(以到账时间为准)。</w:t>
      </w:r>
    </w:p>
    <w:p w14:paraId="590C1767">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w:t>
      </w:r>
      <w:r>
        <w:rPr>
          <w:rFonts w:hint="eastAsia" w:ascii="仿宋" w:hAnsi="仿宋" w:eastAsia="仿宋" w:cs="仿宋"/>
          <w:sz w:val="22"/>
          <w:szCs w:val="22"/>
          <w:highlight w:val="none"/>
          <w:lang w:val="en-US" w:eastAsia="zh-CN"/>
        </w:rPr>
        <w:t>4</w:t>
      </w:r>
      <w:r>
        <w:rPr>
          <w:rFonts w:hint="eastAsia" w:ascii="仿宋" w:hAnsi="仿宋" w:eastAsia="仿宋" w:cs="仿宋"/>
          <w:sz w:val="22"/>
          <w:szCs w:val="22"/>
          <w:highlight w:val="none"/>
        </w:rPr>
        <w:t>.6自中标通知书发出之日起5个工作日内，未中标人的投标保证金，须在交回</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开出的投标保证金收据后，</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不计利息退回。未到</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交回投标保证金收据而造成投标保证金逾期退还的，责任由投标人自负，在退还时不计利息。受到质疑、投诉或正在被调查的投标人，在调查结束后，如没有发现违法违规行为的再退回投标保证金。</w:t>
      </w:r>
    </w:p>
    <w:p w14:paraId="03CAF2B9">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w:t>
      </w:r>
      <w:r>
        <w:rPr>
          <w:rFonts w:hint="eastAsia" w:ascii="仿宋" w:hAnsi="仿宋" w:eastAsia="仿宋" w:cs="仿宋"/>
          <w:sz w:val="22"/>
          <w:szCs w:val="22"/>
          <w:highlight w:val="none"/>
          <w:lang w:val="en-US" w:eastAsia="zh-CN"/>
        </w:rPr>
        <w:t>4</w:t>
      </w:r>
      <w:r>
        <w:rPr>
          <w:rFonts w:hint="eastAsia" w:ascii="仿宋" w:hAnsi="仿宋" w:eastAsia="仿宋" w:cs="仿宋"/>
          <w:sz w:val="22"/>
          <w:szCs w:val="22"/>
          <w:highlight w:val="none"/>
        </w:rPr>
        <w:t>.7 中标人的投标保证金，在中标人按本通用条款第3</w:t>
      </w: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rPr>
        <w:t>条规定和采购方签订合同后，并退回</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开出的投标保证金收据后，</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将在五个工作日内退还。因银行对提取现金有限制，</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收取的投标保证金一律用转账方式退还。</w:t>
      </w:r>
    </w:p>
    <w:p w14:paraId="7DB48002">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w:t>
      </w:r>
      <w:r>
        <w:rPr>
          <w:rFonts w:hint="eastAsia" w:ascii="仿宋" w:hAnsi="仿宋" w:eastAsia="仿宋" w:cs="仿宋"/>
          <w:sz w:val="22"/>
          <w:szCs w:val="22"/>
          <w:highlight w:val="none"/>
          <w:lang w:val="en-US" w:eastAsia="zh-CN"/>
        </w:rPr>
        <w:t>4</w:t>
      </w:r>
      <w:r>
        <w:rPr>
          <w:rFonts w:hint="eastAsia" w:ascii="仿宋" w:hAnsi="仿宋" w:eastAsia="仿宋" w:cs="仿宋"/>
          <w:sz w:val="22"/>
          <w:szCs w:val="22"/>
          <w:highlight w:val="none"/>
        </w:rPr>
        <w:t>.8 下列任何情况发生时，投标保证金将被没收：</w:t>
      </w:r>
    </w:p>
    <w:p w14:paraId="308BB254">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（1）投标人在投标函格式中规定的投标有效期内撤回其投标。</w:t>
      </w:r>
    </w:p>
    <w:p w14:paraId="1865B6C9">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（2）中标人在规定期限内未能根据本通用条款第3</w:t>
      </w: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rPr>
        <w:t>条规定签订合同；</w:t>
      </w:r>
    </w:p>
    <w:p w14:paraId="465C8990">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（3）隐瞒投标的真实情况、投标文件中提供虚假材料或者虚假补充文件或者故意进行无效投标或者质疑投诉提供虚假情况；</w:t>
      </w:r>
    </w:p>
    <w:p w14:paraId="72398846">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（4）在投标人之间相互串通，事先商定投标价格或者合谋使特定投标人中标的；</w:t>
      </w:r>
    </w:p>
    <w:p w14:paraId="3443A7A2">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（5）采用不正当手段妨碍、排挤其它投标人的；</w:t>
      </w:r>
    </w:p>
    <w:p w14:paraId="2831F125">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（6）向采购人、</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行贿或者提供其它不正当利益的；</w:t>
      </w:r>
    </w:p>
    <w:p w14:paraId="198E3C0E">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（7）与采购人和</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串通投标的；</w:t>
      </w:r>
    </w:p>
    <w:p w14:paraId="6BAD89D4">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（8）其它严重违反</w:t>
      </w:r>
      <w:r>
        <w:rPr>
          <w:rFonts w:hint="eastAsia" w:ascii="仿宋" w:hAnsi="仿宋" w:eastAsia="仿宋" w:cs="仿宋"/>
          <w:sz w:val="22"/>
          <w:szCs w:val="22"/>
          <w:highlight w:val="none"/>
          <w:lang w:eastAsia="zh-CN"/>
        </w:rPr>
        <w:t>采购</w:t>
      </w:r>
      <w:r>
        <w:rPr>
          <w:rFonts w:hint="eastAsia" w:ascii="仿宋" w:hAnsi="仿宋" w:eastAsia="仿宋" w:cs="仿宋"/>
          <w:sz w:val="22"/>
          <w:szCs w:val="22"/>
          <w:highlight w:val="none"/>
        </w:rPr>
        <w:t>相关法律法规的。</w:t>
      </w:r>
    </w:p>
    <w:p w14:paraId="4CCF5C71">
      <w:pPr>
        <w:spacing w:line="360" w:lineRule="auto"/>
        <w:rPr>
          <w:rFonts w:hint="eastAsia" w:ascii="仿宋" w:hAnsi="仿宋" w:eastAsia="仿宋" w:cs="仿宋"/>
          <w:sz w:val="24"/>
          <w:highlight w:val="none"/>
        </w:rPr>
      </w:pPr>
      <w:r>
        <w:rPr>
          <w:rFonts w:hint="eastAsia" w:ascii="仿宋" w:hAnsi="仿宋" w:eastAsia="仿宋" w:cs="仿宋"/>
          <w:sz w:val="24"/>
          <w:highlight w:val="none"/>
        </w:rPr>
        <w:t>15．投标有效期</w:t>
      </w:r>
      <w:bookmarkEnd w:id="78"/>
      <w:bookmarkEnd w:id="79"/>
      <w:bookmarkEnd w:id="80"/>
      <w:bookmarkEnd w:id="81"/>
      <w:bookmarkEnd w:id="82"/>
      <w:bookmarkEnd w:id="83"/>
      <w:bookmarkEnd w:id="84"/>
    </w:p>
    <w:p w14:paraId="57634947">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15.1 投标有效期为从投标截止之日算起</w:t>
      </w:r>
      <w:r>
        <w:rPr>
          <w:rFonts w:hint="eastAsia" w:ascii="仿宋" w:hAnsi="仿宋" w:eastAsia="仿宋" w:cs="仿宋"/>
          <w:sz w:val="22"/>
          <w:szCs w:val="22"/>
          <w:highlight w:val="none"/>
          <w:u w:val="single"/>
        </w:rPr>
        <w:t>120</w:t>
      </w:r>
      <w:r>
        <w:rPr>
          <w:rFonts w:hint="eastAsia" w:ascii="仿宋" w:hAnsi="仿宋" w:eastAsia="仿宋" w:cs="仿宋"/>
          <w:sz w:val="22"/>
          <w:szCs w:val="22"/>
          <w:highlight w:val="none"/>
        </w:rPr>
        <w:t>个日历天，在此期限内，所有投标文件均保持有效；</w:t>
      </w:r>
    </w:p>
    <w:p w14:paraId="4BACAB85">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15.2 在特殊的情况下，</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在原定的投标有效期满之前，</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可以根据需要以书面形式向投标人提出延长投标有效期的要求，对此要求投标人须以书面形式予以答复，投标人可以拒绝</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此项要求，其投标在原投标有效期满后不再有效。同意延长投标有效期的投标人不能要求也不允许修改其投标文件；</w:t>
      </w:r>
    </w:p>
    <w:p w14:paraId="28163DB5">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15.3 中标供应商的投标书有效期，截止于完成本招标文件规定的全部项目内容，并通过验收及保修结束。</w:t>
      </w:r>
    </w:p>
    <w:p w14:paraId="1D87DB80">
      <w:pPr>
        <w:spacing w:line="360" w:lineRule="auto"/>
        <w:rPr>
          <w:rFonts w:hint="eastAsia" w:ascii="仿宋" w:hAnsi="仿宋" w:eastAsia="仿宋" w:cs="仿宋"/>
          <w:sz w:val="24"/>
          <w:highlight w:val="none"/>
        </w:rPr>
      </w:pPr>
      <w:bookmarkStart w:id="85" w:name="_Toc73521568"/>
      <w:bookmarkStart w:id="86" w:name="_Toc100052385"/>
      <w:bookmarkStart w:id="87" w:name="_Toc73521656"/>
      <w:bookmarkStart w:id="88" w:name="_Toc60631641"/>
      <w:bookmarkStart w:id="89" w:name="_Toc60560646"/>
      <w:bookmarkStart w:id="90" w:name="_Toc73517660"/>
      <w:bookmarkStart w:id="91" w:name="_Toc73518138"/>
      <w:r>
        <w:rPr>
          <w:rFonts w:hint="eastAsia" w:ascii="仿宋" w:hAnsi="仿宋" w:eastAsia="仿宋" w:cs="仿宋"/>
          <w:sz w:val="24"/>
          <w:highlight w:val="none"/>
        </w:rPr>
        <w:t>16．投标人的替代方案</w:t>
      </w:r>
      <w:bookmarkEnd w:id="85"/>
      <w:bookmarkEnd w:id="86"/>
      <w:bookmarkEnd w:id="87"/>
      <w:bookmarkEnd w:id="88"/>
      <w:bookmarkEnd w:id="89"/>
      <w:bookmarkEnd w:id="90"/>
      <w:bookmarkEnd w:id="91"/>
    </w:p>
    <w:p w14:paraId="563D7A68">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16.1 投标人所提交的投标文件应完全满足招标文件（包括图纸和技术规范所示的基本技术设计）的要求。除非“投标须知前附表”中允许投标人提交替代方案，否则投标人有关替代方案的条款将初审不通过，作投标无效处理。</w:t>
      </w:r>
    </w:p>
    <w:p w14:paraId="4E73B9D6">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16.2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p w14:paraId="64A7139F">
      <w:pPr>
        <w:spacing w:line="360" w:lineRule="auto"/>
        <w:rPr>
          <w:rFonts w:hint="eastAsia" w:ascii="仿宋" w:hAnsi="仿宋" w:eastAsia="仿宋" w:cs="仿宋"/>
          <w:sz w:val="24"/>
          <w:highlight w:val="none"/>
        </w:rPr>
      </w:pPr>
      <w:bookmarkStart w:id="92" w:name="_Toc73521569"/>
      <w:bookmarkStart w:id="93" w:name="_Toc73521657"/>
      <w:bookmarkStart w:id="94" w:name="_Toc73518139"/>
      <w:bookmarkStart w:id="95" w:name="_Toc73517661"/>
      <w:bookmarkStart w:id="96" w:name="_Toc100052386"/>
      <w:r>
        <w:rPr>
          <w:rFonts w:hint="eastAsia" w:ascii="仿宋" w:hAnsi="仿宋" w:eastAsia="仿宋" w:cs="仿宋"/>
          <w:sz w:val="24"/>
          <w:highlight w:val="none"/>
        </w:rPr>
        <w:t>17．投标文件的制作要求</w:t>
      </w:r>
      <w:bookmarkEnd w:id="92"/>
      <w:bookmarkEnd w:id="93"/>
      <w:bookmarkEnd w:id="94"/>
      <w:bookmarkEnd w:id="95"/>
      <w:bookmarkEnd w:id="96"/>
    </w:p>
    <w:p w14:paraId="2557F237">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17.1 投标人应当按《投标须知前附表》中规定的份数制作所投招标项目的纸质投标文件，用于现场投标。</w:t>
      </w:r>
    </w:p>
    <w:p w14:paraId="1492BAEB">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17.2 纸质投标文件须根据</w:t>
      </w:r>
      <w:r>
        <w:rPr>
          <w:rFonts w:hint="eastAsia" w:ascii="仿宋" w:hAnsi="仿宋" w:eastAsia="仿宋" w:cs="仿宋"/>
          <w:b/>
          <w:color w:val="000000"/>
          <w:spacing w:val="8"/>
          <w:sz w:val="22"/>
          <w:szCs w:val="28"/>
          <w:highlight w:val="none"/>
          <w:lang w:eastAsia="zh-CN"/>
        </w:rPr>
        <w:t>友和保险经纪有限公司</w:t>
      </w:r>
      <w:r>
        <w:rPr>
          <w:rFonts w:hint="eastAsia" w:ascii="仿宋" w:hAnsi="仿宋" w:eastAsia="仿宋" w:cs="仿宋"/>
          <w:sz w:val="22"/>
          <w:szCs w:val="22"/>
          <w:highlight w:val="none"/>
        </w:rPr>
        <w:t>编制的投标文件模板，按照其要求编制。</w:t>
      </w:r>
    </w:p>
    <w:p w14:paraId="1C612E82">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17.3 投标人在利用投标文件模板编制投标文件时须注意：</w:t>
      </w:r>
    </w:p>
    <w:p w14:paraId="69FB8FB8">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17.3.1 除模板中要求填写、添加的内容外，不得对其他文字内容做任何改动。如果因操作失误而改动的，以模板中的文字叙述为准。</w:t>
      </w:r>
    </w:p>
    <w:p w14:paraId="48BD11FD">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17.3.2 投标文件项目编号、包号应与招标文件项目编号、包号一致。</w:t>
      </w:r>
    </w:p>
    <w:p w14:paraId="123169B8">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17.3.3 必须完整、准确填写投标文件模板要求填写内容，不能填写如“*、\、[、&amp;、”等特殊字符。模板固定的格式内容和文字叙述，不得改变，如果因改变叙述而与模板的原叙述相冲突者，以模板的叙述为准。</w:t>
      </w:r>
    </w:p>
    <w:p w14:paraId="348D0FFC">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17.3.4 投标文件所提供的证明材料须清晰，若提供的证明材料不清晰，将可能以不利于投标人的判断进行处理。</w:t>
      </w:r>
    </w:p>
    <w:p w14:paraId="08EA52DA">
      <w:pPr>
        <w:snapToGrid w:val="0"/>
        <w:spacing w:line="360" w:lineRule="auto"/>
        <w:ind w:firstLine="330" w:firstLineChars="150"/>
        <w:rPr>
          <w:rFonts w:hint="eastAsia" w:ascii="仿宋" w:hAnsi="仿宋" w:eastAsia="仿宋" w:cs="仿宋"/>
          <w:sz w:val="22"/>
          <w:szCs w:val="22"/>
          <w:highlight w:val="none"/>
        </w:rPr>
      </w:pPr>
    </w:p>
    <w:p w14:paraId="6C31F267">
      <w:pPr>
        <w:pStyle w:val="3"/>
        <w:spacing w:line="360" w:lineRule="auto"/>
        <w:jc w:val="center"/>
        <w:rPr>
          <w:rFonts w:hint="eastAsia" w:ascii="仿宋" w:hAnsi="仿宋" w:eastAsia="仿宋" w:cs="仿宋"/>
          <w:b w:val="0"/>
          <w:bCs w:val="0"/>
          <w:color w:val="000000"/>
          <w:kern w:val="2"/>
          <w:highlight w:val="none"/>
        </w:rPr>
      </w:pPr>
      <w:bookmarkStart w:id="97" w:name="_Toc73517662"/>
      <w:bookmarkStart w:id="98" w:name="_Toc101074880"/>
      <w:bookmarkStart w:id="99" w:name="_Toc73518140"/>
      <w:bookmarkStart w:id="100" w:name="_Toc73521570"/>
      <w:bookmarkStart w:id="101" w:name="_Toc100052387"/>
      <w:bookmarkStart w:id="102" w:name="_Toc73521658"/>
      <w:bookmarkStart w:id="103" w:name="_Toc21462"/>
      <w:bookmarkStart w:id="104" w:name="_Toc28421"/>
      <w:r>
        <w:rPr>
          <w:rFonts w:hint="eastAsia" w:ascii="仿宋" w:hAnsi="仿宋" w:eastAsia="仿宋" w:cs="仿宋"/>
          <w:b w:val="0"/>
          <w:bCs w:val="0"/>
          <w:color w:val="000000"/>
          <w:kern w:val="2"/>
          <w:highlight w:val="none"/>
        </w:rPr>
        <w:t>第四章  投标文件</w:t>
      </w:r>
      <w:bookmarkEnd w:id="97"/>
      <w:bookmarkEnd w:id="98"/>
      <w:bookmarkEnd w:id="99"/>
      <w:bookmarkEnd w:id="100"/>
      <w:bookmarkEnd w:id="101"/>
      <w:bookmarkEnd w:id="102"/>
      <w:r>
        <w:rPr>
          <w:rFonts w:hint="eastAsia" w:ascii="仿宋" w:hAnsi="仿宋" w:eastAsia="仿宋" w:cs="仿宋"/>
          <w:b w:val="0"/>
          <w:bCs w:val="0"/>
          <w:color w:val="000000"/>
          <w:kern w:val="2"/>
          <w:highlight w:val="none"/>
        </w:rPr>
        <w:t>的递交</w:t>
      </w:r>
      <w:bookmarkEnd w:id="103"/>
      <w:bookmarkEnd w:id="104"/>
    </w:p>
    <w:p w14:paraId="2C5C1F25">
      <w:pPr>
        <w:spacing w:line="360" w:lineRule="auto"/>
        <w:rPr>
          <w:rFonts w:hint="eastAsia" w:ascii="仿宋" w:hAnsi="仿宋" w:eastAsia="仿宋" w:cs="仿宋"/>
          <w:sz w:val="24"/>
          <w:highlight w:val="none"/>
        </w:rPr>
      </w:pPr>
      <w:bookmarkStart w:id="105" w:name="_Toc73518141"/>
      <w:bookmarkStart w:id="106" w:name="_Toc73517663"/>
      <w:bookmarkStart w:id="107" w:name="_Toc60631644"/>
      <w:bookmarkStart w:id="108" w:name="_Toc100052388"/>
      <w:bookmarkStart w:id="109" w:name="_Toc73521659"/>
      <w:bookmarkStart w:id="110" w:name="_Toc73521571"/>
      <w:bookmarkStart w:id="111" w:name="_Toc60560649"/>
      <w:r>
        <w:rPr>
          <w:rFonts w:hint="eastAsia" w:ascii="仿宋" w:hAnsi="仿宋" w:eastAsia="仿宋" w:cs="仿宋"/>
          <w:sz w:val="24"/>
          <w:highlight w:val="none"/>
        </w:rPr>
        <w:t>18．投标文件的递交</w:t>
      </w:r>
    </w:p>
    <w:p w14:paraId="3BFD4D65">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 xml:space="preserve">18.1 </w:t>
      </w:r>
      <w:r>
        <w:rPr>
          <w:rFonts w:hint="eastAsia" w:ascii="仿宋" w:hAnsi="仿宋" w:eastAsia="仿宋" w:cs="仿宋"/>
          <w:sz w:val="22"/>
          <w:szCs w:val="28"/>
          <w:highlight w:val="none"/>
        </w:rPr>
        <w:t>投标文件的装订和签署</w:t>
      </w:r>
      <w:r>
        <w:rPr>
          <w:rFonts w:hint="eastAsia" w:ascii="仿宋" w:hAnsi="仿宋" w:eastAsia="仿宋" w:cs="仿宋"/>
          <w:sz w:val="22"/>
          <w:szCs w:val="22"/>
          <w:highlight w:val="none"/>
        </w:rPr>
        <w:t>。</w:t>
      </w:r>
    </w:p>
    <w:p w14:paraId="69E1ED99">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18.1.1 投标文件由</w:t>
      </w:r>
      <w:r>
        <w:rPr>
          <w:rFonts w:hint="eastAsia" w:ascii="仿宋" w:hAnsi="仿宋" w:eastAsia="仿宋" w:cs="仿宋"/>
          <w:sz w:val="22"/>
          <w:szCs w:val="22"/>
          <w:highlight w:val="none"/>
          <w:lang w:eastAsia="zh-CN"/>
        </w:rPr>
        <w:t>两</w:t>
      </w:r>
      <w:r>
        <w:rPr>
          <w:rFonts w:hint="eastAsia" w:ascii="仿宋" w:hAnsi="仿宋" w:eastAsia="仿宋" w:cs="仿宋"/>
          <w:sz w:val="22"/>
          <w:szCs w:val="22"/>
          <w:highlight w:val="none"/>
        </w:rPr>
        <w:t>部分组成，</w:t>
      </w:r>
      <w:r>
        <w:rPr>
          <w:rFonts w:hint="eastAsia" w:ascii="仿宋" w:hAnsi="仿宋" w:eastAsia="仿宋" w:cs="仿宋"/>
          <w:b/>
          <w:bCs/>
          <w:sz w:val="22"/>
          <w:szCs w:val="22"/>
          <w:highlight w:val="none"/>
        </w:rPr>
        <w:t>第一部分</w:t>
      </w:r>
      <w:r>
        <w:rPr>
          <w:rFonts w:hint="eastAsia" w:ascii="仿宋" w:hAnsi="仿宋" w:eastAsia="仿宋" w:cs="仿宋"/>
          <w:sz w:val="22"/>
          <w:szCs w:val="22"/>
          <w:highlight w:val="none"/>
        </w:rPr>
        <w:t>为一式</w:t>
      </w:r>
      <w:r>
        <w:rPr>
          <w:rFonts w:hint="eastAsia" w:ascii="仿宋" w:hAnsi="仿宋" w:eastAsia="仿宋" w:cs="仿宋"/>
          <w:sz w:val="22"/>
          <w:szCs w:val="22"/>
          <w:highlight w:val="none"/>
          <w:lang w:val="en-US" w:eastAsia="zh-CN"/>
        </w:rPr>
        <w:t>八</w:t>
      </w:r>
      <w:r>
        <w:rPr>
          <w:rFonts w:hint="eastAsia" w:ascii="仿宋" w:hAnsi="仿宋" w:eastAsia="仿宋" w:cs="仿宋"/>
          <w:sz w:val="22"/>
          <w:szCs w:val="22"/>
          <w:highlight w:val="none"/>
        </w:rPr>
        <w:t>份装订成册的纸质投标文件</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其中，</w:t>
      </w:r>
      <w:r>
        <w:rPr>
          <w:rFonts w:hint="eastAsia" w:ascii="仿宋" w:hAnsi="仿宋" w:eastAsia="仿宋" w:cs="仿宋"/>
          <w:b/>
          <w:bCs/>
          <w:sz w:val="22"/>
          <w:szCs w:val="22"/>
          <w:highlight w:val="none"/>
        </w:rPr>
        <w:t>正本</w:t>
      </w:r>
      <w:r>
        <w:rPr>
          <w:rFonts w:hint="eastAsia" w:ascii="仿宋" w:hAnsi="仿宋" w:eastAsia="仿宋" w:cs="仿宋"/>
          <w:b/>
          <w:bCs/>
          <w:sz w:val="22"/>
          <w:szCs w:val="22"/>
          <w:highlight w:val="none"/>
          <w:u w:val="single"/>
        </w:rPr>
        <w:t>一</w:t>
      </w:r>
      <w:r>
        <w:rPr>
          <w:rFonts w:hint="eastAsia" w:ascii="仿宋" w:hAnsi="仿宋" w:eastAsia="仿宋" w:cs="仿宋"/>
          <w:b/>
          <w:bCs/>
          <w:sz w:val="22"/>
          <w:szCs w:val="22"/>
          <w:highlight w:val="none"/>
        </w:rPr>
        <w:t>份、副本</w:t>
      </w:r>
      <w:r>
        <w:rPr>
          <w:rFonts w:hint="eastAsia" w:ascii="仿宋" w:hAnsi="仿宋" w:eastAsia="仿宋" w:cs="仿宋"/>
          <w:b/>
          <w:bCs/>
          <w:sz w:val="22"/>
          <w:szCs w:val="22"/>
          <w:highlight w:val="none"/>
          <w:u w:val="single"/>
          <w:lang w:val="en-US" w:eastAsia="zh-CN"/>
        </w:rPr>
        <w:t>五</w:t>
      </w:r>
      <w:r>
        <w:rPr>
          <w:rFonts w:hint="eastAsia" w:ascii="仿宋" w:hAnsi="仿宋" w:eastAsia="仿宋" w:cs="仿宋"/>
          <w:b/>
          <w:bCs/>
          <w:sz w:val="22"/>
          <w:szCs w:val="22"/>
          <w:highlight w:val="none"/>
        </w:rPr>
        <w:t>份</w:t>
      </w:r>
      <w:r>
        <w:rPr>
          <w:rFonts w:hint="eastAsia" w:ascii="仿宋" w:hAnsi="仿宋" w:eastAsia="仿宋" w:cs="仿宋"/>
          <w:b/>
          <w:bCs/>
          <w:sz w:val="22"/>
          <w:szCs w:val="22"/>
          <w:highlight w:val="none"/>
          <w:lang w:eastAsia="zh-CN"/>
        </w:rPr>
        <w:t>。投标文件应附电子版，电子版是</w:t>
      </w:r>
      <w:r>
        <w:rPr>
          <w:rFonts w:hint="eastAsia" w:ascii="仿宋" w:hAnsi="仿宋" w:eastAsia="仿宋" w:cs="仿宋"/>
          <w:b/>
          <w:sz w:val="22"/>
          <w:szCs w:val="22"/>
          <w:highlight w:val="none"/>
        </w:rPr>
        <w:t>以光盘、U盘或硬盘等移动存储介质</w:t>
      </w:r>
      <w:r>
        <w:rPr>
          <w:rFonts w:hint="eastAsia" w:ascii="仿宋" w:hAnsi="仿宋" w:eastAsia="仿宋" w:cs="仿宋"/>
          <w:sz w:val="22"/>
          <w:szCs w:val="22"/>
          <w:highlight w:val="none"/>
        </w:rPr>
        <w:t>提交的</w:t>
      </w:r>
      <w:r>
        <w:rPr>
          <w:rFonts w:hint="eastAsia" w:ascii="仿宋" w:hAnsi="仿宋" w:eastAsia="仿宋" w:cs="仿宋"/>
          <w:sz w:val="22"/>
          <w:szCs w:val="22"/>
          <w:highlight w:val="none"/>
          <w:lang w:eastAsia="zh-CN"/>
        </w:rPr>
        <w:t>一份</w:t>
      </w:r>
      <w:r>
        <w:rPr>
          <w:rFonts w:hint="eastAsia" w:ascii="仿宋" w:hAnsi="仿宋" w:eastAsia="仿宋" w:cs="仿宋"/>
          <w:sz w:val="22"/>
          <w:szCs w:val="22"/>
          <w:highlight w:val="none"/>
        </w:rPr>
        <w:t>加盖公章的PDF电子投标文件。电子投标文件内容应与纸质投标文件</w:t>
      </w:r>
      <w:r>
        <w:rPr>
          <w:rFonts w:hint="eastAsia" w:ascii="仿宋" w:hAnsi="仿宋" w:eastAsia="仿宋" w:cs="仿宋"/>
          <w:b/>
          <w:bCs/>
          <w:sz w:val="22"/>
          <w:szCs w:val="22"/>
          <w:highlight w:val="none"/>
        </w:rPr>
        <w:t>正本</w:t>
      </w:r>
      <w:r>
        <w:rPr>
          <w:rFonts w:hint="eastAsia" w:ascii="仿宋" w:hAnsi="仿宋" w:eastAsia="仿宋" w:cs="仿宋"/>
          <w:sz w:val="22"/>
          <w:szCs w:val="22"/>
          <w:highlight w:val="none"/>
        </w:rPr>
        <w:t>内容一致，如有差异以纸质投标文件</w:t>
      </w:r>
      <w:r>
        <w:rPr>
          <w:rFonts w:hint="eastAsia" w:ascii="仿宋" w:hAnsi="仿宋" w:eastAsia="仿宋" w:cs="仿宋"/>
          <w:b/>
          <w:bCs/>
          <w:sz w:val="22"/>
          <w:szCs w:val="22"/>
          <w:highlight w:val="none"/>
        </w:rPr>
        <w:t>正本</w:t>
      </w:r>
      <w:r>
        <w:rPr>
          <w:rFonts w:hint="eastAsia" w:ascii="仿宋" w:hAnsi="仿宋" w:eastAsia="仿宋" w:cs="仿宋"/>
          <w:sz w:val="22"/>
          <w:szCs w:val="22"/>
          <w:highlight w:val="none"/>
        </w:rPr>
        <w:t>为准，正副本如有差异以</w:t>
      </w:r>
      <w:r>
        <w:rPr>
          <w:rFonts w:hint="eastAsia" w:ascii="仿宋" w:hAnsi="仿宋" w:eastAsia="仿宋" w:cs="仿宋"/>
          <w:b/>
          <w:sz w:val="22"/>
          <w:szCs w:val="22"/>
          <w:highlight w:val="none"/>
        </w:rPr>
        <w:t>正本</w:t>
      </w:r>
      <w:r>
        <w:rPr>
          <w:rFonts w:hint="eastAsia" w:ascii="仿宋" w:hAnsi="仿宋" w:eastAsia="仿宋" w:cs="仿宋"/>
          <w:sz w:val="22"/>
          <w:szCs w:val="22"/>
          <w:highlight w:val="none"/>
        </w:rPr>
        <w:t>为准；</w:t>
      </w:r>
      <w:r>
        <w:rPr>
          <w:rFonts w:hint="eastAsia" w:ascii="仿宋" w:hAnsi="仿宋" w:eastAsia="仿宋" w:cs="仿宋"/>
          <w:b/>
          <w:bCs/>
          <w:sz w:val="22"/>
          <w:szCs w:val="22"/>
          <w:highlight w:val="none"/>
        </w:rPr>
        <w:t>第</w:t>
      </w:r>
      <w:r>
        <w:rPr>
          <w:rFonts w:hint="eastAsia" w:ascii="仿宋" w:hAnsi="仿宋" w:eastAsia="仿宋" w:cs="仿宋"/>
          <w:b/>
          <w:bCs/>
          <w:sz w:val="22"/>
          <w:szCs w:val="22"/>
          <w:highlight w:val="none"/>
          <w:lang w:eastAsia="zh-CN"/>
        </w:rPr>
        <w:t>二</w:t>
      </w:r>
      <w:r>
        <w:rPr>
          <w:rFonts w:hint="eastAsia" w:ascii="仿宋" w:hAnsi="仿宋" w:eastAsia="仿宋" w:cs="仿宋"/>
          <w:b/>
          <w:bCs/>
          <w:sz w:val="22"/>
          <w:szCs w:val="22"/>
          <w:highlight w:val="none"/>
        </w:rPr>
        <w:t>部分</w:t>
      </w:r>
      <w:r>
        <w:rPr>
          <w:rFonts w:hint="eastAsia" w:ascii="仿宋" w:hAnsi="仿宋" w:eastAsia="仿宋" w:cs="仿宋"/>
          <w:sz w:val="22"/>
          <w:szCs w:val="22"/>
          <w:highlight w:val="none"/>
        </w:rPr>
        <w:t xml:space="preserve">为开标时唱标用的《开标一览表》。该表内容应与投标文件中的《开标一览表》内容一致，如有差异以唱标用的《开标一览表》内容为准。表格应按招标文件要求签署并加盖公章。 </w:t>
      </w:r>
    </w:p>
    <w:p w14:paraId="7E2A53B8">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18.2 投标文件的密封和标记</w:t>
      </w:r>
    </w:p>
    <w:p w14:paraId="661D95EB">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18.2.1 投标人递交的投标文件应由两个单独的密封袋组成，一个密封袋装唱标用的《开标一览表》，一个密封袋装纸质投标文件及电子投标文件。</w:t>
      </w:r>
    </w:p>
    <w:p w14:paraId="784BBA69">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18.2.2 《开标一览表》作为开标时唱标的依据，除按格式要求放入投标文件中外，还应另行单独密封提交一份，在封口密封处加盖公章（或密封封口处粘贴封条并加盖投标单位公章），并在信封上标明“开标一览表”字样。</w:t>
      </w:r>
    </w:p>
    <w:p w14:paraId="1868FB0C">
      <w:pPr>
        <w:snapToGrid w:val="0"/>
        <w:spacing w:line="360" w:lineRule="auto"/>
        <w:ind w:firstLine="440" w:firstLineChars="200"/>
        <w:rPr>
          <w:rFonts w:hint="eastAsia" w:ascii="仿宋" w:hAnsi="仿宋" w:eastAsia="仿宋" w:cs="仿宋"/>
          <w:sz w:val="22"/>
          <w:szCs w:val="22"/>
          <w:highlight w:val="none"/>
          <w:lang w:val="zh-CN"/>
        </w:rPr>
      </w:pPr>
      <w:r>
        <w:rPr>
          <w:rFonts w:hint="eastAsia" w:ascii="仿宋" w:hAnsi="仿宋" w:eastAsia="仿宋" w:cs="仿宋"/>
          <w:sz w:val="22"/>
          <w:szCs w:val="22"/>
          <w:highlight w:val="none"/>
        </w:rPr>
        <w:t>18.2.3 投标文件正本、所有的副本和电子投标文件应统一封装在一个信封中，信封密封封口处须加盖投标单位公章（或信封密封封口处粘贴封条并加盖投标单位公章）。</w:t>
      </w:r>
    </w:p>
    <w:p w14:paraId="1C1E3692">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18.2.4 密封包上注明按“投标须知前附表”所规定的开标时间（指招标公告中规定的开标时间）前不准启封的字样。</w:t>
      </w:r>
    </w:p>
    <w:p w14:paraId="662DA5AA">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18.3 投标文件的递交</w:t>
      </w:r>
    </w:p>
    <w:p w14:paraId="2D7C1A26">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18.3.1 如投标文件由专人送交，投标方应将投标文件按第18.2款中的规定进行密封和标记后，按招标公告注明的地址送至</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w:t>
      </w:r>
    </w:p>
    <w:p w14:paraId="43D3A958">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18.3.2 电报、电话、传真形式的投标概不接受。</w:t>
      </w:r>
    </w:p>
    <w:p w14:paraId="35580225">
      <w:pPr>
        <w:snapToGrid w:val="0"/>
        <w:spacing w:line="360" w:lineRule="auto"/>
        <w:rPr>
          <w:rFonts w:hint="eastAsia" w:ascii="仿宋" w:hAnsi="仿宋" w:eastAsia="仿宋" w:cs="仿宋"/>
          <w:sz w:val="22"/>
          <w:szCs w:val="22"/>
          <w:highlight w:val="none"/>
        </w:rPr>
      </w:pPr>
      <w:r>
        <w:rPr>
          <w:rFonts w:hint="eastAsia" w:ascii="仿宋" w:hAnsi="仿宋" w:eastAsia="仿宋" w:cs="仿宋"/>
          <w:sz w:val="22"/>
          <w:szCs w:val="22"/>
          <w:highlight w:val="none"/>
        </w:rPr>
        <w:t xml:space="preserve">    18.4 投标截止时间</w:t>
      </w:r>
    </w:p>
    <w:p w14:paraId="6EB9B339">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在招标公告规定的地址收到投标文件的时间不得迟于招标公告所规定的时间。</w:t>
      </w:r>
    </w:p>
    <w:p w14:paraId="6A2B2B64">
      <w:pPr>
        <w:snapToGrid w:val="0"/>
        <w:spacing w:line="360" w:lineRule="auto"/>
        <w:rPr>
          <w:rFonts w:hint="eastAsia" w:ascii="仿宋" w:hAnsi="仿宋" w:eastAsia="仿宋" w:cs="仿宋"/>
          <w:sz w:val="22"/>
          <w:szCs w:val="22"/>
          <w:highlight w:val="none"/>
        </w:rPr>
      </w:pPr>
      <w:r>
        <w:rPr>
          <w:rFonts w:hint="eastAsia" w:ascii="仿宋" w:hAnsi="仿宋" w:eastAsia="仿宋" w:cs="仿宋"/>
          <w:sz w:val="22"/>
          <w:szCs w:val="22"/>
          <w:highlight w:val="none"/>
        </w:rPr>
        <w:t xml:space="preserve">    18.5 迟交的投标文件</w:t>
      </w:r>
    </w:p>
    <w:p w14:paraId="139C672D">
      <w:pPr>
        <w:snapToGrid w:val="0"/>
        <w:spacing w:line="360" w:lineRule="auto"/>
        <w:rPr>
          <w:rFonts w:hint="eastAsia" w:ascii="仿宋" w:hAnsi="仿宋" w:eastAsia="仿宋" w:cs="仿宋"/>
          <w:sz w:val="22"/>
          <w:szCs w:val="22"/>
          <w:highlight w:val="none"/>
        </w:rPr>
      </w:pPr>
      <w:r>
        <w:rPr>
          <w:rFonts w:hint="eastAsia" w:ascii="仿宋" w:hAnsi="仿宋" w:eastAsia="仿宋" w:cs="仿宋"/>
          <w:sz w:val="22"/>
          <w:szCs w:val="22"/>
          <w:highlight w:val="none"/>
        </w:rPr>
        <w:t xml:space="preserve">    按照本通用条款第18.4款规定，</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将拒绝并原封退回在其规定的投标截止期后收到的任何投标文件。</w:t>
      </w:r>
    </w:p>
    <w:p w14:paraId="53738CC2">
      <w:pPr>
        <w:spacing w:line="360" w:lineRule="auto"/>
        <w:rPr>
          <w:rFonts w:hint="eastAsia" w:ascii="仿宋" w:hAnsi="仿宋" w:eastAsia="仿宋" w:cs="仿宋"/>
          <w:sz w:val="24"/>
          <w:highlight w:val="none"/>
        </w:rPr>
      </w:pPr>
      <w:r>
        <w:rPr>
          <w:rFonts w:hint="eastAsia" w:ascii="仿宋" w:hAnsi="仿宋" w:eastAsia="仿宋" w:cs="仿宋"/>
          <w:sz w:val="24"/>
          <w:highlight w:val="none"/>
        </w:rPr>
        <w:t>19．投标文件的修改和撤销</w:t>
      </w:r>
    </w:p>
    <w:bookmarkEnd w:id="105"/>
    <w:bookmarkEnd w:id="106"/>
    <w:bookmarkEnd w:id="107"/>
    <w:bookmarkEnd w:id="108"/>
    <w:bookmarkEnd w:id="109"/>
    <w:bookmarkEnd w:id="110"/>
    <w:bookmarkEnd w:id="111"/>
    <w:p w14:paraId="512CD66B">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19.1 投标人在递交投标文件后，可以在规定的投标截止期之前修改或撤回其投标文件，但必须书面通知</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w:t>
      </w:r>
    </w:p>
    <w:p w14:paraId="116F437B">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19.2 投标人的修改或撤回通知书应参照本通用条款第18.2、18.3款规定编制、密封、标记和发送，并应在封套上加注“修改”或“撤回”字样。撤回的投标文件将原封退回投标人。</w:t>
      </w:r>
    </w:p>
    <w:p w14:paraId="7E3F4A16">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19.3 在投标截止期之后，投标人不得对其投标文件做任何修改。</w:t>
      </w:r>
    </w:p>
    <w:p w14:paraId="1C04B6E4">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19.4 在本通用条款第18.4款规定的投标截止期至本通用条款第15条规定的投标有效期期满之间的这段时间内，投标人不得撤回其投标。</w:t>
      </w:r>
    </w:p>
    <w:p w14:paraId="32AFEB51">
      <w:pPr>
        <w:pStyle w:val="3"/>
        <w:spacing w:line="360" w:lineRule="auto"/>
        <w:jc w:val="center"/>
        <w:rPr>
          <w:rFonts w:hint="eastAsia" w:ascii="仿宋" w:hAnsi="仿宋" w:eastAsia="仿宋" w:cs="仿宋"/>
          <w:b w:val="0"/>
          <w:bCs w:val="0"/>
          <w:color w:val="000000"/>
          <w:kern w:val="2"/>
          <w:highlight w:val="none"/>
        </w:rPr>
      </w:pPr>
      <w:bookmarkStart w:id="112" w:name="_Toc73521574"/>
      <w:bookmarkStart w:id="113" w:name="_Toc73518144"/>
      <w:bookmarkStart w:id="114" w:name="_Toc73517666"/>
      <w:bookmarkStart w:id="115" w:name="_Toc73521662"/>
      <w:bookmarkStart w:id="116" w:name="_Toc2165"/>
      <w:bookmarkStart w:id="117" w:name="_Toc2301"/>
      <w:bookmarkStart w:id="118" w:name="_Toc100052391"/>
      <w:bookmarkStart w:id="119" w:name="_Toc101074881"/>
      <w:r>
        <w:rPr>
          <w:rFonts w:hint="eastAsia" w:ascii="仿宋" w:hAnsi="仿宋" w:eastAsia="仿宋" w:cs="仿宋"/>
          <w:b w:val="0"/>
          <w:bCs w:val="0"/>
          <w:color w:val="000000"/>
          <w:kern w:val="2"/>
          <w:highlight w:val="none"/>
        </w:rPr>
        <w:t>第五章  开标</w:t>
      </w:r>
      <w:bookmarkEnd w:id="112"/>
      <w:bookmarkEnd w:id="113"/>
      <w:bookmarkEnd w:id="114"/>
      <w:bookmarkEnd w:id="115"/>
      <w:bookmarkEnd w:id="116"/>
      <w:bookmarkEnd w:id="117"/>
      <w:bookmarkEnd w:id="118"/>
      <w:bookmarkEnd w:id="119"/>
    </w:p>
    <w:p w14:paraId="3A8D2598">
      <w:pPr>
        <w:spacing w:line="360" w:lineRule="auto"/>
        <w:rPr>
          <w:rFonts w:hint="eastAsia" w:ascii="仿宋" w:hAnsi="仿宋" w:eastAsia="仿宋" w:cs="仿宋"/>
          <w:sz w:val="24"/>
          <w:highlight w:val="none"/>
        </w:rPr>
      </w:pPr>
      <w:bookmarkStart w:id="120" w:name="_Toc60631650"/>
      <w:bookmarkStart w:id="121" w:name="_Toc60560655"/>
      <w:bookmarkStart w:id="122" w:name="_Toc73518145"/>
      <w:bookmarkStart w:id="123" w:name="_Toc73521575"/>
      <w:bookmarkStart w:id="124" w:name="_Toc73517667"/>
      <w:bookmarkStart w:id="125" w:name="_Toc100052392"/>
      <w:bookmarkStart w:id="126" w:name="_Toc73521663"/>
      <w:r>
        <w:rPr>
          <w:rFonts w:hint="eastAsia" w:ascii="仿宋" w:hAnsi="仿宋" w:eastAsia="仿宋" w:cs="仿宋"/>
          <w:sz w:val="24"/>
          <w:highlight w:val="none"/>
        </w:rPr>
        <w:t>20．开标</w:t>
      </w:r>
      <w:bookmarkEnd w:id="120"/>
      <w:bookmarkEnd w:id="121"/>
      <w:bookmarkEnd w:id="122"/>
      <w:bookmarkEnd w:id="123"/>
      <w:bookmarkEnd w:id="124"/>
      <w:bookmarkEnd w:id="125"/>
      <w:bookmarkEnd w:id="126"/>
    </w:p>
    <w:p w14:paraId="4B8A1FFF">
      <w:pPr>
        <w:snapToGrid w:val="0"/>
        <w:spacing w:line="360" w:lineRule="auto"/>
        <w:ind w:firstLine="431" w:firstLineChars="196"/>
        <w:rPr>
          <w:rFonts w:hint="eastAsia" w:ascii="仿宋" w:hAnsi="仿宋" w:eastAsia="仿宋" w:cs="仿宋"/>
          <w:sz w:val="22"/>
          <w:szCs w:val="22"/>
          <w:highlight w:val="none"/>
        </w:rPr>
      </w:pPr>
      <w:bookmarkStart w:id="127" w:name="bt评标"/>
      <w:bookmarkEnd w:id="127"/>
      <w:bookmarkStart w:id="128" w:name="_Toc73518146"/>
      <w:bookmarkStart w:id="129" w:name="_Toc73521576"/>
      <w:bookmarkStart w:id="130" w:name="_Toc73521664"/>
      <w:bookmarkStart w:id="131" w:name="_Toc73517668"/>
      <w:bookmarkStart w:id="132" w:name="_Toc101074882"/>
      <w:bookmarkStart w:id="133" w:name="_Toc100052393"/>
      <w:r>
        <w:rPr>
          <w:rFonts w:hint="eastAsia" w:ascii="仿宋" w:hAnsi="仿宋" w:eastAsia="仿宋" w:cs="仿宋"/>
          <w:sz w:val="22"/>
          <w:szCs w:val="22"/>
          <w:highlight w:val="none"/>
        </w:rPr>
        <w:t xml:space="preserve">20.1 </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将按“招标公告”规定的时间和地点组织公开开标。投标人应委派代表参加，参加开标的代表应签名报到以证明出席。</w:t>
      </w:r>
    </w:p>
    <w:p w14:paraId="69007ACF">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20.2 开标时，</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将当众宣读投标人名称、修改和撤回投标的通知、开标一览表（以招标文件规定的开标一览表内容为准）。投标文件中开标一览表内容与投标报价明细表内容不一致的，以开标一览表为准。</w:t>
      </w:r>
    </w:p>
    <w:p w14:paraId="1A57E61D">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除了按照本通用条款第18条规定原封退回的投标之外，开标时将不得拒绝任何投标文件。</w:t>
      </w:r>
    </w:p>
    <w:p w14:paraId="46659061">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20.3 按照本通用条款第19条规定，提交了可接受的“撤回”通知的投标将不予开封。</w:t>
      </w:r>
    </w:p>
    <w:p w14:paraId="2C13BCAC">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20.4 无论如何在开标时没有启封和读出的投标文件在评标时将不予考虑。撤回的投标文件将原封退回投标人。</w:t>
      </w:r>
    </w:p>
    <w:p w14:paraId="71E16643">
      <w:pPr>
        <w:snapToGrid w:val="0"/>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 xml:space="preserve">20.5 </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将做开标记录，开标记录包括按本通用条款第20.2款的规定在开标时宣读的全部内容。</w:t>
      </w:r>
    </w:p>
    <w:p w14:paraId="6F936AAA">
      <w:pPr>
        <w:snapToGrid w:val="0"/>
        <w:spacing w:line="360" w:lineRule="auto"/>
        <w:ind w:firstLine="440" w:firstLineChars="200"/>
        <w:rPr>
          <w:rFonts w:hint="eastAsia" w:ascii="仿宋" w:hAnsi="仿宋" w:eastAsia="仿宋" w:cs="仿宋"/>
          <w:sz w:val="22"/>
          <w:szCs w:val="22"/>
          <w:highlight w:val="none"/>
        </w:rPr>
      </w:pPr>
    </w:p>
    <w:p w14:paraId="7C47074F">
      <w:pPr>
        <w:pStyle w:val="3"/>
        <w:spacing w:line="360" w:lineRule="auto"/>
        <w:jc w:val="center"/>
        <w:rPr>
          <w:rFonts w:hint="eastAsia" w:ascii="仿宋" w:hAnsi="仿宋" w:eastAsia="仿宋" w:cs="仿宋"/>
          <w:b w:val="0"/>
          <w:bCs w:val="0"/>
          <w:color w:val="000000"/>
          <w:kern w:val="2"/>
          <w:highlight w:val="none"/>
        </w:rPr>
      </w:pPr>
      <w:bookmarkStart w:id="134" w:name="_Toc7338"/>
      <w:bookmarkStart w:id="135" w:name="_Toc24181"/>
      <w:r>
        <w:rPr>
          <w:rFonts w:hint="eastAsia" w:ascii="仿宋" w:hAnsi="仿宋" w:eastAsia="仿宋" w:cs="仿宋"/>
          <w:b w:val="0"/>
          <w:bCs w:val="0"/>
          <w:color w:val="000000"/>
          <w:kern w:val="2"/>
          <w:highlight w:val="none"/>
        </w:rPr>
        <w:t>第六章</w:t>
      </w:r>
      <w:bookmarkEnd w:id="128"/>
      <w:bookmarkEnd w:id="129"/>
      <w:bookmarkEnd w:id="130"/>
      <w:bookmarkEnd w:id="131"/>
      <w:r>
        <w:rPr>
          <w:rFonts w:hint="eastAsia" w:ascii="仿宋" w:hAnsi="仿宋" w:eastAsia="仿宋" w:cs="仿宋"/>
          <w:b w:val="0"/>
          <w:bCs w:val="0"/>
          <w:color w:val="000000"/>
          <w:kern w:val="2"/>
          <w:highlight w:val="none"/>
        </w:rPr>
        <w:t xml:space="preserve">  评标</w:t>
      </w:r>
      <w:bookmarkEnd w:id="132"/>
      <w:bookmarkEnd w:id="133"/>
      <w:bookmarkEnd w:id="134"/>
      <w:bookmarkEnd w:id="135"/>
    </w:p>
    <w:p w14:paraId="138BC8F2">
      <w:pPr>
        <w:spacing w:line="360" w:lineRule="auto"/>
        <w:rPr>
          <w:rFonts w:hint="eastAsia" w:ascii="仿宋" w:hAnsi="仿宋" w:eastAsia="仿宋" w:cs="仿宋"/>
          <w:sz w:val="24"/>
          <w:highlight w:val="none"/>
        </w:rPr>
      </w:pPr>
      <w:bookmarkStart w:id="136" w:name="bt评标会议"/>
      <w:bookmarkEnd w:id="136"/>
      <w:bookmarkStart w:id="137" w:name="_Toc100052394"/>
      <w:bookmarkStart w:id="138" w:name="_Toc73521577"/>
      <w:bookmarkStart w:id="139" w:name="_Toc73518147"/>
      <w:bookmarkStart w:id="140" w:name="_Toc73517669"/>
      <w:bookmarkStart w:id="141" w:name="_Toc73521665"/>
      <w:r>
        <w:rPr>
          <w:rFonts w:hint="eastAsia" w:ascii="仿宋" w:hAnsi="仿宋" w:eastAsia="仿宋" w:cs="仿宋"/>
          <w:sz w:val="24"/>
          <w:highlight w:val="none"/>
        </w:rPr>
        <w:t>21．评审会议</w:t>
      </w:r>
    </w:p>
    <w:p w14:paraId="39831E86">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21.1 开标会结束后召开评审会议，由评审委员会负责对投标文件进行评审并根据采购人的授权确定中标供应商和出具书面评审报告。</w:t>
      </w:r>
    </w:p>
    <w:p w14:paraId="374B3907">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 xml:space="preserve">21.2 </w:t>
      </w:r>
      <w:r>
        <w:rPr>
          <w:rFonts w:hint="eastAsia" w:ascii="仿宋" w:hAnsi="仿宋" w:eastAsia="仿宋" w:cs="仿宋"/>
          <w:color w:val="FF0000"/>
          <w:sz w:val="22"/>
          <w:szCs w:val="22"/>
          <w:highlight w:val="none"/>
        </w:rPr>
        <w:t>评审委员会由评审专家组成，人数为五人或以上单数，评审专家由</w:t>
      </w:r>
      <w:r>
        <w:rPr>
          <w:rFonts w:hint="eastAsia" w:ascii="仿宋" w:hAnsi="仿宋" w:eastAsia="仿宋" w:cs="仿宋"/>
          <w:color w:val="FF0000"/>
          <w:sz w:val="22"/>
          <w:szCs w:val="22"/>
          <w:highlight w:val="none"/>
          <w:lang w:eastAsia="zh-CN"/>
        </w:rPr>
        <w:t>代理机构</w:t>
      </w:r>
      <w:r>
        <w:rPr>
          <w:rFonts w:hint="eastAsia" w:ascii="仿宋" w:hAnsi="仿宋" w:eastAsia="仿宋" w:cs="仿宋"/>
          <w:color w:val="FF0000"/>
          <w:sz w:val="22"/>
          <w:szCs w:val="22"/>
          <w:highlight w:val="none"/>
        </w:rPr>
        <w:t>通过随机方式从专家库中选取。采购人可以派代表参加评审委员会，但采购人代表在评审委员会中所占比例不得超过三分之一。评审委员会成员应当严格遵守评标规则，按照法律、法规规定的评审办法和评审标准，公正地进行评审和履行职责。</w:t>
      </w:r>
    </w:p>
    <w:p w14:paraId="706D6BAC">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 xml:space="preserve">21.3 </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在投标截止日前组成评审委员会。采购人派代表参加评审委员会的，应在投标截止日前一日提交本单位签发的《评标授权书》给</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；采购人不派代表参加评审委员会的，应在投标截止日前一日提交《采购单位不派评委参与项目评标承诺书》给</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w:t>
      </w:r>
    </w:p>
    <w:p w14:paraId="3F272B64">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21.4 评标、定标应当遵循公平、公正、科学、择优的原则。</w:t>
      </w:r>
    </w:p>
    <w:p w14:paraId="4FF4373D">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21.5 评审活动依法进行，任何单位和个人不得非法干预评审过程和结果。</w:t>
      </w:r>
    </w:p>
    <w:p w14:paraId="3D7657B7">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21.6 评审过程中不允许违背评审程序或采用招标文件未载明的评标方法或评审因素进行评标。</w:t>
      </w:r>
    </w:p>
    <w:p w14:paraId="2E1654B4">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21.7 开标后，直到授予中标供应商合同为止，凡属于对投标文件的审查、澄清、评价和比较的有关资料以及中标供应商的确定情况、与评标、定标有关的其他任何情况均严格保密。</w:t>
      </w:r>
    </w:p>
    <w:p w14:paraId="3A0617E7">
      <w:pPr>
        <w:spacing w:line="360" w:lineRule="auto"/>
        <w:rPr>
          <w:rFonts w:hint="eastAsia" w:ascii="仿宋" w:hAnsi="仿宋" w:eastAsia="仿宋" w:cs="仿宋"/>
          <w:sz w:val="24"/>
          <w:highlight w:val="none"/>
        </w:rPr>
      </w:pPr>
      <w:r>
        <w:rPr>
          <w:rFonts w:hint="eastAsia" w:ascii="仿宋" w:hAnsi="仿宋" w:eastAsia="仿宋" w:cs="仿宋"/>
          <w:sz w:val="24"/>
          <w:highlight w:val="none"/>
        </w:rPr>
        <w:t>22．向评审委员会提供的资料</w:t>
      </w:r>
    </w:p>
    <w:p w14:paraId="26B6344F">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22.1 公开发布的招标文件，包括图纸、服务清单、答疑文件等。</w:t>
      </w:r>
    </w:p>
    <w:p w14:paraId="422997A6">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22.2 其他评标必须的资料。</w:t>
      </w:r>
    </w:p>
    <w:p w14:paraId="3BD1BDF9">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22.3 评审委员会应当认真研究招标文件，至少应了解熟悉以下内容：</w:t>
      </w:r>
    </w:p>
    <w:p w14:paraId="017BE0A3">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（1）招标的目的；</w:t>
      </w:r>
    </w:p>
    <w:p w14:paraId="6DC7A85B">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（2）招标项目需求的范围和性质；</w:t>
      </w:r>
    </w:p>
    <w:p w14:paraId="0A24B8D6">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（3）招标文件规定的投标人的资质、预算限额、商务条款；</w:t>
      </w:r>
    </w:p>
    <w:p w14:paraId="737B88A2">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（4）招标文件规定的评审程序、评标方法和评审因素；</w:t>
      </w:r>
    </w:p>
    <w:p w14:paraId="492D979D">
      <w:pPr>
        <w:spacing w:line="360" w:lineRule="auto"/>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（5）招标文件所列示的废标条件；</w:t>
      </w:r>
    </w:p>
    <w:p w14:paraId="647F1D88">
      <w:pPr>
        <w:spacing w:line="360" w:lineRule="auto"/>
        <w:rPr>
          <w:rFonts w:hint="eastAsia" w:ascii="仿宋" w:hAnsi="仿宋" w:eastAsia="仿宋" w:cs="仿宋"/>
          <w:sz w:val="24"/>
          <w:highlight w:val="none"/>
        </w:rPr>
      </w:pPr>
      <w:r>
        <w:rPr>
          <w:rFonts w:hint="eastAsia" w:ascii="仿宋" w:hAnsi="仿宋" w:eastAsia="仿宋" w:cs="仿宋"/>
          <w:sz w:val="24"/>
          <w:highlight w:val="none"/>
        </w:rPr>
        <w:t>23．独立评审</w:t>
      </w:r>
    </w:p>
    <w:p w14:paraId="375F1B6D">
      <w:pPr>
        <w:snapToGrid w:val="0"/>
        <w:spacing w:line="360" w:lineRule="auto"/>
        <w:ind w:firstLine="440" w:firstLineChars="200"/>
        <w:rPr>
          <w:rFonts w:hint="eastAsia" w:ascii="仿宋" w:hAnsi="仿宋" w:eastAsia="仿宋" w:cs="仿宋"/>
          <w:bCs/>
          <w:sz w:val="22"/>
          <w:szCs w:val="28"/>
          <w:highlight w:val="none"/>
        </w:rPr>
      </w:pPr>
      <w:r>
        <w:rPr>
          <w:rFonts w:hint="eastAsia" w:ascii="仿宋" w:hAnsi="仿宋" w:eastAsia="仿宋" w:cs="仿宋"/>
          <w:sz w:val="22"/>
          <w:szCs w:val="22"/>
          <w:highlight w:val="none"/>
        </w:rPr>
        <w:t>23.1 评审委员会成员的评审活动应当独立进行，并应遵循投标文件初审、澄清有关问题、比较与评价、确定中标供应商、编写评审报告的工作程序</w:t>
      </w:r>
      <w:r>
        <w:rPr>
          <w:rFonts w:hint="eastAsia" w:ascii="仿宋" w:hAnsi="仿宋" w:eastAsia="仿宋" w:cs="仿宋"/>
          <w:bCs/>
          <w:sz w:val="22"/>
          <w:szCs w:val="28"/>
          <w:highlight w:val="none"/>
        </w:rPr>
        <w:t>。</w:t>
      </w:r>
      <w:bookmarkEnd w:id="137"/>
      <w:bookmarkEnd w:id="138"/>
      <w:bookmarkEnd w:id="139"/>
      <w:bookmarkEnd w:id="140"/>
      <w:bookmarkEnd w:id="141"/>
      <w:bookmarkStart w:id="142" w:name="bt评标过程的保密"/>
      <w:bookmarkEnd w:id="142"/>
      <w:bookmarkStart w:id="143" w:name="bt错误的修正"/>
      <w:bookmarkEnd w:id="143"/>
    </w:p>
    <w:p w14:paraId="51041B73">
      <w:pPr>
        <w:snapToGrid w:val="0"/>
        <w:spacing w:line="360" w:lineRule="auto"/>
        <w:ind w:firstLine="440" w:firstLineChars="200"/>
        <w:rPr>
          <w:rFonts w:hint="eastAsia" w:ascii="仿宋" w:hAnsi="仿宋" w:eastAsia="仿宋" w:cs="仿宋"/>
          <w:bCs/>
          <w:sz w:val="22"/>
          <w:szCs w:val="22"/>
          <w:highlight w:val="none"/>
        </w:rPr>
      </w:pPr>
    </w:p>
    <w:p w14:paraId="711F879B">
      <w:pPr>
        <w:pStyle w:val="3"/>
        <w:spacing w:line="360" w:lineRule="auto"/>
        <w:jc w:val="center"/>
        <w:rPr>
          <w:rFonts w:hint="eastAsia" w:ascii="仿宋" w:hAnsi="仿宋" w:eastAsia="仿宋" w:cs="仿宋"/>
          <w:b w:val="0"/>
          <w:bCs w:val="0"/>
          <w:color w:val="000000"/>
          <w:kern w:val="2"/>
          <w:highlight w:val="none"/>
        </w:rPr>
      </w:pPr>
      <w:bookmarkStart w:id="144" w:name="_Toc15378"/>
      <w:bookmarkStart w:id="145" w:name="_Toc101074883"/>
      <w:bookmarkStart w:id="146" w:name="_Toc6217"/>
      <w:bookmarkStart w:id="147" w:name="_Toc100052397"/>
      <w:r>
        <w:rPr>
          <w:rFonts w:hint="eastAsia" w:ascii="仿宋" w:hAnsi="仿宋" w:eastAsia="仿宋" w:cs="仿宋"/>
          <w:b w:val="0"/>
          <w:bCs w:val="0"/>
          <w:color w:val="000000"/>
          <w:kern w:val="2"/>
          <w:highlight w:val="none"/>
        </w:rPr>
        <w:t>第七章  评审程序</w:t>
      </w:r>
      <w:bookmarkStart w:id="148" w:name="bt投标文件的审查"/>
      <w:bookmarkEnd w:id="148"/>
      <w:bookmarkStart w:id="149" w:name="_Toc73518149"/>
      <w:bookmarkStart w:id="150" w:name="_Toc73521579"/>
      <w:bookmarkStart w:id="151" w:name="_Toc73517671"/>
      <w:bookmarkStart w:id="152" w:name="_Toc73521667"/>
      <w:r>
        <w:rPr>
          <w:rFonts w:hint="eastAsia" w:ascii="仿宋" w:hAnsi="仿宋" w:eastAsia="仿宋" w:cs="仿宋"/>
          <w:b w:val="0"/>
          <w:bCs w:val="0"/>
          <w:color w:val="000000"/>
          <w:kern w:val="2"/>
          <w:highlight w:val="none"/>
        </w:rPr>
        <w:t>及评标方法</w:t>
      </w:r>
      <w:bookmarkEnd w:id="144"/>
      <w:bookmarkEnd w:id="145"/>
      <w:bookmarkEnd w:id="146"/>
      <w:bookmarkEnd w:id="147"/>
    </w:p>
    <w:p w14:paraId="198FE3BC">
      <w:pPr>
        <w:spacing w:line="360" w:lineRule="auto"/>
        <w:rPr>
          <w:rFonts w:hint="eastAsia" w:ascii="仿宋" w:hAnsi="仿宋" w:eastAsia="仿宋" w:cs="仿宋"/>
          <w:sz w:val="24"/>
          <w:highlight w:val="none"/>
        </w:rPr>
      </w:pPr>
      <w:bookmarkStart w:id="153" w:name="_Toc100052398"/>
      <w:r>
        <w:rPr>
          <w:rFonts w:hint="eastAsia" w:ascii="仿宋" w:hAnsi="仿宋" w:eastAsia="仿宋" w:cs="仿宋"/>
          <w:sz w:val="24"/>
          <w:highlight w:val="none"/>
        </w:rPr>
        <w:t>24．投标文件初审</w:t>
      </w:r>
      <w:bookmarkEnd w:id="153"/>
    </w:p>
    <w:p w14:paraId="6BF65D3E">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24.1 投标文件初审包括资格性检查和符合性检查。资格性检查：依据法律法规和招标文件的规定，对投标文件中的资格证明等进行审查，以确定投标供应商是否具备投标资格。符合性检查：依据招标文件的规定，从投标文件的有效性、完整性和对招标文件的响应程度进行审查，以确定是否对招标文件的实质性要求作出响应。</w:t>
      </w:r>
    </w:p>
    <w:p w14:paraId="0A19E7CC">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24.2 投标文件初审内容请详见招标文件</w:t>
      </w:r>
      <w:r>
        <w:rPr>
          <w:rFonts w:hint="eastAsia" w:ascii="仿宋" w:hAnsi="仿宋" w:eastAsia="仿宋" w:cs="仿宋"/>
          <w:sz w:val="22"/>
          <w:szCs w:val="28"/>
          <w:highlight w:val="none"/>
          <w:lang w:eastAsia="zh-CN"/>
        </w:rPr>
        <w:t>第二册</w:t>
      </w:r>
      <w:r>
        <w:rPr>
          <w:rFonts w:hint="eastAsia" w:ascii="仿宋" w:hAnsi="仿宋" w:eastAsia="仿宋" w:cs="仿宋"/>
          <w:sz w:val="22"/>
          <w:szCs w:val="28"/>
          <w:highlight w:val="none"/>
        </w:rPr>
        <w:t>第二章《投标文件初审表》部分。投标人若有一条审查不通过则按废标处理。</w:t>
      </w:r>
    </w:p>
    <w:bookmarkEnd w:id="149"/>
    <w:bookmarkEnd w:id="150"/>
    <w:bookmarkEnd w:id="151"/>
    <w:bookmarkEnd w:id="152"/>
    <w:p w14:paraId="0E6822FD">
      <w:pPr>
        <w:snapToGrid w:val="0"/>
        <w:spacing w:line="360" w:lineRule="auto"/>
        <w:ind w:firstLine="431" w:firstLineChars="196"/>
        <w:rPr>
          <w:rFonts w:hint="eastAsia" w:ascii="仿宋" w:hAnsi="仿宋" w:eastAsia="仿宋" w:cs="仿宋"/>
          <w:sz w:val="22"/>
          <w:szCs w:val="28"/>
          <w:highlight w:val="none"/>
        </w:rPr>
      </w:pPr>
      <w:bookmarkStart w:id="154" w:name="_Toc100052399"/>
      <w:r>
        <w:rPr>
          <w:rFonts w:hint="eastAsia" w:ascii="仿宋" w:hAnsi="仿宋" w:eastAsia="仿宋" w:cs="仿宋"/>
          <w:sz w:val="22"/>
          <w:szCs w:val="28"/>
          <w:highlight w:val="none"/>
        </w:rPr>
        <w:t>24.3 投标文件初审中关于供应商家数的计算:</w:t>
      </w:r>
    </w:p>
    <w:p w14:paraId="02EA42C0">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24.3.1采用</w:t>
      </w:r>
      <w:r>
        <w:rPr>
          <w:rFonts w:hint="eastAsia" w:ascii="仿宋" w:hAnsi="仿宋" w:eastAsia="仿宋" w:cs="仿宋"/>
          <w:sz w:val="22"/>
          <w:szCs w:val="28"/>
          <w:highlight w:val="none"/>
          <w:lang w:eastAsia="zh-CN"/>
        </w:rPr>
        <w:t>最低价法</w:t>
      </w:r>
      <w:r>
        <w:rPr>
          <w:rFonts w:hint="eastAsia" w:ascii="仿宋" w:hAnsi="仿宋" w:eastAsia="仿宋" w:cs="仿宋"/>
          <w:sz w:val="22"/>
          <w:szCs w:val="28"/>
          <w:highlight w:val="none"/>
        </w:rPr>
        <w:t>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23B432D4">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24.3.2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151D184A">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24.3.3非单一产品采购项目，采购人应当根据采购项目技术构成、产品价格比重等合理确定核心产品，并在招标文件中载明。多家投标人提供的核心产品品牌相同的，按前两款规定处理。</w:t>
      </w:r>
    </w:p>
    <w:p w14:paraId="1873375A">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24.4投标人投标文件作无效处理的情形，具体包括但不限于以下：</w:t>
      </w:r>
    </w:p>
    <w:p w14:paraId="4EB64FB6">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24.4.1不同投标人的投标文件由同一单位或者同一个人编制，或者由同一个人分阶段参与编制；</w:t>
      </w:r>
    </w:p>
    <w:p w14:paraId="093822F1">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24.4.2不同投标人委托同一单位或者个人办理投标事宜；</w:t>
      </w:r>
    </w:p>
    <w:p w14:paraId="1C189C42">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24.4.3不同投标人的投标文件载明的项目管理成员或者联系人员为同一人；</w:t>
      </w:r>
    </w:p>
    <w:p w14:paraId="1D4D4C12">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24.4.4不同投标人的投标文件异常一致或者投标报价呈规律性差异；</w:t>
      </w:r>
    </w:p>
    <w:p w14:paraId="5845224A">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24.4.5不同投标供应商的投标文件或部分投标文件相互混装；</w:t>
      </w:r>
    </w:p>
    <w:p w14:paraId="6817088E">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24.4.6投标供应商之间相互约定给予未中标的供应商利益补偿；</w:t>
      </w:r>
    </w:p>
    <w:p w14:paraId="07966B9C">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24.4.7不同投标供应商的法定代表人、主要经营负责人、项目投标授权代表人、项目负责人、主要技术人员为同一人、属同一单位或者同一单位缴纳社会保险；</w:t>
      </w:r>
    </w:p>
    <w:p w14:paraId="29DAC69A">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24.4.8不同投标供应商的投标文件内容存在非正常一致；</w:t>
      </w:r>
    </w:p>
    <w:p w14:paraId="659F94A0">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24.4.9在同一单位工作人员为两家以上（含两家）供应商进行同一项投标活动；</w:t>
      </w:r>
    </w:p>
    <w:p w14:paraId="49A3EE70">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24.4.10主管部门依照法律、法规认定的其他情形。</w:t>
      </w:r>
    </w:p>
    <w:p w14:paraId="2D0C59E8">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24.5对不属于《资格性审查表》和《符合性审查表》所列的其他情形，除专用条款另有规定和</w:t>
      </w:r>
      <w:r>
        <w:rPr>
          <w:rFonts w:hint="eastAsia" w:ascii="仿宋" w:hAnsi="仿宋" w:eastAsia="仿宋" w:cs="仿宋"/>
          <w:sz w:val="22"/>
          <w:szCs w:val="28"/>
          <w:highlight w:val="none"/>
          <w:lang w:val="en-US" w:eastAsia="zh-CN"/>
        </w:rPr>
        <w:t>24</w:t>
      </w:r>
      <w:r>
        <w:rPr>
          <w:rFonts w:hint="eastAsia" w:ascii="仿宋" w:hAnsi="仿宋" w:eastAsia="仿宋" w:cs="仿宋"/>
          <w:sz w:val="22"/>
          <w:szCs w:val="28"/>
          <w:highlight w:val="none"/>
        </w:rPr>
        <w:t>.4条款所列情形外，不得作为投标无效的理由。</w:t>
      </w:r>
    </w:p>
    <w:p w14:paraId="259329E6">
      <w:pPr>
        <w:spacing w:line="360" w:lineRule="auto"/>
        <w:rPr>
          <w:rFonts w:hint="eastAsia" w:ascii="仿宋" w:hAnsi="仿宋" w:eastAsia="仿宋" w:cs="仿宋"/>
          <w:sz w:val="24"/>
          <w:highlight w:val="none"/>
        </w:rPr>
      </w:pPr>
      <w:r>
        <w:rPr>
          <w:rFonts w:hint="eastAsia" w:ascii="仿宋" w:hAnsi="仿宋" w:eastAsia="仿宋" w:cs="仿宋"/>
          <w:sz w:val="24"/>
          <w:highlight w:val="none"/>
        </w:rPr>
        <w:t>25．澄清有关问题</w:t>
      </w:r>
      <w:bookmarkEnd w:id="154"/>
    </w:p>
    <w:p w14:paraId="7358077E">
      <w:pPr>
        <w:snapToGrid w:val="0"/>
        <w:spacing w:line="360" w:lineRule="auto"/>
        <w:ind w:firstLine="431" w:firstLineChars="196"/>
        <w:rPr>
          <w:rFonts w:hint="eastAsia" w:ascii="仿宋" w:hAnsi="仿宋" w:eastAsia="仿宋" w:cs="仿宋"/>
          <w:sz w:val="22"/>
          <w:szCs w:val="22"/>
          <w:highlight w:val="none"/>
        </w:rPr>
      </w:pPr>
      <w:bookmarkStart w:id="155" w:name="bt废标"/>
      <w:bookmarkEnd w:id="155"/>
      <w:bookmarkStart w:id="156" w:name="bt投标文件的澄清"/>
      <w:bookmarkEnd w:id="156"/>
      <w:bookmarkStart w:id="157" w:name="bt投标文件的评估和比较"/>
      <w:bookmarkEnd w:id="157"/>
      <w:bookmarkStart w:id="158" w:name="_Toc73518153"/>
      <w:bookmarkStart w:id="159" w:name="_Toc73517675"/>
      <w:bookmarkStart w:id="160" w:name="_Toc73521671"/>
      <w:bookmarkStart w:id="161" w:name="_Toc73521583"/>
      <w:r>
        <w:rPr>
          <w:rFonts w:hint="eastAsia" w:ascii="仿宋" w:hAnsi="仿宋" w:eastAsia="仿宋" w:cs="仿宋"/>
          <w:sz w:val="22"/>
          <w:szCs w:val="22"/>
          <w:highlight w:val="none"/>
          <w:lang w:val="en-US" w:eastAsia="zh-CN"/>
        </w:rPr>
        <w:t>25</w:t>
      </w:r>
      <w:r>
        <w:rPr>
          <w:rFonts w:hint="eastAsia" w:ascii="仿宋" w:hAnsi="仿宋" w:eastAsia="仿宋" w:cs="仿宋"/>
          <w:sz w:val="22"/>
          <w:szCs w:val="22"/>
          <w:highlight w:val="none"/>
        </w:rPr>
        <w:t>.1对招标文件中描述有歧义或前后不一致的地方（不含招标文件存在歧义、重大缺陷导致评审工作无法进行的情况），评审委员会有权进行评判，但对同一条款的评判应适用于每个投标人。</w:t>
      </w:r>
    </w:p>
    <w:p w14:paraId="78168CCC">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25</w:t>
      </w:r>
      <w:r>
        <w:rPr>
          <w:rFonts w:hint="eastAsia" w:ascii="仿宋" w:hAnsi="仿宋" w:eastAsia="仿宋" w:cs="仿宋"/>
          <w:sz w:val="22"/>
          <w:szCs w:val="22"/>
          <w:highlight w:val="none"/>
        </w:rPr>
        <w:t>.2评审委员会发现招标文件存在歧义、重大缺陷导致评审工作无法进行，或者招标文件内容违反国家有关强制性规定的，应当停止评审工作，与</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沟通并作书面记录。经确认后，项目应当修改招标文件，重新组织采购活动。</w:t>
      </w:r>
    </w:p>
    <w:p w14:paraId="3E5F84FB">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25</w:t>
      </w:r>
      <w:r>
        <w:rPr>
          <w:rFonts w:hint="eastAsia" w:ascii="仿宋" w:hAnsi="仿宋" w:eastAsia="仿宋" w:cs="仿宋"/>
          <w:sz w:val="22"/>
          <w:szCs w:val="22"/>
          <w:highlight w:val="none"/>
        </w:rPr>
        <w:t>.3对于投标文件中含义不明确、同类问题表述不一致或者有明显文字和计算错误的内容，评审委员会应当以书面形式要求投标人作出必要的澄清、说明或者补正。</w:t>
      </w:r>
    </w:p>
    <w:p w14:paraId="0B64545D">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投标人的澄清、说明或者补正应当采用书面形式，并加盖公章（或者由法定代表人或其授权的代表签字）。投标人的澄清、说明或者补正不得超出投标文件的范围或者改变投标文件的实质性内容。</w:t>
      </w:r>
    </w:p>
    <w:p w14:paraId="207F6B54">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根据本通用条款第26条，凡属于评审委员会在评审中发现的算术错误进行核实的修改不在此列。</w:t>
      </w:r>
    </w:p>
    <w:p w14:paraId="13845B30">
      <w:pPr>
        <w:spacing w:line="360" w:lineRule="auto"/>
        <w:rPr>
          <w:rFonts w:hint="eastAsia" w:ascii="仿宋" w:hAnsi="仿宋" w:eastAsia="仿宋" w:cs="仿宋"/>
          <w:color w:val="auto"/>
          <w:sz w:val="24"/>
          <w:highlight w:val="none"/>
        </w:rPr>
      </w:pPr>
      <w:bookmarkStart w:id="162" w:name="_Toc100052400"/>
      <w:bookmarkStart w:id="163" w:name="_Toc73521581"/>
      <w:bookmarkStart w:id="164" w:name="_Toc73517673"/>
      <w:bookmarkStart w:id="165" w:name="_Toc73521669"/>
      <w:bookmarkStart w:id="166" w:name="_Toc73518151"/>
      <w:r>
        <w:rPr>
          <w:rFonts w:hint="eastAsia" w:ascii="仿宋" w:hAnsi="仿宋" w:eastAsia="仿宋" w:cs="仿宋"/>
          <w:color w:val="auto"/>
          <w:sz w:val="24"/>
          <w:highlight w:val="none"/>
        </w:rPr>
        <w:t>26．错误的修正</w:t>
      </w:r>
      <w:bookmarkEnd w:id="162"/>
      <w:bookmarkEnd w:id="163"/>
      <w:bookmarkEnd w:id="164"/>
      <w:bookmarkEnd w:id="165"/>
      <w:bookmarkEnd w:id="166"/>
    </w:p>
    <w:p w14:paraId="6993A864">
      <w:pPr>
        <w:snapToGrid w:val="0"/>
        <w:spacing w:line="360" w:lineRule="auto"/>
        <w:ind w:firstLine="431" w:firstLineChars="196"/>
        <w:rPr>
          <w:rFonts w:hint="eastAsia" w:ascii="仿宋" w:hAnsi="仿宋" w:eastAsia="仿宋" w:cs="仿宋"/>
          <w:color w:val="auto"/>
          <w:sz w:val="22"/>
          <w:szCs w:val="22"/>
          <w:highlight w:val="none"/>
        </w:rPr>
      </w:pPr>
      <w:bookmarkStart w:id="167" w:name="_Toc100052401"/>
      <w:r>
        <w:rPr>
          <w:rFonts w:hint="eastAsia" w:ascii="仿宋" w:hAnsi="仿宋" w:eastAsia="仿宋" w:cs="仿宋"/>
          <w:color w:val="auto"/>
          <w:sz w:val="22"/>
          <w:szCs w:val="22"/>
          <w:highlight w:val="none"/>
        </w:rPr>
        <w:t>26.1 评审委员会将审查投标文件是否完整、总体编排是否有序、文件签署是否合格、投标人有无计算上的错误等。</w:t>
      </w:r>
    </w:p>
    <w:p w14:paraId="447AA6BF">
      <w:pPr>
        <w:snapToGrid w:val="0"/>
        <w:spacing w:line="360" w:lineRule="auto"/>
        <w:ind w:firstLine="431" w:firstLineChars="19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26.2 投标文件报价出现前后不一致的，除专用条款另有规定外，按照下列规定修正：</w:t>
      </w:r>
    </w:p>
    <w:p w14:paraId="401C4437">
      <w:pPr>
        <w:snapToGrid w:val="0"/>
        <w:spacing w:line="360" w:lineRule="auto"/>
        <w:ind w:firstLine="431" w:firstLineChars="19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26.2.1 单独密封提交的开标一览表（报价表）与投标文件中的开标一览表（报价表）不一致的，以单独密封提交的开标一览表（报价表）为准；</w:t>
      </w:r>
    </w:p>
    <w:p w14:paraId="060B3C58">
      <w:pPr>
        <w:snapToGrid w:val="0"/>
        <w:spacing w:line="360" w:lineRule="auto"/>
        <w:ind w:firstLine="431" w:firstLineChars="19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26.2.2 投标文件中开标一览表（报价表）内容与投标文件中相应内容不一致的，以开标一览表（报价表）为准；</w:t>
      </w:r>
    </w:p>
    <w:p w14:paraId="223E9564">
      <w:pPr>
        <w:snapToGrid w:val="0"/>
        <w:spacing w:line="360" w:lineRule="auto"/>
        <w:ind w:firstLine="431" w:firstLineChars="19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26.2.3 大写金额和小写金额不一致的，以大写金额为准；</w:t>
      </w:r>
    </w:p>
    <w:p w14:paraId="1A21FDEE">
      <w:pPr>
        <w:snapToGrid w:val="0"/>
        <w:spacing w:line="360" w:lineRule="auto"/>
        <w:ind w:firstLine="431" w:firstLineChars="19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26.2.4 单价金额小数点或者百分比有明显错位的，以开标一览表的总价为准，并修改单价；</w:t>
      </w:r>
    </w:p>
    <w:p w14:paraId="4E417370">
      <w:pPr>
        <w:snapToGrid w:val="0"/>
        <w:spacing w:line="360" w:lineRule="auto"/>
        <w:ind w:firstLine="431" w:firstLineChars="19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26.2.5 总价金额与按单价汇总金额不一致的，以单价金额计算结果为准；</w:t>
      </w:r>
    </w:p>
    <w:p w14:paraId="54116072">
      <w:pPr>
        <w:snapToGrid w:val="0"/>
        <w:spacing w:line="360" w:lineRule="auto"/>
        <w:ind w:firstLine="431" w:firstLineChars="19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26.2.6 对不同文字文本投标文件的解释发生异议的，以中文文本为准。</w:t>
      </w:r>
    </w:p>
    <w:p w14:paraId="769FC0AB">
      <w:pPr>
        <w:snapToGrid w:val="0"/>
        <w:spacing w:line="360" w:lineRule="auto"/>
        <w:ind w:firstLine="431" w:firstLineChars="19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26.3 同时出现两种以上不一致的，按照前款规定的顺序修正。修正后的报价按照本通用条款</w:t>
      </w:r>
      <w:r>
        <w:rPr>
          <w:rFonts w:hint="eastAsia" w:ascii="仿宋" w:hAnsi="仿宋" w:eastAsia="仿宋" w:cs="仿宋"/>
          <w:color w:val="auto"/>
          <w:sz w:val="22"/>
          <w:szCs w:val="22"/>
          <w:highlight w:val="none"/>
          <w:lang w:val="en-US" w:eastAsia="zh-CN"/>
        </w:rPr>
        <w:t>25</w:t>
      </w:r>
      <w:r>
        <w:rPr>
          <w:rFonts w:hint="eastAsia" w:ascii="仿宋" w:hAnsi="仿宋" w:eastAsia="仿宋" w:cs="仿宋"/>
          <w:color w:val="auto"/>
          <w:sz w:val="22"/>
          <w:szCs w:val="22"/>
          <w:highlight w:val="none"/>
        </w:rPr>
        <w:t>条的规定，经投标人确认后产生约束力，投标人不确认的，其投标无效。</w:t>
      </w:r>
    </w:p>
    <w:p w14:paraId="795D7AF2">
      <w:pPr>
        <w:spacing w:line="360" w:lineRule="auto"/>
        <w:rPr>
          <w:rFonts w:hint="eastAsia" w:ascii="仿宋" w:hAnsi="仿宋" w:eastAsia="仿宋" w:cs="仿宋"/>
          <w:sz w:val="24"/>
          <w:highlight w:val="none"/>
        </w:rPr>
      </w:pPr>
      <w:r>
        <w:rPr>
          <w:rFonts w:hint="eastAsia" w:ascii="仿宋" w:hAnsi="仿宋" w:eastAsia="仿宋" w:cs="仿宋"/>
          <w:sz w:val="24"/>
          <w:highlight w:val="none"/>
        </w:rPr>
        <w:t>27．投标文件的</w:t>
      </w:r>
      <w:bookmarkEnd w:id="158"/>
      <w:bookmarkEnd w:id="159"/>
      <w:bookmarkEnd w:id="160"/>
      <w:bookmarkEnd w:id="161"/>
      <w:r>
        <w:rPr>
          <w:rFonts w:hint="eastAsia" w:ascii="仿宋" w:hAnsi="仿宋" w:eastAsia="仿宋" w:cs="仿宋"/>
          <w:sz w:val="24"/>
          <w:highlight w:val="none"/>
        </w:rPr>
        <w:t>比较与评价</w:t>
      </w:r>
      <w:bookmarkEnd w:id="167"/>
    </w:p>
    <w:p w14:paraId="00FB5943">
      <w:pPr>
        <w:snapToGrid w:val="0"/>
        <w:spacing w:line="360" w:lineRule="auto"/>
        <w:ind w:firstLine="431" w:firstLineChars="196"/>
        <w:rPr>
          <w:rFonts w:hint="eastAsia" w:ascii="仿宋" w:hAnsi="仿宋" w:eastAsia="仿宋" w:cs="仿宋"/>
          <w:color w:val="auto"/>
          <w:sz w:val="22"/>
          <w:szCs w:val="22"/>
          <w:highlight w:val="none"/>
        </w:rPr>
      </w:pPr>
      <w:bookmarkStart w:id="168" w:name="_Toc100052402"/>
      <w:r>
        <w:rPr>
          <w:rFonts w:hint="eastAsia" w:ascii="仿宋" w:hAnsi="仿宋" w:eastAsia="仿宋" w:cs="仿宋"/>
          <w:color w:val="auto"/>
          <w:sz w:val="22"/>
          <w:szCs w:val="22"/>
          <w:highlight w:val="none"/>
          <w:lang w:val="en-US" w:eastAsia="zh-CN"/>
        </w:rPr>
        <w:t>27.1</w:t>
      </w:r>
      <w:r>
        <w:rPr>
          <w:rFonts w:hint="eastAsia" w:ascii="仿宋" w:hAnsi="仿宋" w:eastAsia="仿宋" w:cs="仿宋"/>
          <w:sz w:val="22"/>
          <w:szCs w:val="22"/>
          <w:highlight w:val="none"/>
        </w:rPr>
        <w:t>评审委员会按招标文件中规定的评标方法和标准，对资格性检查和符合性检查合格且报价不超过预算控制金额的投标文件进行商务和技术评审，综合比较与评价。</w:t>
      </w:r>
    </w:p>
    <w:p w14:paraId="2A6D64CC">
      <w:pPr>
        <w:snapToGrid w:val="0"/>
        <w:spacing w:line="360" w:lineRule="auto"/>
        <w:ind w:firstLine="431" w:firstLineChars="19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评审委员会成员对需要共同认定的事项存在争议的，应当按照少数服从多数的原则作出结论。持不同意见的评审委员会成员应当书面作出说明，否则视为无异议。</w:t>
      </w:r>
    </w:p>
    <w:p w14:paraId="1B7637EE">
      <w:pPr>
        <w:snapToGrid w:val="0"/>
        <w:spacing w:line="360" w:lineRule="auto"/>
        <w:ind w:firstLine="431" w:firstLineChars="19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27</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在评审过程中，评审委员会有权决定是否对本项目投标人进行实地考察或资料查验（原件）。投标人应随时做好接受实地考察或资料查验的准备。</w:t>
      </w:r>
    </w:p>
    <w:p w14:paraId="30BB02CC">
      <w:pPr>
        <w:spacing w:line="360" w:lineRule="auto"/>
        <w:rPr>
          <w:rFonts w:hint="eastAsia" w:ascii="仿宋" w:hAnsi="仿宋" w:eastAsia="仿宋" w:cs="仿宋"/>
          <w:sz w:val="24"/>
          <w:highlight w:val="none"/>
        </w:rPr>
      </w:pPr>
      <w:r>
        <w:rPr>
          <w:rFonts w:hint="eastAsia" w:ascii="仿宋" w:hAnsi="仿宋" w:eastAsia="仿宋" w:cs="仿宋"/>
          <w:sz w:val="24"/>
          <w:highlight w:val="none"/>
        </w:rPr>
        <w:t>28．评标方法</w:t>
      </w:r>
      <w:bookmarkEnd w:id="168"/>
    </w:p>
    <w:p w14:paraId="167F8FAD">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28.1 评标方法分为最低价法、综合评分法及法律、法规允许的其它评标办法。</w:t>
      </w:r>
    </w:p>
    <w:p w14:paraId="1C696F27">
      <w:pPr>
        <w:snapToGrid w:val="0"/>
        <w:spacing w:line="360" w:lineRule="auto"/>
        <w:ind w:firstLine="433" w:firstLineChars="196"/>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28.1.</w:t>
      </w:r>
      <w:bookmarkStart w:id="169" w:name="评标方法2"/>
      <w:r>
        <w:rPr>
          <w:rFonts w:hint="eastAsia" w:ascii="仿宋" w:hAnsi="仿宋" w:eastAsia="仿宋" w:cs="仿宋"/>
          <w:b/>
          <w:bCs/>
          <w:sz w:val="22"/>
          <w:szCs w:val="22"/>
          <w:highlight w:val="none"/>
        </w:rPr>
        <w:t>1 最低价法</w:t>
      </w:r>
    </w:p>
    <w:p w14:paraId="276625E3">
      <w:pPr>
        <w:snapToGrid w:val="0"/>
        <w:spacing w:line="360" w:lineRule="auto"/>
        <w:ind w:firstLine="431" w:firstLineChars="19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最低价法，是指完全满足招标文件实质性要求，按照报价由低到高的顺序，依据招标文件中规定的数量或者比例推荐候选中标供应商。</w:t>
      </w:r>
    </w:p>
    <w:p w14:paraId="36F58E40">
      <w:pPr>
        <w:snapToGrid w:val="0"/>
        <w:spacing w:line="360" w:lineRule="auto"/>
        <w:ind w:firstLine="433" w:firstLineChars="196"/>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28.1.2 综合评分法</w:t>
      </w:r>
      <w:bookmarkEnd w:id="169"/>
    </w:p>
    <w:p w14:paraId="49B5CB6C">
      <w:pPr>
        <w:snapToGrid w:val="0"/>
        <w:spacing w:line="360" w:lineRule="auto"/>
        <w:ind w:firstLine="431" w:firstLineChars="196"/>
        <w:rPr>
          <w:rFonts w:hint="eastAsia" w:ascii="仿宋" w:hAnsi="仿宋" w:eastAsia="仿宋" w:cs="仿宋"/>
          <w:color w:val="auto"/>
          <w:sz w:val="22"/>
          <w:szCs w:val="22"/>
          <w:highlight w:val="none"/>
        </w:rPr>
      </w:pPr>
      <w:bookmarkStart w:id="170" w:name="评标方法3"/>
      <w:r>
        <w:rPr>
          <w:rFonts w:hint="eastAsia" w:ascii="仿宋" w:hAnsi="仿宋" w:eastAsia="仿宋" w:cs="仿宋"/>
          <w:color w:val="auto"/>
          <w:sz w:val="22"/>
          <w:szCs w:val="22"/>
          <w:highlight w:val="none"/>
        </w:rPr>
        <w:t>综合评分法，是指在满足招标文件全部实质性要求的前提下，按照招标文件中规定的各项因素进行综合评审，评审总得分排名前列的投标人，作为推荐的候选中标供应商。</w:t>
      </w:r>
    </w:p>
    <w:p w14:paraId="3906C00B">
      <w:pPr>
        <w:snapToGrid w:val="0"/>
        <w:spacing w:line="360" w:lineRule="auto"/>
        <w:ind w:firstLine="433" w:firstLineChars="196"/>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28.2 本项目采用的评标方法</w:t>
      </w:r>
      <w:bookmarkEnd w:id="170"/>
    </w:p>
    <w:p w14:paraId="036F63E3">
      <w:pPr>
        <w:snapToGrid w:val="0"/>
        <w:spacing w:line="360" w:lineRule="auto"/>
        <w:ind w:firstLine="433" w:firstLineChars="196"/>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（请详见</w:t>
      </w:r>
      <w:r>
        <w:rPr>
          <w:rFonts w:hint="eastAsia" w:ascii="仿宋" w:hAnsi="仿宋" w:eastAsia="仿宋" w:cs="仿宋"/>
          <w:b/>
          <w:bCs/>
          <w:sz w:val="22"/>
          <w:szCs w:val="22"/>
          <w:highlight w:val="none"/>
          <w:lang w:eastAsia="zh-CN"/>
        </w:rPr>
        <w:t>第二册</w:t>
      </w:r>
      <w:r>
        <w:rPr>
          <w:rFonts w:hint="eastAsia" w:ascii="仿宋" w:hAnsi="仿宋" w:eastAsia="仿宋" w:cs="仿宋"/>
          <w:b/>
          <w:bCs/>
          <w:sz w:val="22"/>
          <w:szCs w:val="22"/>
          <w:highlight w:val="none"/>
        </w:rPr>
        <w:t>第二章《评标信息》）</w:t>
      </w:r>
    </w:p>
    <w:p w14:paraId="571D2DB5">
      <w:pPr>
        <w:snapToGrid w:val="0"/>
        <w:spacing w:line="360" w:lineRule="auto"/>
        <w:ind w:firstLine="433" w:firstLineChars="196"/>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28.</w:t>
      </w:r>
      <w:r>
        <w:rPr>
          <w:rFonts w:hint="eastAsia" w:ascii="仿宋" w:hAnsi="仿宋" w:eastAsia="仿宋" w:cs="仿宋"/>
          <w:b/>
          <w:bCs/>
          <w:sz w:val="22"/>
          <w:szCs w:val="22"/>
          <w:highlight w:val="none"/>
          <w:lang w:val="en-US" w:eastAsia="zh-CN"/>
        </w:rPr>
        <w:t>3</w:t>
      </w:r>
      <w:r>
        <w:rPr>
          <w:rFonts w:hint="eastAsia" w:ascii="仿宋" w:hAnsi="仿宋" w:eastAsia="仿宋" w:cs="仿宋"/>
          <w:b/>
          <w:bCs/>
          <w:sz w:val="22"/>
          <w:szCs w:val="22"/>
          <w:highlight w:val="none"/>
        </w:rPr>
        <w:t>重新评审的情形</w:t>
      </w:r>
    </w:p>
    <w:p w14:paraId="5BA4B9C5">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28.</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.1分值汇总计算错误的；</w:t>
      </w:r>
    </w:p>
    <w:p w14:paraId="4904AF71">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28.</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.2分项评分超出评分标准范围的；</w:t>
      </w:r>
    </w:p>
    <w:p w14:paraId="17B95F35">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28.</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.3评审委员会成员对客观评审因素评分不一致的；</w:t>
      </w:r>
    </w:p>
    <w:p w14:paraId="4D0A0A30">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28.</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.4经评审委员会认定评分畸高、畸低的。</w:t>
      </w:r>
    </w:p>
    <w:p w14:paraId="578F0494">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w:t>
      </w:r>
      <w:r>
        <w:rPr>
          <w:rFonts w:hint="eastAsia" w:ascii="仿宋" w:hAnsi="仿宋" w:eastAsia="仿宋" w:cs="仿宋"/>
          <w:sz w:val="22"/>
          <w:szCs w:val="22"/>
          <w:highlight w:val="none"/>
          <w:lang w:eastAsia="zh-CN"/>
        </w:rPr>
        <w:t>采购人的</w:t>
      </w:r>
      <w:r>
        <w:rPr>
          <w:rFonts w:hint="eastAsia" w:ascii="仿宋" w:hAnsi="仿宋" w:eastAsia="仿宋" w:cs="仿宋"/>
          <w:sz w:val="22"/>
          <w:szCs w:val="28"/>
          <w:highlight w:val="none"/>
        </w:rPr>
        <w:t>采购</w:t>
      </w:r>
      <w:r>
        <w:rPr>
          <w:rFonts w:hint="eastAsia" w:ascii="仿宋" w:hAnsi="仿宋" w:eastAsia="仿宋" w:cs="仿宋"/>
          <w:sz w:val="22"/>
          <w:szCs w:val="28"/>
          <w:highlight w:val="none"/>
          <w:lang w:eastAsia="zh-CN"/>
        </w:rPr>
        <w:t>主管</w:t>
      </w:r>
      <w:r>
        <w:rPr>
          <w:rFonts w:hint="eastAsia" w:ascii="仿宋" w:hAnsi="仿宋" w:eastAsia="仿宋" w:cs="仿宋"/>
          <w:sz w:val="22"/>
          <w:szCs w:val="28"/>
          <w:highlight w:val="none"/>
        </w:rPr>
        <w:t>部门</w:t>
      </w:r>
      <w:r>
        <w:rPr>
          <w:rFonts w:hint="eastAsia" w:ascii="仿宋" w:hAnsi="仿宋" w:eastAsia="仿宋" w:cs="仿宋"/>
          <w:sz w:val="22"/>
          <w:szCs w:val="22"/>
          <w:highlight w:val="none"/>
        </w:rPr>
        <w:t>。</w:t>
      </w:r>
    </w:p>
    <w:p w14:paraId="4544716B">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投标人对本条第一款情形提出质疑的，采购人或者采购代理机构可以组织原评审委员会进行重新评审，重新评审改变评审结果的，应当书面报告</w:t>
      </w:r>
      <w:r>
        <w:rPr>
          <w:rFonts w:hint="eastAsia" w:ascii="仿宋" w:hAnsi="仿宋" w:eastAsia="仿宋" w:cs="仿宋"/>
          <w:sz w:val="22"/>
          <w:szCs w:val="22"/>
          <w:highlight w:val="none"/>
          <w:lang w:eastAsia="zh-CN"/>
        </w:rPr>
        <w:t>采购人的</w:t>
      </w:r>
      <w:r>
        <w:rPr>
          <w:rFonts w:hint="eastAsia" w:ascii="仿宋" w:hAnsi="仿宋" w:eastAsia="仿宋" w:cs="仿宋"/>
          <w:sz w:val="22"/>
          <w:szCs w:val="28"/>
          <w:highlight w:val="none"/>
        </w:rPr>
        <w:t>采购</w:t>
      </w:r>
      <w:r>
        <w:rPr>
          <w:rFonts w:hint="eastAsia" w:ascii="仿宋" w:hAnsi="仿宋" w:eastAsia="仿宋" w:cs="仿宋"/>
          <w:sz w:val="22"/>
          <w:szCs w:val="28"/>
          <w:highlight w:val="none"/>
          <w:lang w:eastAsia="zh-CN"/>
        </w:rPr>
        <w:t>主管</w:t>
      </w:r>
      <w:r>
        <w:rPr>
          <w:rFonts w:hint="eastAsia" w:ascii="仿宋" w:hAnsi="仿宋" w:eastAsia="仿宋" w:cs="仿宋"/>
          <w:sz w:val="22"/>
          <w:szCs w:val="28"/>
          <w:highlight w:val="none"/>
        </w:rPr>
        <w:t>部门</w:t>
      </w:r>
      <w:r>
        <w:rPr>
          <w:rFonts w:hint="eastAsia" w:ascii="仿宋" w:hAnsi="仿宋" w:eastAsia="仿宋" w:cs="仿宋"/>
          <w:sz w:val="22"/>
          <w:szCs w:val="22"/>
          <w:highlight w:val="none"/>
        </w:rPr>
        <w:t>。</w:t>
      </w:r>
    </w:p>
    <w:p w14:paraId="2040343B">
      <w:pPr>
        <w:spacing w:line="360" w:lineRule="auto"/>
        <w:rPr>
          <w:rFonts w:hint="eastAsia" w:ascii="仿宋" w:hAnsi="仿宋" w:eastAsia="仿宋" w:cs="仿宋"/>
          <w:sz w:val="24"/>
          <w:highlight w:val="none"/>
        </w:rPr>
      </w:pPr>
      <w:bookmarkStart w:id="171" w:name="_Toc100052403"/>
      <w:bookmarkStart w:id="172" w:name="_Toc73521585"/>
      <w:bookmarkStart w:id="173" w:name="_Toc73521673"/>
      <w:bookmarkStart w:id="174" w:name="_Toc73517677"/>
      <w:bookmarkStart w:id="175" w:name="_Toc73518155"/>
      <w:bookmarkStart w:id="176" w:name="_Toc60560665"/>
      <w:bookmarkStart w:id="177" w:name="_Toc60631660"/>
      <w:bookmarkStart w:id="178" w:name="_Toc100052404"/>
      <w:r>
        <w:rPr>
          <w:rFonts w:hint="eastAsia" w:ascii="仿宋" w:hAnsi="仿宋" w:eastAsia="仿宋" w:cs="仿宋"/>
          <w:sz w:val="24"/>
          <w:highlight w:val="none"/>
        </w:rPr>
        <w:t>29．定标</w:t>
      </w:r>
      <w:bookmarkEnd w:id="171"/>
      <w:bookmarkEnd w:id="172"/>
      <w:bookmarkEnd w:id="173"/>
      <w:bookmarkEnd w:id="174"/>
      <w:bookmarkEnd w:id="175"/>
      <w:bookmarkEnd w:id="176"/>
      <w:bookmarkEnd w:id="177"/>
    </w:p>
    <w:p w14:paraId="65AA825B">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29.1 评审委员会依据本招标文件所约定的评标方法进行评审和比较，向招标代理机构提交书面评审报告，并根据评标方法比较评价结果从优到劣进行排序，并推荐中标候选人或确定中标供应商；</w:t>
      </w:r>
    </w:p>
    <w:p w14:paraId="4FDAAC84">
      <w:pPr>
        <w:spacing w:line="360" w:lineRule="auto"/>
        <w:rPr>
          <w:rFonts w:hint="eastAsia" w:ascii="仿宋" w:hAnsi="仿宋" w:eastAsia="仿宋" w:cs="仿宋"/>
          <w:sz w:val="24"/>
          <w:highlight w:val="none"/>
        </w:rPr>
      </w:pPr>
      <w:r>
        <w:rPr>
          <w:rFonts w:hint="eastAsia" w:ascii="仿宋" w:hAnsi="仿宋" w:eastAsia="仿宋" w:cs="仿宋"/>
          <w:sz w:val="24"/>
          <w:highlight w:val="none"/>
        </w:rPr>
        <w:t>30．编写评审报告</w:t>
      </w:r>
      <w:bookmarkEnd w:id="178"/>
    </w:p>
    <w:p w14:paraId="2A4B3C7A">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评审报告是评审委员会根据全体评标成员签字的原始评标记录和评标结果编写的报告，评审报告由评审委员会全体成员签字。对评标结论持有异议的评审委员会成员可以书面方式阐述其不同意见和理由。评审委员会成员拒绝在评审报告上签字且不陈述其不同意见和理由的，视为同意评标结论。评审委员会应当对此作出书面说明并记录在案。</w:t>
      </w:r>
    </w:p>
    <w:p w14:paraId="17966EE1">
      <w:pPr>
        <w:spacing w:line="360" w:lineRule="auto"/>
        <w:rPr>
          <w:rFonts w:hint="eastAsia" w:ascii="仿宋" w:hAnsi="仿宋" w:eastAsia="仿宋" w:cs="仿宋"/>
          <w:sz w:val="24"/>
          <w:highlight w:val="none"/>
        </w:rPr>
      </w:pPr>
      <w:bookmarkStart w:id="179" w:name="_Toc100052405"/>
      <w:bookmarkStart w:id="180" w:name="_Toc73518159"/>
      <w:bookmarkStart w:id="181" w:name="_Toc73521676"/>
      <w:bookmarkStart w:id="182" w:name="_Toc73521588"/>
      <w:bookmarkStart w:id="183" w:name="_Toc73517681"/>
      <w:r>
        <w:rPr>
          <w:rFonts w:hint="eastAsia" w:ascii="仿宋" w:hAnsi="仿宋" w:eastAsia="仿宋" w:cs="仿宋"/>
          <w:sz w:val="24"/>
          <w:highlight w:val="none"/>
        </w:rPr>
        <w:t>31．中标结果</w:t>
      </w:r>
      <w:bookmarkEnd w:id="179"/>
    </w:p>
    <w:p w14:paraId="5873D510">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31.1 为体现“公开、公平、公正”的原则，评标结束后，</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将在主管部门指定的采购网站和</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网站（详见招标公告中的查询网址）上同时发布中标结果公告，公示期为3天。供应商如对评标结果有异议，请于公示期内，以书面形式向我公司反映。若在公示期内未提出异议，则视为认同该评标结果。</w:t>
      </w:r>
    </w:p>
    <w:p w14:paraId="167C7F05">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31.2 评审委员会不直接向未通过符合性检查的投标人或者未中标的投标人解释落标原因，也不退还投标文件。</w:t>
      </w:r>
    </w:p>
    <w:p w14:paraId="3AE98D17">
      <w:pPr>
        <w:spacing w:line="360" w:lineRule="auto"/>
        <w:rPr>
          <w:rFonts w:hint="eastAsia" w:ascii="仿宋" w:hAnsi="仿宋" w:eastAsia="仿宋" w:cs="仿宋"/>
          <w:sz w:val="24"/>
          <w:highlight w:val="none"/>
        </w:rPr>
      </w:pPr>
      <w:bookmarkStart w:id="184" w:name="_Toc100052406"/>
      <w:r>
        <w:rPr>
          <w:rFonts w:hint="eastAsia" w:ascii="仿宋" w:hAnsi="仿宋" w:eastAsia="仿宋" w:cs="仿宋"/>
          <w:sz w:val="24"/>
          <w:highlight w:val="none"/>
        </w:rPr>
        <w:t>32．中标通知书</w:t>
      </w:r>
      <w:bookmarkEnd w:id="184"/>
    </w:p>
    <w:p w14:paraId="0B2A58E9">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32.</w:t>
      </w:r>
      <w:bookmarkStart w:id="185" w:name="OLE_LINK12"/>
      <w:r>
        <w:rPr>
          <w:rFonts w:hint="eastAsia" w:ascii="仿宋" w:hAnsi="仿宋" w:eastAsia="仿宋" w:cs="仿宋"/>
          <w:sz w:val="22"/>
          <w:szCs w:val="22"/>
          <w:highlight w:val="none"/>
        </w:rPr>
        <w:t>1 中标公告公示期结束后,公示期内无人投诉,</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将通知中标供应商和采购单位凭单位</w:t>
      </w:r>
      <w:r>
        <w:rPr>
          <w:rFonts w:hint="eastAsia" w:ascii="仿宋" w:hAnsi="仿宋" w:eastAsia="仿宋" w:cs="仿宋"/>
          <w:sz w:val="22"/>
          <w:szCs w:val="28"/>
          <w:highlight w:val="none"/>
        </w:rPr>
        <w:t>工作证明或法人授权证明</w:t>
      </w:r>
      <w:r>
        <w:rPr>
          <w:rFonts w:hint="eastAsia" w:ascii="仿宋" w:hAnsi="仿宋" w:eastAsia="仿宋" w:cs="仿宋"/>
          <w:sz w:val="22"/>
          <w:szCs w:val="22"/>
          <w:highlight w:val="none"/>
        </w:rPr>
        <w:t>及本人身份证直接到</w:t>
      </w:r>
      <w:r>
        <w:rPr>
          <w:rFonts w:hint="eastAsia" w:ascii="仿宋" w:hAnsi="仿宋" w:eastAsia="仿宋" w:cs="仿宋"/>
          <w:b/>
          <w:color w:val="000000"/>
          <w:spacing w:val="8"/>
          <w:sz w:val="22"/>
          <w:szCs w:val="28"/>
          <w:highlight w:val="none"/>
          <w:lang w:eastAsia="zh-CN"/>
        </w:rPr>
        <w:t>友和保险经纪有限公司</w:t>
      </w:r>
      <w:r>
        <w:rPr>
          <w:rFonts w:hint="eastAsia" w:ascii="仿宋" w:hAnsi="仿宋" w:eastAsia="仿宋" w:cs="仿宋"/>
          <w:sz w:val="22"/>
          <w:szCs w:val="22"/>
          <w:highlight w:val="none"/>
        </w:rPr>
        <w:t>领取《中标通知书》。</w:t>
      </w:r>
      <w:bookmarkEnd w:id="185"/>
    </w:p>
    <w:bookmarkEnd w:id="180"/>
    <w:bookmarkEnd w:id="181"/>
    <w:bookmarkEnd w:id="182"/>
    <w:bookmarkEnd w:id="183"/>
    <w:p w14:paraId="4C341A99">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32.2 中标通知书是合同的重要组成部分。</w:t>
      </w:r>
    </w:p>
    <w:p w14:paraId="2507B09D">
      <w:pPr>
        <w:snapToGrid w:val="0"/>
        <w:spacing w:line="360" w:lineRule="auto"/>
        <w:ind w:firstLine="431" w:firstLineChars="196"/>
        <w:rPr>
          <w:rFonts w:hint="eastAsia" w:ascii="仿宋" w:hAnsi="仿宋" w:eastAsia="仿宋" w:cs="仿宋"/>
          <w:sz w:val="22"/>
          <w:szCs w:val="22"/>
          <w:highlight w:val="none"/>
        </w:rPr>
      </w:pPr>
    </w:p>
    <w:p w14:paraId="6D54C353">
      <w:pPr>
        <w:pStyle w:val="3"/>
        <w:spacing w:line="360" w:lineRule="auto"/>
        <w:jc w:val="center"/>
        <w:rPr>
          <w:rFonts w:hint="eastAsia" w:ascii="仿宋" w:hAnsi="仿宋" w:eastAsia="仿宋" w:cs="仿宋"/>
          <w:b w:val="0"/>
          <w:bCs w:val="0"/>
          <w:color w:val="000000"/>
          <w:kern w:val="2"/>
          <w:highlight w:val="none"/>
        </w:rPr>
      </w:pPr>
      <w:bookmarkStart w:id="186" w:name="bt合同的授予"/>
      <w:bookmarkEnd w:id="186"/>
      <w:bookmarkStart w:id="187" w:name="_Toc12549"/>
      <w:bookmarkStart w:id="188" w:name="_Toc4353"/>
      <w:bookmarkStart w:id="189" w:name="_Toc73518156"/>
      <w:bookmarkStart w:id="190" w:name="_Toc101074884"/>
      <w:bookmarkStart w:id="191" w:name="_Toc100052407"/>
      <w:bookmarkStart w:id="192" w:name="_Toc73517678"/>
      <w:r>
        <w:rPr>
          <w:rFonts w:hint="eastAsia" w:ascii="仿宋" w:hAnsi="仿宋" w:eastAsia="仿宋" w:cs="仿宋"/>
          <w:b w:val="0"/>
          <w:bCs w:val="0"/>
          <w:color w:val="000000"/>
          <w:kern w:val="2"/>
          <w:highlight w:val="none"/>
        </w:rPr>
        <w:t>第八章  公开招标失败的后续处理</w:t>
      </w:r>
      <w:bookmarkEnd w:id="187"/>
      <w:bookmarkEnd w:id="188"/>
    </w:p>
    <w:p w14:paraId="543E35B3">
      <w:pPr>
        <w:spacing w:line="360" w:lineRule="auto"/>
        <w:rPr>
          <w:rFonts w:hint="eastAsia" w:ascii="仿宋" w:hAnsi="仿宋" w:eastAsia="仿宋" w:cs="仿宋"/>
          <w:sz w:val="24"/>
          <w:highlight w:val="none"/>
        </w:rPr>
      </w:pPr>
      <w:r>
        <w:rPr>
          <w:rFonts w:hint="eastAsia" w:ascii="仿宋" w:hAnsi="仿宋" w:eastAsia="仿宋" w:cs="仿宋"/>
          <w:sz w:val="24"/>
          <w:highlight w:val="none"/>
        </w:rPr>
        <w:t>33．公开招标失败的处理</w:t>
      </w:r>
    </w:p>
    <w:p w14:paraId="14CAA5EC">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2"/>
          <w:highlight w:val="none"/>
        </w:rPr>
        <w:t>33.1 本项目公开招标过程中若由于投标截止后</w:t>
      </w:r>
      <w:r>
        <w:rPr>
          <w:rFonts w:hint="eastAsia" w:ascii="仿宋" w:hAnsi="仿宋" w:eastAsia="仿宋" w:cs="仿宋"/>
          <w:sz w:val="22"/>
          <w:szCs w:val="28"/>
          <w:highlight w:val="none"/>
        </w:rPr>
        <w:t>实际递交投标文件的供应商数量不足、经评审委员会评审对招标文件作实质响应的供应商不足等原因造成公开招标失败，可由</w:t>
      </w:r>
      <w:r>
        <w:rPr>
          <w:rFonts w:hint="eastAsia" w:ascii="仿宋" w:hAnsi="仿宋" w:eastAsia="仿宋" w:cs="仿宋"/>
          <w:sz w:val="22"/>
          <w:szCs w:val="28"/>
          <w:highlight w:val="none"/>
          <w:lang w:eastAsia="zh-CN"/>
        </w:rPr>
        <w:t>代理机构</w:t>
      </w:r>
      <w:r>
        <w:rPr>
          <w:rFonts w:hint="eastAsia" w:ascii="仿宋" w:hAnsi="仿宋" w:eastAsia="仿宋" w:cs="仿宋"/>
          <w:sz w:val="22"/>
          <w:szCs w:val="28"/>
          <w:highlight w:val="none"/>
        </w:rPr>
        <w:t>重新组织采购。</w:t>
      </w:r>
    </w:p>
    <w:p w14:paraId="2532BC0C">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33.2 对公开招标失败的项目，评审委员会在出具该项目招标失败结论的同时，可以提出重新采购组织形式的建议，以及进一步完善招标文件的资格、技术、商务要求的修改建议。</w:t>
      </w:r>
    </w:p>
    <w:p w14:paraId="3FCFE036">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33.3</w:t>
      </w:r>
      <w:r>
        <w:rPr>
          <w:rFonts w:hint="eastAsia" w:ascii="仿宋" w:hAnsi="仿宋" w:eastAsia="仿宋" w:cs="仿宋"/>
          <w:sz w:val="22"/>
          <w:szCs w:val="22"/>
          <w:highlight w:val="none"/>
        </w:rPr>
        <w:t>重新组织采购有以下两种组织形式：</w:t>
      </w:r>
    </w:p>
    <w:p w14:paraId="7C891D04">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（1）由</w:t>
      </w:r>
      <w:r>
        <w:rPr>
          <w:rFonts w:hint="eastAsia" w:ascii="仿宋" w:hAnsi="仿宋" w:eastAsia="仿宋" w:cs="仿宋"/>
          <w:sz w:val="22"/>
          <w:szCs w:val="28"/>
          <w:highlight w:val="none"/>
          <w:lang w:eastAsia="zh-CN"/>
        </w:rPr>
        <w:t>代理机构</w:t>
      </w:r>
      <w:r>
        <w:rPr>
          <w:rFonts w:hint="eastAsia" w:ascii="仿宋" w:hAnsi="仿宋" w:eastAsia="仿宋" w:cs="仿宋"/>
          <w:sz w:val="22"/>
          <w:szCs w:val="28"/>
          <w:highlight w:val="none"/>
        </w:rPr>
        <w:t>重新组织公开招标；</w:t>
      </w:r>
    </w:p>
    <w:p w14:paraId="2D60FF76">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（2）根据实际情况需要向</w:t>
      </w:r>
      <w:r>
        <w:rPr>
          <w:rFonts w:hint="eastAsia" w:ascii="仿宋" w:hAnsi="仿宋" w:eastAsia="仿宋" w:cs="仿宋"/>
          <w:sz w:val="22"/>
          <w:szCs w:val="28"/>
          <w:highlight w:val="none"/>
          <w:lang w:eastAsia="zh-CN"/>
        </w:rPr>
        <w:t>采购人的</w:t>
      </w:r>
      <w:r>
        <w:rPr>
          <w:rFonts w:hint="eastAsia" w:ascii="仿宋" w:hAnsi="仿宋" w:eastAsia="仿宋" w:cs="仿宋"/>
          <w:sz w:val="22"/>
          <w:szCs w:val="28"/>
          <w:highlight w:val="none"/>
        </w:rPr>
        <w:t>采购</w:t>
      </w:r>
      <w:r>
        <w:rPr>
          <w:rFonts w:hint="eastAsia" w:ascii="仿宋" w:hAnsi="仿宋" w:eastAsia="仿宋" w:cs="仿宋"/>
          <w:sz w:val="22"/>
          <w:szCs w:val="28"/>
          <w:highlight w:val="none"/>
          <w:lang w:eastAsia="zh-CN"/>
        </w:rPr>
        <w:t>主管</w:t>
      </w:r>
      <w:r>
        <w:rPr>
          <w:rFonts w:hint="eastAsia" w:ascii="仿宋" w:hAnsi="仿宋" w:eastAsia="仿宋" w:cs="仿宋"/>
          <w:sz w:val="22"/>
          <w:szCs w:val="28"/>
          <w:highlight w:val="none"/>
        </w:rPr>
        <w:t>部门提出非公开</w:t>
      </w:r>
      <w:r>
        <w:rPr>
          <w:rFonts w:hint="eastAsia" w:ascii="仿宋" w:hAnsi="仿宋" w:eastAsia="仿宋" w:cs="仿宋"/>
          <w:sz w:val="22"/>
          <w:szCs w:val="28"/>
          <w:highlight w:val="none"/>
          <w:lang w:eastAsia="zh-CN"/>
        </w:rPr>
        <w:t>采购方</w:t>
      </w:r>
      <w:r>
        <w:rPr>
          <w:rFonts w:hint="eastAsia" w:ascii="仿宋" w:hAnsi="仿宋" w:eastAsia="仿宋" w:cs="仿宋"/>
          <w:sz w:val="22"/>
          <w:szCs w:val="28"/>
          <w:highlight w:val="none"/>
        </w:rPr>
        <w:t>式申请，经</w:t>
      </w:r>
      <w:r>
        <w:rPr>
          <w:rFonts w:hint="eastAsia" w:ascii="仿宋" w:hAnsi="仿宋" w:eastAsia="仿宋" w:cs="仿宋"/>
          <w:sz w:val="22"/>
          <w:szCs w:val="28"/>
          <w:highlight w:val="none"/>
          <w:lang w:eastAsia="zh-CN"/>
        </w:rPr>
        <w:t>采购人的</w:t>
      </w:r>
      <w:r>
        <w:rPr>
          <w:rFonts w:hint="eastAsia" w:ascii="仿宋" w:hAnsi="仿宋" w:eastAsia="仿宋" w:cs="仿宋"/>
          <w:sz w:val="22"/>
          <w:szCs w:val="28"/>
          <w:highlight w:val="none"/>
        </w:rPr>
        <w:t>采购</w:t>
      </w:r>
      <w:r>
        <w:rPr>
          <w:rFonts w:hint="eastAsia" w:ascii="仿宋" w:hAnsi="仿宋" w:eastAsia="仿宋" w:cs="仿宋"/>
          <w:sz w:val="22"/>
          <w:szCs w:val="28"/>
          <w:highlight w:val="none"/>
          <w:lang w:eastAsia="zh-CN"/>
        </w:rPr>
        <w:t>主管</w:t>
      </w:r>
      <w:r>
        <w:rPr>
          <w:rFonts w:hint="eastAsia" w:ascii="仿宋" w:hAnsi="仿宋" w:eastAsia="仿宋" w:cs="仿宋"/>
          <w:sz w:val="22"/>
          <w:szCs w:val="28"/>
          <w:highlight w:val="none"/>
        </w:rPr>
        <w:t>部门批准</w:t>
      </w:r>
      <w:r>
        <w:rPr>
          <w:rFonts w:hint="eastAsia" w:ascii="仿宋" w:hAnsi="仿宋" w:eastAsia="仿宋" w:cs="仿宋"/>
          <w:sz w:val="22"/>
          <w:szCs w:val="28"/>
          <w:highlight w:val="none"/>
          <w:lang w:eastAsia="zh-CN"/>
        </w:rPr>
        <w:t>，</w:t>
      </w:r>
      <w:r>
        <w:rPr>
          <w:rFonts w:hint="eastAsia" w:ascii="仿宋" w:hAnsi="仿宋" w:eastAsia="仿宋" w:cs="仿宋"/>
          <w:sz w:val="22"/>
          <w:szCs w:val="28"/>
          <w:highlight w:val="none"/>
        </w:rPr>
        <w:t>可转为竞争性谈判或单一来源谈判方式采购。</w:t>
      </w:r>
    </w:p>
    <w:p w14:paraId="165F926A">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33.</w:t>
      </w:r>
      <w:r>
        <w:rPr>
          <w:rFonts w:hint="eastAsia" w:ascii="仿宋" w:hAnsi="仿宋" w:eastAsia="仿宋" w:cs="仿宋"/>
          <w:sz w:val="22"/>
          <w:szCs w:val="28"/>
          <w:highlight w:val="none"/>
          <w:lang w:val="en-US" w:eastAsia="zh-CN"/>
        </w:rPr>
        <w:t>4</w:t>
      </w:r>
      <w:r>
        <w:rPr>
          <w:rFonts w:hint="eastAsia" w:ascii="仿宋" w:hAnsi="仿宋" w:eastAsia="仿宋" w:cs="仿宋"/>
          <w:sz w:val="22"/>
          <w:szCs w:val="28"/>
          <w:highlight w:val="none"/>
        </w:rPr>
        <w:t xml:space="preserve"> 公开招标失败的采购项目重新组织公开招标，</w:t>
      </w:r>
      <w:r>
        <w:rPr>
          <w:rFonts w:hint="eastAsia" w:ascii="仿宋" w:hAnsi="仿宋" w:eastAsia="仿宋" w:cs="仿宋"/>
          <w:sz w:val="22"/>
          <w:szCs w:val="28"/>
          <w:highlight w:val="none"/>
          <w:lang w:eastAsia="zh-CN"/>
        </w:rPr>
        <w:t>代理机构</w:t>
      </w:r>
      <w:r>
        <w:rPr>
          <w:rFonts w:hint="eastAsia" w:ascii="仿宋" w:hAnsi="仿宋" w:eastAsia="仿宋" w:cs="仿宋"/>
          <w:sz w:val="22"/>
          <w:szCs w:val="28"/>
          <w:highlight w:val="none"/>
        </w:rPr>
        <w:t>要重新按公开招标流程发布招标公告和招标文件、组成评审委员会等组织采购活动。</w:t>
      </w:r>
    </w:p>
    <w:p w14:paraId="3F30CC4B">
      <w:pPr>
        <w:snapToGrid w:val="0"/>
        <w:spacing w:line="360" w:lineRule="auto"/>
        <w:ind w:firstLine="431" w:firstLineChars="196"/>
        <w:rPr>
          <w:rFonts w:hint="eastAsia" w:ascii="仿宋" w:hAnsi="仿宋" w:eastAsia="仿宋" w:cs="仿宋"/>
          <w:sz w:val="22"/>
          <w:szCs w:val="28"/>
          <w:highlight w:val="none"/>
        </w:rPr>
      </w:pPr>
      <w:r>
        <w:rPr>
          <w:rFonts w:hint="eastAsia" w:ascii="仿宋" w:hAnsi="仿宋" w:eastAsia="仿宋" w:cs="仿宋"/>
          <w:sz w:val="22"/>
          <w:szCs w:val="28"/>
          <w:highlight w:val="none"/>
        </w:rPr>
        <w:t>33.</w:t>
      </w:r>
      <w:r>
        <w:rPr>
          <w:rFonts w:hint="eastAsia" w:ascii="仿宋" w:hAnsi="仿宋" w:eastAsia="仿宋" w:cs="仿宋"/>
          <w:sz w:val="22"/>
          <w:szCs w:val="28"/>
          <w:highlight w:val="none"/>
          <w:lang w:val="en-US" w:eastAsia="zh-CN"/>
        </w:rPr>
        <w:t>5</w:t>
      </w:r>
      <w:r>
        <w:rPr>
          <w:rFonts w:hint="eastAsia" w:ascii="仿宋" w:hAnsi="仿宋" w:eastAsia="仿宋" w:cs="仿宋"/>
          <w:sz w:val="22"/>
          <w:szCs w:val="28"/>
          <w:highlight w:val="none"/>
        </w:rPr>
        <w:t xml:space="preserve"> 公开招标失败的采购项目经</w:t>
      </w:r>
      <w:r>
        <w:rPr>
          <w:rFonts w:hint="eastAsia" w:ascii="仿宋" w:hAnsi="仿宋" w:eastAsia="仿宋" w:cs="仿宋"/>
          <w:sz w:val="22"/>
          <w:szCs w:val="28"/>
          <w:highlight w:val="none"/>
          <w:lang w:eastAsia="zh-CN"/>
        </w:rPr>
        <w:t>采购人的</w:t>
      </w:r>
      <w:r>
        <w:rPr>
          <w:rFonts w:hint="eastAsia" w:ascii="仿宋" w:hAnsi="仿宋" w:eastAsia="仿宋" w:cs="仿宋"/>
          <w:sz w:val="22"/>
          <w:szCs w:val="28"/>
          <w:highlight w:val="none"/>
        </w:rPr>
        <w:t>采购</w:t>
      </w:r>
      <w:r>
        <w:rPr>
          <w:rFonts w:hint="eastAsia" w:ascii="仿宋" w:hAnsi="仿宋" w:eastAsia="仿宋" w:cs="仿宋"/>
          <w:sz w:val="22"/>
          <w:szCs w:val="28"/>
          <w:highlight w:val="none"/>
          <w:lang w:eastAsia="zh-CN"/>
        </w:rPr>
        <w:t>主管</w:t>
      </w:r>
      <w:r>
        <w:rPr>
          <w:rFonts w:hint="eastAsia" w:ascii="仿宋" w:hAnsi="仿宋" w:eastAsia="仿宋" w:cs="仿宋"/>
          <w:sz w:val="22"/>
          <w:szCs w:val="28"/>
          <w:highlight w:val="none"/>
        </w:rPr>
        <w:t>部门批准转为竞争性谈判或单一来源谈判方式采购的，可不另行制作谈判文件，</w:t>
      </w:r>
      <w:r>
        <w:rPr>
          <w:rFonts w:hint="eastAsia" w:ascii="仿宋" w:hAnsi="仿宋" w:eastAsia="仿宋" w:cs="仿宋"/>
          <w:sz w:val="22"/>
          <w:szCs w:val="28"/>
          <w:highlight w:val="none"/>
          <w:lang w:eastAsia="zh-CN"/>
        </w:rPr>
        <w:t>代理机构</w:t>
      </w:r>
      <w:r>
        <w:rPr>
          <w:rFonts w:hint="eastAsia" w:ascii="仿宋" w:hAnsi="仿宋" w:eastAsia="仿宋" w:cs="仿宋"/>
          <w:sz w:val="22"/>
          <w:szCs w:val="28"/>
          <w:highlight w:val="none"/>
        </w:rPr>
        <w:t>可就原招标文件中资质、技术及评标方法等变动情况向拟谈判对象发出谈判邀请，与原招标文件具同等效力，变动部分以谈判邀请文件为准。转为竞争性谈判或单一来源谈判方式采购的，供应商的原投标文件转为谈判应答文件。</w:t>
      </w:r>
    </w:p>
    <w:p w14:paraId="0F8E8FFE">
      <w:pPr>
        <w:spacing w:line="360" w:lineRule="auto"/>
        <w:rPr>
          <w:rFonts w:hint="eastAsia" w:ascii="仿宋" w:hAnsi="仿宋" w:eastAsia="仿宋" w:cs="仿宋"/>
          <w:sz w:val="24"/>
          <w:highlight w:val="none"/>
        </w:rPr>
      </w:pPr>
      <w:r>
        <w:rPr>
          <w:rFonts w:hint="eastAsia" w:ascii="仿宋" w:hAnsi="仿宋" w:eastAsia="仿宋" w:cs="仿宋"/>
          <w:sz w:val="24"/>
          <w:highlight w:val="none"/>
        </w:rPr>
        <w:t>34．公开招标失败项目转为竞争性谈判方式采购</w:t>
      </w:r>
    </w:p>
    <w:p w14:paraId="24E907C2">
      <w:pPr>
        <w:snapToGrid w:val="0"/>
        <w:spacing w:line="360" w:lineRule="auto"/>
        <w:ind w:firstLine="433" w:firstLineChars="196"/>
        <w:rPr>
          <w:rFonts w:hint="eastAsia" w:ascii="仿宋" w:hAnsi="仿宋" w:eastAsia="仿宋" w:cs="仿宋"/>
          <w:b/>
          <w:sz w:val="22"/>
          <w:szCs w:val="22"/>
          <w:highlight w:val="none"/>
        </w:rPr>
      </w:pPr>
      <w:r>
        <w:rPr>
          <w:rFonts w:hint="eastAsia" w:ascii="仿宋" w:hAnsi="仿宋" w:eastAsia="仿宋" w:cs="仿宋"/>
          <w:b/>
          <w:sz w:val="22"/>
          <w:szCs w:val="22"/>
          <w:highlight w:val="none"/>
        </w:rPr>
        <w:t>34.1 谈判小组</w:t>
      </w:r>
    </w:p>
    <w:p w14:paraId="403BF2CB">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34.1.1 公开招标失败项目转为竞争性谈判方式采购后，评审委员会转为谈判小组，</w:t>
      </w:r>
      <w:r>
        <w:rPr>
          <w:rFonts w:hint="eastAsia" w:ascii="仿宋" w:hAnsi="仿宋" w:eastAsia="仿宋" w:cs="仿宋"/>
          <w:sz w:val="22"/>
          <w:szCs w:val="28"/>
          <w:highlight w:val="none"/>
        </w:rPr>
        <w:t>谈判小组成员由采购单位代表和有关专家共3人以上（含3人）的单数组成；专家可重新抽取也可继续采用评审委员会内专家。</w:t>
      </w:r>
    </w:p>
    <w:p w14:paraId="18959BE3">
      <w:pPr>
        <w:tabs>
          <w:tab w:val="left" w:pos="-1080"/>
        </w:tabs>
        <w:snapToGrid w:val="0"/>
        <w:spacing w:line="360" w:lineRule="auto"/>
        <w:ind w:firstLine="440" w:firstLineChars="200"/>
        <w:rPr>
          <w:rFonts w:hint="eastAsia" w:ascii="仿宋" w:hAnsi="仿宋" w:eastAsia="仿宋" w:cs="仿宋"/>
          <w:sz w:val="22"/>
          <w:szCs w:val="28"/>
          <w:highlight w:val="none"/>
        </w:rPr>
      </w:pPr>
      <w:r>
        <w:rPr>
          <w:rFonts w:hint="eastAsia" w:ascii="仿宋" w:hAnsi="仿宋" w:eastAsia="仿宋" w:cs="仿宋"/>
          <w:sz w:val="22"/>
          <w:szCs w:val="22"/>
          <w:highlight w:val="none"/>
        </w:rPr>
        <w:t xml:space="preserve">34.1.2 </w:t>
      </w:r>
      <w:r>
        <w:rPr>
          <w:rFonts w:hint="eastAsia" w:ascii="仿宋" w:hAnsi="仿宋" w:eastAsia="仿宋" w:cs="仿宋"/>
          <w:sz w:val="22"/>
          <w:szCs w:val="28"/>
          <w:highlight w:val="none"/>
        </w:rPr>
        <w:t>谈判前，谈判小组将对各供应商的谈判应答文件进行审查，</w:t>
      </w:r>
      <w:r>
        <w:rPr>
          <w:rFonts w:hint="eastAsia" w:ascii="仿宋" w:hAnsi="仿宋" w:eastAsia="仿宋" w:cs="仿宋"/>
          <w:bCs/>
          <w:sz w:val="22"/>
          <w:szCs w:val="28"/>
          <w:highlight w:val="none"/>
        </w:rPr>
        <w:t>当谈判应答文件出现下列情况之一的将视为无效，按废标处理，不得进入谈判，</w:t>
      </w:r>
      <w:r>
        <w:rPr>
          <w:rFonts w:hint="eastAsia" w:ascii="仿宋" w:hAnsi="仿宋" w:eastAsia="仿宋" w:cs="仿宋"/>
          <w:b/>
          <w:sz w:val="22"/>
          <w:szCs w:val="28"/>
          <w:highlight w:val="none"/>
        </w:rPr>
        <w:t>具体内容见原招标文件中投标文件初审表的《资格性检查表》部分以及谈判邀请中相应的变动部分。</w:t>
      </w:r>
    </w:p>
    <w:p w14:paraId="32D09F06">
      <w:pPr>
        <w:snapToGrid w:val="0"/>
        <w:spacing w:line="360" w:lineRule="auto"/>
        <w:ind w:firstLine="433" w:firstLineChars="196"/>
        <w:rPr>
          <w:rFonts w:hint="eastAsia" w:ascii="仿宋" w:hAnsi="仿宋" w:eastAsia="仿宋" w:cs="仿宋"/>
          <w:b/>
          <w:sz w:val="22"/>
          <w:szCs w:val="22"/>
          <w:highlight w:val="none"/>
        </w:rPr>
      </w:pPr>
      <w:r>
        <w:rPr>
          <w:rFonts w:hint="eastAsia" w:ascii="仿宋" w:hAnsi="仿宋" w:eastAsia="仿宋" w:cs="仿宋"/>
          <w:b/>
          <w:sz w:val="22"/>
          <w:szCs w:val="22"/>
          <w:highlight w:val="none"/>
        </w:rPr>
        <w:t>34.2 谈判程序</w:t>
      </w:r>
    </w:p>
    <w:p w14:paraId="2333CD01">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34.2.1 参加谈判的供应商和谈判小组成员填写谈判登记表，并交验证明文件（法定代表人证明书、法人授权委托书、被授权的谈判代表身份证原件）。</w:t>
      </w:r>
    </w:p>
    <w:p w14:paraId="0B26FB0F">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34.2.2 谈判小组主持人宣布谈判规则和谈判纪律。</w:t>
      </w:r>
    </w:p>
    <w:p w14:paraId="4FDF6BFC">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34.2.3 在谈判中，谈判小组将就以下谈判内容跟供应商进行谈判：</w:t>
      </w:r>
    </w:p>
    <w:p w14:paraId="71DB8994">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（1）项目方案；</w:t>
      </w:r>
    </w:p>
    <w:p w14:paraId="7760F99C">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（2）报价；</w:t>
      </w:r>
    </w:p>
    <w:p w14:paraId="1A3C64B0">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（3）其它相关事项。</w:t>
      </w:r>
    </w:p>
    <w:p w14:paraId="3845FA0E">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原招标文件或谈判邀请文件有实质性变动的，谈判小组应当通过</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通知所有参加谈判的供应商。</w:t>
      </w:r>
    </w:p>
    <w:p w14:paraId="1FAE4AEF">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34.2.4 谈判小组可以用书面形式要求各供应商对其谈判应答文件含义不明确的内容作必要的澄清或者说明，重要问题供应商应以书面形式进行澄清、说明。</w:t>
      </w:r>
    </w:p>
    <w:p w14:paraId="6B3B817F">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34.2.5 允许供应商在谈判结束之前根据谈判小组提出的内容进行澄清、修改或完善，或对项目方案进行相应的调整。</w:t>
      </w:r>
    </w:p>
    <w:p w14:paraId="78723D93">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34.2.6 供应商对谈判应答文件进行修改，都应形成文字材料，并经供应商谈判授权人签字认可。</w:t>
      </w:r>
    </w:p>
    <w:p w14:paraId="5551CFCA">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34.2.7 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76F4801D">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34.2.8 有下列情形之一的，该供应商的谈判结果作废标处理，</w:t>
      </w:r>
      <w:r>
        <w:rPr>
          <w:rFonts w:hint="eastAsia" w:ascii="仿宋" w:hAnsi="仿宋" w:eastAsia="仿宋" w:cs="仿宋"/>
          <w:b/>
          <w:sz w:val="22"/>
          <w:szCs w:val="22"/>
          <w:highlight w:val="none"/>
        </w:rPr>
        <w:t>具体内容见原招标文件中投标文件初审表的《符合性检查表》部分以及谈判邀请中相应的变动部分。</w:t>
      </w:r>
    </w:p>
    <w:p w14:paraId="7C7A3423">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34.2.9 谈判结束后，谈判小组根据供应商提供的谈判应答文件、谈判过程中产生的相关资料，对供应商谈判应答文件进行评估与比较，提出书面评审意见。</w:t>
      </w:r>
    </w:p>
    <w:p w14:paraId="4066134E">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34.2.10 谈判小组将对谈判过程进行记录，以存档备查。</w:t>
      </w:r>
    </w:p>
    <w:p w14:paraId="71EDCC8F">
      <w:pPr>
        <w:snapToGrid w:val="0"/>
        <w:spacing w:line="360" w:lineRule="auto"/>
        <w:ind w:firstLine="433" w:firstLineChars="196"/>
        <w:rPr>
          <w:rFonts w:hint="eastAsia" w:ascii="仿宋" w:hAnsi="仿宋" w:eastAsia="仿宋" w:cs="仿宋"/>
          <w:b/>
          <w:sz w:val="22"/>
          <w:szCs w:val="22"/>
          <w:highlight w:val="none"/>
        </w:rPr>
      </w:pPr>
      <w:r>
        <w:rPr>
          <w:rFonts w:hint="eastAsia" w:ascii="仿宋" w:hAnsi="仿宋" w:eastAsia="仿宋" w:cs="仿宋"/>
          <w:b/>
          <w:sz w:val="22"/>
          <w:szCs w:val="22"/>
          <w:highlight w:val="none"/>
        </w:rPr>
        <w:t>34.3 评标方法和定标原则</w:t>
      </w:r>
    </w:p>
    <w:p w14:paraId="2A5ED2DB">
      <w:pPr>
        <w:tabs>
          <w:tab w:val="left" w:pos="-1080"/>
        </w:tabs>
        <w:snapToGrid w:val="0"/>
        <w:spacing w:line="360" w:lineRule="auto"/>
        <w:ind w:firstLine="440" w:firstLineChars="200"/>
        <w:rPr>
          <w:rFonts w:hint="eastAsia" w:ascii="仿宋" w:hAnsi="仿宋" w:eastAsia="仿宋" w:cs="仿宋"/>
          <w:sz w:val="22"/>
          <w:szCs w:val="28"/>
          <w:highlight w:val="none"/>
        </w:rPr>
      </w:pPr>
      <w:r>
        <w:rPr>
          <w:rFonts w:hint="eastAsia" w:ascii="仿宋" w:hAnsi="仿宋" w:eastAsia="仿宋" w:cs="仿宋"/>
          <w:sz w:val="22"/>
          <w:szCs w:val="22"/>
          <w:highlight w:val="none"/>
        </w:rPr>
        <w:t>34.3.1 竞争性谈判采购项目的评标方法要比照</w:t>
      </w:r>
      <w:r>
        <w:rPr>
          <w:rFonts w:hint="eastAsia" w:ascii="仿宋" w:hAnsi="仿宋" w:eastAsia="仿宋" w:cs="仿宋"/>
          <w:b/>
          <w:sz w:val="22"/>
          <w:szCs w:val="22"/>
          <w:highlight w:val="none"/>
          <w:lang w:eastAsia="zh-CN"/>
        </w:rPr>
        <w:t>最低价法</w:t>
      </w:r>
      <w:r>
        <w:rPr>
          <w:rFonts w:hint="eastAsia" w:ascii="仿宋" w:hAnsi="仿宋" w:eastAsia="仿宋" w:cs="仿宋"/>
          <w:b/>
          <w:sz w:val="22"/>
          <w:szCs w:val="22"/>
          <w:highlight w:val="none"/>
        </w:rPr>
        <w:t>规定执行</w:t>
      </w:r>
      <w:r>
        <w:rPr>
          <w:rFonts w:hint="eastAsia" w:ascii="仿宋" w:hAnsi="仿宋" w:eastAsia="仿宋" w:cs="仿宋"/>
          <w:sz w:val="22"/>
          <w:szCs w:val="22"/>
          <w:highlight w:val="none"/>
        </w:rPr>
        <w:t>。如确因实际情况需要采用其他评标方法的，应报经</w:t>
      </w:r>
      <w:r>
        <w:rPr>
          <w:rFonts w:hint="eastAsia" w:ascii="仿宋" w:hAnsi="仿宋" w:eastAsia="仿宋" w:cs="仿宋"/>
          <w:sz w:val="22"/>
          <w:szCs w:val="22"/>
          <w:highlight w:val="none"/>
          <w:lang w:eastAsia="zh-CN"/>
        </w:rPr>
        <w:t>采购人的采购主管</w:t>
      </w:r>
      <w:r>
        <w:rPr>
          <w:rFonts w:hint="eastAsia" w:ascii="仿宋" w:hAnsi="仿宋" w:eastAsia="仿宋" w:cs="仿宋"/>
          <w:sz w:val="22"/>
          <w:szCs w:val="22"/>
          <w:highlight w:val="none"/>
        </w:rPr>
        <w:t>部门批准。</w:t>
      </w:r>
      <w:r>
        <w:rPr>
          <w:rFonts w:hint="eastAsia" w:ascii="仿宋" w:hAnsi="仿宋" w:eastAsia="仿宋" w:cs="仿宋"/>
          <w:b/>
          <w:sz w:val="22"/>
          <w:szCs w:val="28"/>
          <w:highlight w:val="none"/>
        </w:rPr>
        <w:t>原招标文件若采用</w:t>
      </w:r>
      <w:r>
        <w:rPr>
          <w:rFonts w:hint="eastAsia" w:ascii="仿宋" w:hAnsi="仿宋" w:eastAsia="仿宋" w:cs="仿宋"/>
          <w:b/>
          <w:bCs/>
          <w:sz w:val="22"/>
          <w:szCs w:val="28"/>
          <w:highlight w:val="none"/>
        </w:rPr>
        <w:t>最低价法以外的评标方法，转为竞争性谈判后，评标方法应采用最低价法</w:t>
      </w:r>
      <w:r>
        <w:rPr>
          <w:rFonts w:hint="eastAsia" w:ascii="仿宋" w:hAnsi="仿宋" w:eastAsia="仿宋" w:cs="仿宋"/>
          <w:b/>
          <w:sz w:val="22"/>
          <w:szCs w:val="22"/>
          <w:highlight w:val="none"/>
        </w:rPr>
        <w:t>。</w:t>
      </w:r>
    </w:p>
    <w:p w14:paraId="3DA05DE9">
      <w:pPr>
        <w:tabs>
          <w:tab w:val="left" w:pos="-1080"/>
        </w:tabs>
        <w:snapToGrid w:val="0"/>
        <w:spacing w:line="360" w:lineRule="auto"/>
        <w:ind w:firstLine="440" w:firstLineChars="200"/>
        <w:rPr>
          <w:rFonts w:hint="eastAsia" w:ascii="仿宋" w:hAnsi="仿宋" w:eastAsia="仿宋" w:cs="仿宋"/>
          <w:sz w:val="22"/>
          <w:szCs w:val="28"/>
          <w:highlight w:val="none"/>
        </w:rPr>
      </w:pPr>
      <w:r>
        <w:rPr>
          <w:rFonts w:hint="eastAsia" w:ascii="仿宋" w:hAnsi="仿宋" w:eastAsia="仿宋" w:cs="仿宋"/>
          <w:sz w:val="22"/>
          <w:szCs w:val="22"/>
          <w:highlight w:val="none"/>
        </w:rPr>
        <w:t>34.3.2 对公开招标失败转为竞争性谈判方式采购的项目，谈判小组</w:t>
      </w:r>
      <w:r>
        <w:rPr>
          <w:rFonts w:hint="eastAsia" w:ascii="仿宋" w:hAnsi="仿宋" w:eastAsia="仿宋" w:cs="仿宋"/>
          <w:sz w:val="22"/>
          <w:szCs w:val="28"/>
          <w:highlight w:val="none"/>
        </w:rPr>
        <w:t>对谈判应答文件进行评审和比较，综合各家供应商最终的方案、服务和投资等谈判结果并按本通用条款第28.1.1款的</w:t>
      </w:r>
      <w:r>
        <w:rPr>
          <w:rFonts w:hint="eastAsia" w:ascii="仿宋" w:hAnsi="仿宋" w:eastAsia="仿宋" w:cs="仿宋"/>
          <w:b/>
          <w:bCs/>
          <w:sz w:val="22"/>
          <w:szCs w:val="28"/>
          <w:highlight w:val="none"/>
        </w:rPr>
        <w:t>最低价法</w:t>
      </w:r>
      <w:r>
        <w:rPr>
          <w:rFonts w:hint="eastAsia" w:ascii="仿宋" w:hAnsi="仿宋" w:eastAsia="仿宋" w:cs="仿宋"/>
          <w:sz w:val="22"/>
          <w:szCs w:val="28"/>
          <w:highlight w:val="none"/>
        </w:rPr>
        <w:t>进行评审。</w:t>
      </w:r>
    </w:p>
    <w:p w14:paraId="531FFA68">
      <w:pPr>
        <w:tabs>
          <w:tab w:val="left" w:pos="-1080"/>
        </w:tabs>
        <w:snapToGrid w:val="0"/>
        <w:spacing w:line="360" w:lineRule="auto"/>
        <w:ind w:firstLine="440" w:firstLineChars="200"/>
        <w:rPr>
          <w:rFonts w:hint="eastAsia" w:ascii="仿宋" w:hAnsi="仿宋" w:eastAsia="仿宋" w:cs="仿宋"/>
          <w:sz w:val="22"/>
          <w:szCs w:val="28"/>
          <w:highlight w:val="none"/>
        </w:rPr>
      </w:pPr>
      <w:r>
        <w:rPr>
          <w:rFonts w:hint="eastAsia" w:ascii="仿宋" w:hAnsi="仿宋" w:eastAsia="仿宋" w:cs="仿宋"/>
          <w:sz w:val="22"/>
          <w:szCs w:val="28"/>
          <w:highlight w:val="none"/>
        </w:rPr>
        <w:t>34.3.3 若要采用其他评标方法的，必须</w:t>
      </w:r>
      <w:r>
        <w:rPr>
          <w:rFonts w:hint="eastAsia" w:ascii="仿宋" w:hAnsi="仿宋" w:eastAsia="仿宋" w:cs="仿宋"/>
          <w:sz w:val="22"/>
          <w:szCs w:val="22"/>
          <w:highlight w:val="none"/>
        </w:rPr>
        <w:t>报经</w:t>
      </w:r>
      <w:r>
        <w:rPr>
          <w:rFonts w:hint="eastAsia" w:ascii="仿宋" w:hAnsi="仿宋" w:eastAsia="仿宋" w:cs="仿宋"/>
          <w:sz w:val="22"/>
          <w:szCs w:val="22"/>
          <w:highlight w:val="none"/>
          <w:lang w:eastAsia="zh-CN"/>
        </w:rPr>
        <w:t>采购人的采购主管部门</w:t>
      </w:r>
      <w:r>
        <w:rPr>
          <w:rFonts w:hint="eastAsia" w:ascii="仿宋" w:hAnsi="仿宋" w:eastAsia="仿宋" w:cs="仿宋"/>
          <w:sz w:val="22"/>
          <w:szCs w:val="22"/>
          <w:highlight w:val="none"/>
        </w:rPr>
        <w:t>批准，谈判小组按批准的评标方法进行评审。谈判邀请文件中应注明批准的评标方法。</w:t>
      </w:r>
    </w:p>
    <w:p w14:paraId="453A92F1">
      <w:pPr>
        <w:spacing w:line="360" w:lineRule="auto"/>
        <w:rPr>
          <w:rFonts w:hint="eastAsia" w:ascii="仿宋" w:hAnsi="仿宋" w:eastAsia="仿宋" w:cs="仿宋"/>
          <w:sz w:val="24"/>
          <w:highlight w:val="none"/>
        </w:rPr>
      </w:pPr>
      <w:r>
        <w:rPr>
          <w:rFonts w:hint="eastAsia" w:ascii="仿宋" w:hAnsi="仿宋" w:eastAsia="仿宋" w:cs="仿宋"/>
          <w:sz w:val="24"/>
          <w:highlight w:val="none"/>
        </w:rPr>
        <w:t>35．公开招标失败项目转为单一来源谈判方式采购</w:t>
      </w:r>
    </w:p>
    <w:p w14:paraId="5B198425">
      <w:pPr>
        <w:snapToGrid w:val="0"/>
        <w:spacing w:line="360" w:lineRule="auto"/>
        <w:ind w:firstLine="433" w:firstLineChars="196"/>
        <w:rPr>
          <w:rFonts w:hint="eastAsia" w:ascii="仿宋" w:hAnsi="仿宋" w:eastAsia="仿宋" w:cs="仿宋"/>
          <w:b/>
          <w:sz w:val="22"/>
          <w:szCs w:val="22"/>
          <w:highlight w:val="none"/>
        </w:rPr>
      </w:pPr>
      <w:r>
        <w:rPr>
          <w:rFonts w:hint="eastAsia" w:ascii="仿宋" w:hAnsi="仿宋" w:eastAsia="仿宋" w:cs="仿宋"/>
          <w:b/>
          <w:sz w:val="22"/>
          <w:szCs w:val="22"/>
          <w:highlight w:val="none"/>
        </w:rPr>
        <w:t>35.1 谈判小组</w:t>
      </w:r>
    </w:p>
    <w:p w14:paraId="035FD169">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35.1.1 公开招标失败项目转为单一来源谈判方式采购后，评审委员会转为谈判小组，</w:t>
      </w:r>
      <w:r>
        <w:rPr>
          <w:rFonts w:hint="eastAsia" w:ascii="仿宋" w:hAnsi="仿宋" w:eastAsia="仿宋" w:cs="仿宋"/>
          <w:sz w:val="22"/>
          <w:szCs w:val="28"/>
          <w:highlight w:val="none"/>
        </w:rPr>
        <w:t>谈判小组成员由采购单位代表和有关专家共3人以上（含3人）的单数组成；其中专家的人数不得少于成员总数的三分之二；专家可重新抽取也可继续采用评审委员会内专家。</w:t>
      </w:r>
    </w:p>
    <w:p w14:paraId="7BBCC55F">
      <w:pPr>
        <w:tabs>
          <w:tab w:val="left" w:pos="-1080"/>
        </w:tabs>
        <w:snapToGrid w:val="0"/>
        <w:spacing w:line="360" w:lineRule="auto"/>
        <w:ind w:firstLine="440" w:firstLineChars="200"/>
        <w:rPr>
          <w:rFonts w:hint="eastAsia" w:ascii="仿宋" w:hAnsi="仿宋" w:eastAsia="仿宋" w:cs="仿宋"/>
          <w:sz w:val="22"/>
          <w:szCs w:val="28"/>
          <w:highlight w:val="none"/>
        </w:rPr>
      </w:pPr>
      <w:r>
        <w:rPr>
          <w:rFonts w:hint="eastAsia" w:ascii="仿宋" w:hAnsi="仿宋" w:eastAsia="仿宋" w:cs="仿宋"/>
          <w:sz w:val="22"/>
          <w:szCs w:val="22"/>
          <w:highlight w:val="none"/>
        </w:rPr>
        <w:t xml:space="preserve">35.1.2 </w:t>
      </w:r>
      <w:r>
        <w:rPr>
          <w:rFonts w:hint="eastAsia" w:ascii="仿宋" w:hAnsi="仿宋" w:eastAsia="仿宋" w:cs="仿宋"/>
          <w:sz w:val="22"/>
          <w:szCs w:val="28"/>
          <w:highlight w:val="none"/>
        </w:rPr>
        <w:t>谈判前，谈判小组将对单一来源供应商的谈判应答文件进行审查，</w:t>
      </w:r>
      <w:r>
        <w:rPr>
          <w:rFonts w:hint="eastAsia" w:ascii="仿宋" w:hAnsi="仿宋" w:eastAsia="仿宋" w:cs="仿宋"/>
          <w:bCs/>
          <w:sz w:val="22"/>
          <w:szCs w:val="28"/>
          <w:highlight w:val="none"/>
        </w:rPr>
        <w:t>当谈判应答文件出现下列情况之一的将视为无效，按废标处理，不得进入谈判，</w:t>
      </w:r>
      <w:r>
        <w:rPr>
          <w:rFonts w:hint="eastAsia" w:ascii="仿宋" w:hAnsi="仿宋" w:eastAsia="仿宋" w:cs="仿宋"/>
          <w:b/>
          <w:sz w:val="22"/>
          <w:szCs w:val="28"/>
          <w:highlight w:val="none"/>
        </w:rPr>
        <w:t>具体内容见原招标文件中投标文件初审表的《资格性检查表》部分以及谈判邀请中相应的变动部分。</w:t>
      </w:r>
    </w:p>
    <w:p w14:paraId="5401BBB4">
      <w:pPr>
        <w:snapToGrid w:val="0"/>
        <w:spacing w:line="360" w:lineRule="auto"/>
        <w:ind w:firstLine="433" w:firstLineChars="196"/>
        <w:rPr>
          <w:rFonts w:hint="eastAsia" w:ascii="仿宋" w:hAnsi="仿宋" w:eastAsia="仿宋" w:cs="仿宋"/>
          <w:b/>
          <w:sz w:val="22"/>
          <w:szCs w:val="22"/>
          <w:highlight w:val="none"/>
        </w:rPr>
      </w:pPr>
      <w:r>
        <w:rPr>
          <w:rFonts w:hint="eastAsia" w:ascii="仿宋" w:hAnsi="仿宋" w:eastAsia="仿宋" w:cs="仿宋"/>
          <w:b/>
          <w:sz w:val="22"/>
          <w:szCs w:val="22"/>
          <w:highlight w:val="none"/>
        </w:rPr>
        <w:t>35.2 谈判程序</w:t>
      </w:r>
    </w:p>
    <w:p w14:paraId="06B0B8D6">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35.2.1 参加谈判的供应商和谈判小组成员填写谈判登记表，并交验证明文件（法定代表人证明书、法人授权委托书、被授权的谈判代表身份证原件）。</w:t>
      </w:r>
    </w:p>
    <w:p w14:paraId="1B7D0B8D">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35.2.2 谈判小组主持人宣布谈判规则和谈判纪律。</w:t>
      </w:r>
    </w:p>
    <w:p w14:paraId="29975B6B">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35.2.3 在谈判中，谈判小组将就以下谈判内容跟供应商进行谈判：</w:t>
      </w:r>
    </w:p>
    <w:p w14:paraId="33E1D859">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（1）项目方案；</w:t>
      </w:r>
    </w:p>
    <w:p w14:paraId="622227B2">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（2）报价；</w:t>
      </w:r>
    </w:p>
    <w:p w14:paraId="0B286818">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（3）其它相关事项。</w:t>
      </w:r>
    </w:p>
    <w:p w14:paraId="16F5190C">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原招标文件或谈判邀请文件有实质性变动的，谈判小组应当通过</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通知供应商。</w:t>
      </w:r>
    </w:p>
    <w:p w14:paraId="1A0C16FB">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35.2.4 谈判小组可以用书面形式要求供应商对其谈判应答文件含义不明确的内容作必要的澄清或者说明，重要问题供应商应以书面形式进行澄清、说明。</w:t>
      </w:r>
    </w:p>
    <w:p w14:paraId="566841E9">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35.2.5 允许供应商在谈判结束之前根据谈判小组提出的内容进行澄清、修改或完善，或对项目方案进行相应的调整。</w:t>
      </w:r>
    </w:p>
    <w:p w14:paraId="40DD6ACD">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35.2.6 供应商对谈判应答文件进行修改，都应形成文字材料，并经供应商谈判授权人签字认可。</w:t>
      </w:r>
    </w:p>
    <w:p w14:paraId="3ECCC25B">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35.2.7 谈判小组与单一来源供应商进行谈判。供应商有两次更改机会；供应商应在规定的时间内提出最后更改及书面承诺。</w:t>
      </w:r>
    </w:p>
    <w:p w14:paraId="620E9100">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35.2.8 有下列情形之一的，供应商的谈判结果作废标处理，</w:t>
      </w:r>
      <w:r>
        <w:rPr>
          <w:rFonts w:hint="eastAsia" w:ascii="仿宋" w:hAnsi="仿宋" w:eastAsia="仿宋" w:cs="仿宋"/>
          <w:b/>
          <w:sz w:val="22"/>
          <w:szCs w:val="22"/>
          <w:highlight w:val="none"/>
        </w:rPr>
        <w:t>具体内容见原招标文件中投标文件初审表的《符合性检查表》部分以及谈判邀请中相应的变动部分。</w:t>
      </w:r>
    </w:p>
    <w:p w14:paraId="4225B0A3">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35.2.9 谈判结束后，谈判小组根据供应商提供的谈判应答文件、谈判过程中产生的相关资料，对供应商谈判应答文件进行评估与比较，提出书面评审意见。</w:t>
      </w:r>
    </w:p>
    <w:p w14:paraId="020F1051">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35.2.10 谈判小组将对谈判过程进行记录，以存档备查。</w:t>
      </w:r>
    </w:p>
    <w:p w14:paraId="29EF8575">
      <w:pPr>
        <w:snapToGrid w:val="0"/>
        <w:spacing w:line="360" w:lineRule="auto"/>
        <w:ind w:firstLine="433" w:firstLineChars="196"/>
        <w:rPr>
          <w:rFonts w:hint="eastAsia" w:ascii="仿宋" w:hAnsi="仿宋" w:eastAsia="仿宋" w:cs="仿宋"/>
          <w:b/>
          <w:sz w:val="22"/>
          <w:szCs w:val="22"/>
          <w:highlight w:val="none"/>
        </w:rPr>
      </w:pPr>
      <w:r>
        <w:rPr>
          <w:rFonts w:hint="eastAsia" w:ascii="仿宋" w:hAnsi="仿宋" w:eastAsia="仿宋" w:cs="仿宋"/>
          <w:b/>
          <w:sz w:val="22"/>
          <w:szCs w:val="22"/>
          <w:highlight w:val="none"/>
        </w:rPr>
        <w:t>35.3 评标方法和定标原则</w:t>
      </w:r>
    </w:p>
    <w:p w14:paraId="2F38E986">
      <w:pPr>
        <w:tabs>
          <w:tab w:val="left" w:pos="-1080"/>
        </w:tabs>
        <w:snapToGrid w:val="0"/>
        <w:spacing w:line="360" w:lineRule="auto"/>
        <w:ind w:firstLine="440" w:firstLineChars="200"/>
        <w:rPr>
          <w:rFonts w:hint="eastAsia" w:ascii="仿宋" w:hAnsi="仿宋" w:eastAsia="仿宋" w:cs="仿宋"/>
          <w:sz w:val="22"/>
          <w:szCs w:val="28"/>
          <w:highlight w:val="none"/>
        </w:rPr>
      </w:pPr>
      <w:r>
        <w:rPr>
          <w:rFonts w:hint="eastAsia" w:ascii="仿宋" w:hAnsi="仿宋" w:eastAsia="仿宋" w:cs="仿宋"/>
          <w:sz w:val="22"/>
          <w:szCs w:val="22"/>
          <w:highlight w:val="none"/>
        </w:rPr>
        <w:t xml:space="preserve">35.3.1 </w:t>
      </w:r>
      <w:r>
        <w:rPr>
          <w:rFonts w:hint="eastAsia" w:ascii="仿宋" w:hAnsi="仿宋" w:eastAsia="仿宋" w:cs="仿宋"/>
          <w:b/>
          <w:sz w:val="22"/>
          <w:szCs w:val="22"/>
          <w:highlight w:val="none"/>
        </w:rPr>
        <w:t>单一来源谈判采用</w:t>
      </w:r>
      <w:r>
        <w:rPr>
          <w:rFonts w:hint="eastAsia" w:ascii="仿宋" w:hAnsi="仿宋" w:eastAsia="仿宋" w:cs="仿宋"/>
          <w:b/>
          <w:sz w:val="22"/>
          <w:szCs w:val="22"/>
          <w:highlight w:val="none"/>
          <w:lang w:eastAsia="zh-CN"/>
        </w:rPr>
        <w:t>最低价法</w:t>
      </w:r>
      <w:r>
        <w:rPr>
          <w:rFonts w:hint="eastAsia" w:ascii="仿宋" w:hAnsi="仿宋" w:eastAsia="仿宋" w:cs="仿宋"/>
          <w:b/>
          <w:sz w:val="22"/>
          <w:szCs w:val="22"/>
          <w:highlight w:val="none"/>
        </w:rPr>
        <w:t>。</w:t>
      </w:r>
      <w:r>
        <w:rPr>
          <w:rFonts w:hint="eastAsia" w:ascii="仿宋" w:hAnsi="仿宋" w:eastAsia="仿宋" w:cs="仿宋"/>
          <w:sz w:val="22"/>
          <w:szCs w:val="28"/>
          <w:highlight w:val="none"/>
        </w:rPr>
        <w:t>原招标文件若采用</w:t>
      </w:r>
      <w:r>
        <w:rPr>
          <w:rFonts w:hint="eastAsia" w:ascii="仿宋" w:hAnsi="仿宋" w:eastAsia="仿宋" w:cs="仿宋"/>
          <w:bCs/>
          <w:sz w:val="22"/>
          <w:szCs w:val="28"/>
          <w:highlight w:val="none"/>
          <w:lang w:eastAsia="zh-CN"/>
        </w:rPr>
        <w:t>最低价法</w:t>
      </w:r>
      <w:r>
        <w:rPr>
          <w:rFonts w:hint="eastAsia" w:ascii="仿宋" w:hAnsi="仿宋" w:eastAsia="仿宋" w:cs="仿宋"/>
          <w:bCs/>
          <w:sz w:val="22"/>
          <w:szCs w:val="28"/>
          <w:highlight w:val="none"/>
        </w:rPr>
        <w:t>以外的评标方法，转为单一来源后，评标方法改为</w:t>
      </w:r>
      <w:r>
        <w:rPr>
          <w:rFonts w:hint="eastAsia" w:ascii="仿宋" w:hAnsi="仿宋" w:eastAsia="仿宋" w:cs="仿宋"/>
          <w:sz w:val="22"/>
          <w:szCs w:val="22"/>
          <w:highlight w:val="none"/>
          <w:lang w:eastAsia="zh-CN"/>
        </w:rPr>
        <w:t>最低价法</w:t>
      </w:r>
      <w:r>
        <w:rPr>
          <w:rFonts w:hint="eastAsia" w:ascii="仿宋" w:hAnsi="仿宋" w:eastAsia="仿宋" w:cs="仿宋"/>
          <w:sz w:val="22"/>
          <w:szCs w:val="22"/>
          <w:highlight w:val="none"/>
        </w:rPr>
        <w:t>。谈判小组</w:t>
      </w:r>
      <w:r>
        <w:rPr>
          <w:rFonts w:hint="eastAsia" w:ascii="仿宋" w:hAnsi="仿宋" w:eastAsia="仿宋" w:cs="仿宋"/>
          <w:sz w:val="22"/>
          <w:szCs w:val="28"/>
          <w:highlight w:val="none"/>
        </w:rPr>
        <w:t>对谈判应答文件进行评审和比较，对供应商最终的方案、服务和投资等谈判结果按本通用条款第28.1.1款的</w:t>
      </w:r>
      <w:r>
        <w:rPr>
          <w:rFonts w:hint="eastAsia" w:ascii="仿宋" w:hAnsi="仿宋" w:eastAsia="仿宋" w:cs="仿宋"/>
          <w:b/>
          <w:bCs/>
          <w:sz w:val="22"/>
          <w:szCs w:val="28"/>
          <w:highlight w:val="none"/>
        </w:rPr>
        <w:t>最低价法</w:t>
      </w:r>
      <w:r>
        <w:rPr>
          <w:rFonts w:hint="eastAsia" w:ascii="仿宋" w:hAnsi="仿宋" w:eastAsia="仿宋" w:cs="仿宋"/>
          <w:sz w:val="22"/>
          <w:szCs w:val="28"/>
          <w:highlight w:val="none"/>
        </w:rPr>
        <w:t>进行评审。</w:t>
      </w:r>
    </w:p>
    <w:p w14:paraId="79F517ED">
      <w:pPr>
        <w:tabs>
          <w:tab w:val="left" w:pos="-1080"/>
        </w:tabs>
        <w:snapToGrid w:val="0"/>
        <w:spacing w:line="360" w:lineRule="auto"/>
        <w:ind w:firstLine="440" w:firstLineChars="200"/>
        <w:rPr>
          <w:rFonts w:hint="eastAsia" w:ascii="仿宋" w:hAnsi="仿宋" w:eastAsia="仿宋" w:cs="仿宋"/>
          <w:sz w:val="22"/>
          <w:szCs w:val="28"/>
          <w:highlight w:val="none"/>
        </w:rPr>
      </w:pPr>
    </w:p>
    <w:p w14:paraId="4A69AD8C">
      <w:pPr>
        <w:pStyle w:val="3"/>
        <w:spacing w:line="360" w:lineRule="auto"/>
        <w:jc w:val="center"/>
        <w:rPr>
          <w:rFonts w:hint="eastAsia" w:ascii="仿宋" w:hAnsi="仿宋" w:eastAsia="仿宋" w:cs="仿宋"/>
          <w:b w:val="0"/>
          <w:bCs w:val="0"/>
          <w:color w:val="000000"/>
          <w:kern w:val="2"/>
          <w:highlight w:val="none"/>
        </w:rPr>
      </w:pPr>
      <w:bookmarkStart w:id="193" w:name="_Toc29041"/>
      <w:bookmarkStart w:id="194" w:name="_Toc26392"/>
      <w:r>
        <w:rPr>
          <w:rFonts w:hint="eastAsia" w:ascii="仿宋" w:hAnsi="仿宋" w:eastAsia="仿宋" w:cs="仿宋"/>
          <w:b w:val="0"/>
          <w:bCs w:val="0"/>
          <w:color w:val="000000"/>
          <w:kern w:val="2"/>
          <w:highlight w:val="none"/>
        </w:rPr>
        <w:t>第九章  合同的授予</w:t>
      </w:r>
      <w:bookmarkEnd w:id="189"/>
      <w:bookmarkEnd w:id="190"/>
      <w:bookmarkEnd w:id="191"/>
      <w:bookmarkEnd w:id="192"/>
      <w:bookmarkEnd w:id="193"/>
      <w:bookmarkEnd w:id="194"/>
    </w:p>
    <w:p w14:paraId="3E0649F0">
      <w:pPr>
        <w:spacing w:line="360" w:lineRule="auto"/>
        <w:rPr>
          <w:rFonts w:hint="eastAsia" w:ascii="仿宋" w:hAnsi="仿宋" w:eastAsia="仿宋" w:cs="仿宋"/>
          <w:sz w:val="24"/>
          <w:highlight w:val="none"/>
        </w:rPr>
      </w:pPr>
      <w:bookmarkStart w:id="195" w:name="_33._合同授予标准"/>
      <w:bookmarkEnd w:id="195"/>
      <w:bookmarkStart w:id="196" w:name="_Toc73521674"/>
      <w:bookmarkStart w:id="197" w:name="_Toc100052408"/>
      <w:bookmarkStart w:id="198" w:name="_Toc73521586"/>
      <w:bookmarkStart w:id="199" w:name="_Toc73517679"/>
      <w:bookmarkStart w:id="200" w:name="_Toc73518157"/>
      <w:r>
        <w:rPr>
          <w:rFonts w:hint="eastAsia" w:ascii="仿宋" w:hAnsi="仿宋" w:eastAsia="仿宋" w:cs="仿宋"/>
          <w:sz w:val="24"/>
          <w:highlight w:val="none"/>
        </w:rPr>
        <w:t>36．合同授予标准</w:t>
      </w:r>
      <w:bookmarkEnd w:id="196"/>
      <w:bookmarkEnd w:id="197"/>
      <w:bookmarkEnd w:id="198"/>
      <w:bookmarkEnd w:id="199"/>
      <w:bookmarkEnd w:id="200"/>
    </w:p>
    <w:p w14:paraId="2F5F9CED">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36.1 本项目的合同将授予按本通用条款第七章所确定的中标人。</w:t>
      </w:r>
    </w:p>
    <w:p w14:paraId="7DD0DC35">
      <w:pPr>
        <w:spacing w:line="360" w:lineRule="auto"/>
        <w:rPr>
          <w:rFonts w:hint="eastAsia" w:ascii="仿宋" w:hAnsi="仿宋" w:eastAsia="仿宋" w:cs="仿宋"/>
          <w:sz w:val="24"/>
          <w:highlight w:val="none"/>
        </w:rPr>
      </w:pPr>
      <w:bookmarkStart w:id="201" w:name="_Toc73517680"/>
      <w:bookmarkStart w:id="202" w:name="_Toc73521675"/>
      <w:bookmarkStart w:id="203" w:name="_Toc100052409"/>
      <w:bookmarkStart w:id="204" w:name="_Toc73518158"/>
      <w:bookmarkStart w:id="205" w:name="_Toc73521587"/>
      <w:r>
        <w:rPr>
          <w:rFonts w:hint="eastAsia" w:ascii="仿宋" w:hAnsi="仿宋" w:eastAsia="仿宋" w:cs="仿宋"/>
          <w:sz w:val="24"/>
          <w:highlight w:val="none"/>
        </w:rPr>
        <w:t>37．</w:t>
      </w:r>
      <w:bookmarkEnd w:id="201"/>
      <w:bookmarkEnd w:id="202"/>
      <w:bookmarkEnd w:id="203"/>
      <w:bookmarkEnd w:id="204"/>
      <w:bookmarkEnd w:id="205"/>
      <w:r>
        <w:rPr>
          <w:rFonts w:hint="eastAsia" w:ascii="仿宋" w:hAnsi="仿宋" w:eastAsia="仿宋" w:cs="仿宋"/>
          <w:sz w:val="24"/>
          <w:highlight w:val="none"/>
        </w:rPr>
        <w:t>接受和拒绝任何或所有投标的权力</w:t>
      </w:r>
    </w:p>
    <w:p w14:paraId="1C7CC0D3">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 xml:space="preserve">37.1 </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和采购单位保留在投标之前任何时候接受或拒绝任何投标或所有投标，以及宣布招标无效的权力，对受影响的投标人不承担任何责任，也无义务向受影响的投标人解释采取这一行动的理由。</w:t>
      </w:r>
    </w:p>
    <w:p w14:paraId="4BB33717">
      <w:pPr>
        <w:spacing w:line="360" w:lineRule="auto"/>
        <w:rPr>
          <w:rFonts w:hint="eastAsia" w:ascii="仿宋" w:hAnsi="仿宋" w:eastAsia="仿宋" w:cs="仿宋"/>
          <w:sz w:val="24"/>
          <w:highlight w:val="none"/>
        </w:rPr>
      </w:pPr>
      <w:bookmarkStart w:id="206" w:name="_Toc73518160"/>
      <w:bookmarkStart w:id="207" w:name="_Toc73521677"/>
      <w:bookmarkStart w:id="208" w:name="_Toc100052410"/>
      <w:bookmarkStart w:id="209" w:name="_Toc73517682"/>
      <w:bookmarkStart w:id="210" w:name="_Toc73521589"/>
      <w:r>
        <w:rPr>
          <w:rFonts w:hint="eastAsia" w:ascii="仿宋" w:hAnsi="仿宋" w:eastAsia="仿宋" w:cs="仿宋"/>
          <w:sz w:val="24"/>
          <w:highlight w:val="none"/>
        </w:rPr>
        <w:t>38．合同协议书的签订</w:t>
      </w:r>
      <w:bookmarkEnd w:id="206"/>
      <w:bookmarkEnd w:id="207"/>
      <w:bookmarkEnd w:id="208"/>
      <w:bookmarkEnd w:id="209"/>
      <w:bookmarkEnd w:id="210"/>
    </w:p>
    <w:p w14:paraId="641E6D0E">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38.1 中标人将于中标通知书发出之日起</w:t>
      </w:r>
      <w:r>
        <w:rPr>
          <w:rFonts w:hint="eastAsia" w:ascii="仿宋" w:hAnsi="仿宋" w:eastAsia="仿宋" w:cs="仿宋"/>
          <w:sz w:val="22"/>
          <w:szCs w:val="22"/>
          <w:highlight w:val="none"/>
          <w:u w:val="single"/>
        </w:rPr>
        <w:t xml:space="preserve"> 10 </w:t>
      </w:r>
      <w:r>
        <w:rPr>
          <w:rFonts w:hint="eastAsia" w:ascii="仿宋" w:hAnsi="仿宋" w:eastAsia="仿宋" w:cs="仿宋"/>
          <w:sz w:val="22"/>
          <w:szCs w:val="22"/>
          <w:highlight w:val="none"/>
        </w:rPr>
        <w:t>个工作日内，按照招标文件和投标文件内容与采购单位签订书面合同，合同书可参考本招标文件</w:t>
      </w:r>
      <w:r>
        <w:rPr>
          <w:rFonts w:hint="eastAsia" w:ascii="仿宋" w:hAnsi="仿宋" w:eastAsia="仿宋" w:cs="仿宋"/>
          <w:sz w:val="22"/>
          <w:szCs w:val="22"/>
          <w:highlight w:val="none"/>
          <w:lang w:eastAsia="zh-CN"/>
        </w:rPr>
        <w:t>第二册</w:t>
      </w:r>
      <w:r>
        <w:rPr>
          <w:rFonts w:hint="eastAsia" w:ascii="仿宋" w:hAnsi="仿宋" w:eastAsia="仿宋" w:cs="仿宋"/>
          <w:sz w:val="22"/>
          <w:szCs w:val="22"/>
          <w:highlight w:val="none"/>
        </w:rPr>
        <w:t>第四章规定的合同样本；合同的实质性内容应当符合招标文件的规定；</w:t>
      </w:r>
    </w:p>
    <w:p w14:paraId="2494B2EC">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38.2 中标人如不按本通用条款第38.1款的规定与采购单位签订合同，给</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造成的损失的，还应当予以赔偿，同时承担相应法律责任；</w:t>
      </w:r>
    </w:p>
    <w:p w14:paraId="4338BE40">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38.3 中标人应当按照合同约定履行义务，完成中标项目，未经采购人及监管部门许可不得将中标项目转让（转包）给他人；</w:t>
      </w:r>
    </w:p>
    <w:p w14:paraId="40B7F7B2">
      <w:pPr>
        <w:spacing w:line="360" w:lineRule="auto"/>
        <w:rPr>
          <w:rFonts w:hint="eastAsia" w:ascii="仿宋" w:hAnsi="仿宋" w:eastAsia="仿宋" w:cs="仿宋"/>
          <w:sz w:val="24"/>
          <w:highlight w:val="none"/>
        </w:rPr>
      </w:pPr>
      <w:bookmarkStart w:id="211" w:name="_Toc100052411"/>
      <w:bookmarkStart w:id="212" w:name="_Toc73517683"/>
      <w:bookmarkStart w:id="213" w:name="_Toc73521678"/>
      <w:bookmarkStart w:id="214" w:name="_Toc73518161"/>
      <w:bookmarkStart w:id="215" w:name="_Toc73521590"/>
      <w:r>
        <w:rPr>
          <w:rFonts w:hint="eastAsia" w:ascii="仿宋" w:hAnsi="仿宋" w:eastAsia="仿宋" w:cs="仿宋"/>
          <w:sz w:val="24"/>
          <w:highlight w:val="none"/>
        </w:rPr>
        <w:t>39．履约担保</w:t>
      </w:r>
      <w:bookmarkEnd w:id="211"/>
      <w:bookmarkEnd w:id="212"/>
      <w:bookmarkEnd w:id="213"/>
      <w:bookmarkEnd w:id="214"/>
      <w:bookmarkEnd w:id="215"/>
    </w:p>
    <w:p w14:paraId="551D33C6">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39.1 在签订项目承包合同的同时，中标人应按投标须知前附表第19项规定的金额向采购单位提交履约保函或履约保证金；</w:t>
      </w:r>
    </w:p>
    <w:p w14:paraId="3EA9E8B3">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39.2 允许供应商自主选择以支票、汇票、本票、保函等非现金方式提交履约担保；中标人提交履约担保不是合同签订的前提条件，不要求中标人提供除法律、法规明确规定外的其他担保。</w:t>
      </w:r>
    </w:p>
    <w:p w14:paraId="19E0DEBB">
      <w:pPr>
        <w:spacing w:line="360" w:lineRule="auto"/>
        <w:rPr>
          <w:rFonts w:hint="eastAsia" w:ascii="仿宋" w:hAnsi="仿宋" w:eastAsia="仿宋" w:cs="仿宋"/>
          <w:sz w:val="24"/>
          <w:highlight w:val="none"/>
        </w:rPr>
      </w:pPr>
      <w:r>
        <w:rPr>
          <w:rFonts w:hint="eastAsia" w:ascii="仿宋" w:hAnsi="仿宋" w:eastAsia="仿宋" w:cs="仿宋"/>
          <w:sz w:val="24"/>
          <w:highlight w:val="none"/>
        </w:rPr>
        <w:t>40．招标代理服务费</w:t>
      </w:r>
    </w:p>
    <w:p w14:paraId="313BFD08">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40.1 根据《深圳市财政委员会关于规范深圳市社会采购代理机构管理有关事项的补充通知》（深财购〔2018〕27号）文件相关规定，招标代理服务费以中标金额为基数、按差额定率累进法计算后收取，不足人民币</w:t>
      </w:r>
      <w:r>
        <w:rPr>
          <w:rFonts w:hint="eastAsia" w:ascii="仿宋" w:hAnsi="仿宋" w:eastAsia="仿宋" w:cs="仿宋"/>
          <w:sz w:val="22"/>
          <w:szCs w:val="22"/>
          <w:highlight w:val="none"/>
          <w:lang w:val="en-US" w:eastAsia="zh-CN"/>
        </w:rPr>
        <w:t>伍仟</w:t>
      </w:r>
      <w:r>
        <w:rPr>
          <w:rFonts w:hint="eastAsia" w:ascii="仿宋" w:hAnsi="仿宋" w:eastAsia="仿宋" w:cs="仿宋"/>
          <w:sz w:val="22"/>
          <w:szCs w:val="22"/>
          <w:highlight w:val="none"/>
        </w:rPr>
        <w:t>元的按照固定额</w:t>
      </w:r>
      <w:r>
        <w:rPr>
          <w:rFonts w:hint="eastAsia" w:ascii="仿宋" w:hAnsi="仿宋" w:eastAsia="仿宋" w:cs="仿宋"/>
          <w:sz w:val="22"/>
          <w:szCs w:val="22"/>
          <w:highlight w:val="none"/>
          <w:lang w:val="en-US" w:eastAsia="zh-CN"/>
        </w:rPr>
        <w:t>伍仟</w:t>
      </w:r>
      <w:r>
        <w:rPr>
          <w:rFonts w:hint="eastAsia" w:ascii="仿宋" w:hAnsi="仿宋" w:eastAsia="仿宋" w:cs="仿宋"/>
          <w:sz w:val="22"/>
          <w:szCs w:val="22"/>
          <w:highlight w:val="none"/>
        </w:rPr>
        <w:t>元收取。具体计取费率标准如下表所示：</w:t>
      </w:r>
    </w:p>
    <w:p w14:paraId="3332F605">
      <w:pPr>
        <w:snapToGrid w:val="0"/>
        <w:ind w:firstLine="431" w:firstLineChars="196"/>
        <w:jc w:val="center"/>
        <w:rPr>
          <w:rFonts w:hint="eastAsia" w:ascii="仿宋" w:hAnsi="仿宋" w:eastAsia="仿宋" w:cs="仿宋"/>
          <w:sz w:val="22"/>
          <w:szCs w:val="28"/>
          <w:highlight w:val="none"/>
        </w:rPr>
      </w:pPr>
      <w:r>
        <w:rPr>
          <w:rFonts w:hint="eastAsia" w:ascii="仿宋" w:hAnsi="仿宋" w:eastAsia="仿宋" w:cs="仿宋"/>
          <w:sz w:val="22"/>
          <w:szCs w:val="28"/>
          <w:highlight w:val="none"/>
        </w:rPr>
        <w:drawing>
          <wp:inline distT="0" distB="0" distL="114300" distR="114300">
            <wp:extent cx="4413885" cy="3452495"/>
            <wp:effectExtent l="0" t="0" r="5715" b="1460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8"/>
                    <a:stretch>
                      <a:fillRect/>
                    </a:stretch>
                  </pic:blipFill>
                  <pic:spPr>
                    <a:xfrm>
                      <a:off x="0" y="0"/>
                      <a:ext cx="4413885" cy="3452495"/>
                    </a:xfrm>
                    <a:prstGeom prst="rect">
                      <a:avLst/>
                    </a:prstGeom>
                    <a:noFill/>
                    <a:ln>
                      <a:noFill/>
                    </a:ln>
                  </pic:spPr>
                </pic:pic>
              </a:graphicData>
            </a:graphic>
          </wp:inline>
        </w:drawing>
      </w:r>
    </w:p>
    <w:p w14:paraId="497FF594">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例如：某服务招标代理业务中标金额为600万元，计算招标代理服务收费额如下：</w:t>
      </w:r>
    </w:p>
    <w:p w14:paraId="146BEF9E">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100万元×1.5%=1.5万元</w:t>
      </w:r>
    </w:p>
    <w:p w14:paraId="1FD80CD3">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（500-100）万元×0.8%=3.2万元</w:t>
      </w:r>
    </w:p>
    <w:p w14:paraId="2706BE46">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（600-500）万元×0.45%=0.45万元</w:t>
      </w:r>
    </w:p>
    <w:p w14:paraId="56E9B7A8">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合计收费=1.5+3.2+0.45=5.15万元</w:t>
      </w:r>
    </w:p>
    <w:p w14:paraId="62BFE009">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40.2 中标人须在中标公告公示期结束后，领取《中标通知书》前，向招标（采购）代理机构缴纳招标代理服务费。</w:t>
      </w:r>
    </w:p>
    <w:p w14:paraId="60E0F150">
      <w:pPr>
        <w:spacing w:line="360" w:lineRule="auto"/>
        <w:ind w:left="420" w:leftChars="200"/>
        <w:rPr>
          <w:rFonts w:hint="eastAsia" w:ascii="仿宋" w:hAnsi="仿宋" w:eastAsia="仿宋" w:cs="仿宋"/>
          <w:sz w:val="22"/>
          <w:szCs w:val="22"/>
          <w:highlight w:val="none"/>
        </w:rPr>
      </w:pPr>
      <w:r>
        <w:rPr>
          <w:rFonts w:hint="eastAsia" w:ascii="仿宋" w:hAnsi="仿宋" w:eastAsia="仿宋" w:cs="仿宋"/>
          <w:sz w:val="22"/>
          <w:szCs w:val="22"/>
          <w:highlight w:val="none"/>
        </w:rPr>
        <w:t>40.3 招标代理服务费以转账、现金形式支付。</w:t>
      </w:r>
    </w:p>
    <w:p w14:paraId="48A4459F">
      <w:pPr>
        <w:spacing w:line="360" w:lineRule="auto"/>
        <w:rPr>
          <w:rFonts w:hint="eastAsia" w:ascii="仿宋" w:hAnsi="仿宋" w:eastAsia="仿宋" w:cs="仿宋"/>
          <w:sz w:val="24"/>
          <w:highlight w:val="none"/>
        </w:rPr>
      </w:pPr>
      <w:r>
        <w:rPr>
          <w:rFonts w:hint="eastAsia" w:ascii="仿宋" w:hAnsi="仿宋" w:eastAsia="仿宋" w:cs="仿宋"/>
          <w:sz w:val="24"/>
          <w:highlight w:val="none"/>
        </w:rPr>
        <w:t>41．质疑提出与答复</w:t>
      </w:r>
    </w:p>
    <w:p w14:paraId="326C15A5">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41.1 提出质疑</w:t>
      </w:r>
    </w:p>
    <w:p w14:paraId="011FAC92">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参与采购活动的供应商认为自己的权益在采购活动中受到损害的，应当自知道或者应当知道其权益受到损害之日起</w:t>
      </w:r>
      <w:r>
        <w:rPr>
          <w:rFonts w:hint="eastAsia" w:ascii="仿宋" w:hAnsi="仿宋" w:eastAsia="仿宋" w:cs="仿宋"/>
          <w:sz w:val="22"/>
          <w:szCs w:val="22"/>
          <w:highlight w:val="none"/>
          <w:lang w:val="en-US" w:eastAsia="zh-CN"/>
        </w:rPr>
        <w:t>7</w:t>
      </w:r>
      <w:r>
        <w:rPr>
          <w:rFonts w:hint="eastAsia" w:ascii="仿宋" w:hAnsi="仿宋" w:eastAsia="仿宋" w:cs="仿宋"/>
          <w:sz w:val="22"/>
          <w:szCs w:val="22"/>
          <w:highlight w:val="none"/>
        </w:rPr>
        <w:t>个工作日内向采购人、</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以书面形式提出质疑。</w:t>
      </w:r>
    </w:p>
    <w:p w14:paraId="2E57138C">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41</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2</w:t>
      </w:r>
      <w:r>
        <w:rPr>
          <w:rFonts w:hint="eastAsia" w:ascii="仿宋" w:hAnsi="仿宋" w:eastAsia="仿宋" w:cs="仿宋"/>
          <w:sz w:val="22"/>
          <w:szCs w:val="22"/>
          <w:highlight w:val="none"/>
        </w:rPr>
        <w:t>质疑条件</w:t>
      </w:r>
    </w:p>
    <w:p w14:paraId="6DAB5F8C">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41</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2</w:t>
      </w:r>
      <w:r>
        <w:rPr>
          <w:rFonts w:hint="eastAsia" w:ascii="仿宋" w:hAnsi="仿宋" w:eastAsia="仿宋" w:cs="仿宋"/>
          <w:sz w:val="22"/>
          <w:szCs w:val="22"/>
          <w:highlight w:val="none"/>
        </w:rPr>
        <w:t>.1提出质疑的供应商应当是参与所质疑项目采购活动的供应商；以联合体形式参与的，质疑应当由组成联合体的所有成员共同提出；</w:t>
      </w:r>
    </w:p>
    <w:p w14:paraId="2E36FF45">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41</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2</w:t>
      </w:r>
      <w:r>
        <w:rPr>
          <w:rFonts w:hint="eastAsia" w:ascii="仿宋" w:hAnsi="仿宋" w:eastAsia="仿宋" w:cs="仿宋"/>
          <w:sz w:val="22"/>
          <w:szCs w:val="22"/>
          <w:highlight w:val="none"/>
        </w:rPr>
        <w:t>.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3EDEDE07">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41</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2</w:t>
      </w:r>
      <w:r>
        <w:rPr>
          <w:rFonts w:hint="eastAsia" w:ascii="仿宋" w:hAnsi="仿宋" w:eastAsia="仿宋" w:cs="仿宋"/>
          <w:sz w:val="22"/>
          <w:szCs w:val="22"/>
          <w:highlight w:val="none"/>
        </w:rPr>
        <w:t>.3应提交书面质疑函，质疑函应当包括以下内容：</w:t>
      </w:r>
    </w:p>
    <w:p w14:paraId="746BCD47">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（1）供应商的名称（或者姓名）、地址、邮编、邮箱、联系人及联系电话；</w:t>
      </w:r>
    </w:p>
    <w:p w14:paraId="5F9535BB">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（2）质疑项目的名称、编号；</w:t>
      </w:r>
    </w:p>
    <w:p w14:paraId="4F718E33">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（3）具体、明确的质疑对象、质疑事项和质疑请求；</w:t>
      </w:r>
    </w:p>
    <w:p w14:paraId="49432DD7">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（4）因质疑事项而受损害的权益；</w:t>
      </w:r>
    </w:p>
    <w:p w14:paraId="29794F2F">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（5）事实依据；</w:t>
      </w:r>
    </w:p>
    <w:p w14:paraId="3C376E33">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（6）必要的法律依据；</w:t>
      </w:r>
    </w:p>
    <w:p w14:paraId="603B7F16">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（7）提出质疑的日期。</w:t>
      </w:r>
    </w:p>
    <w:p w14:paraId="59D51F50">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供应商为自然人的，应当由本人签字；供应商为法人或者其他组织的，应当由法定代表人（负责人），或者其授权代理人签字或者盖章，并加盖公章。</w:t>
      </w:r>
    </w:p>
    <w:p w14:paraId="762B2E85">
      <w:pPr>
        <w:snapToGrid w:val="0"/>
        <w:spacing w:line="360" w:lineRule="auto"/>
        <w:ind w:firstLine="431" w:firstLineChars="196"/>
        <w:rPr>
          <w:rFonts w:hint="eastAsia" w:ascii="仿宋" w:hAnsi="仿宋" w:eastAsia="仿宋" w:cs="仿宋"/>
          <w:highlight w:val="none"/>
          <w:lang w:val="en-US" w:eastAsia="zh-CN"/>
        </w:rPr>
      </w:pPr>
      <w:r>
        <w:rPr>
          <w:rFonts w:hint="eastAsia" w:ascii="仿宋" w:hAnsi="仿宋" w:eastAsia="仿宋" w:cs="仿宋"/>
          <w:sz w:val="22"/>
          <w:szCs w:val="22"/>
          <w:highlight w:val="none"/>
          <w:lang w:val="en-US" w:eastAsia="zh-CN"/>
        </w:rPr>
        <w:t xml:space="preserve">41.2.4 </w:t>
      </w:r>
      <w:r>
        <w:rPr>
          <w:rFonts w:hint="eastAsia" w:ascii="仿宋" w:hAnsi="仿宋" w:eastAsia="仿宋" w:cs="仿宋"/>
          <w:sz w:val="22"/>
          <w:szCs w:val="22"/>
          <w:highlight w:val="none"/>
        </w:rPr>
        <w:t>质疑投诉人应保证质疑投诉内容的真实性和可靠性，并承担相应的法律责任。</w:t>
      </w:r>
    </w:p>
    <w:p w14:paraId="6802E32D">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41</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提交材料</w:t>
      </w:r>
    </w:p>
    <w:p w14:paraId="3EC6BE5A">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14:paraId="194493D3">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44B73A6">
      <w:pPr>
        <w:snapToGrid w:val="0"/>
        <w:spacing w:line="360" w:lineRule="auto"/>
        <w:ind w:firstLine="431" w:firstLineChars="196"/>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41.4 提交方式</w:t>
      </w:r>
    </w:p>
    <w:p w14:paraId="404DADEC">
      <w:pPr>
        <w:snapToGrid w:val="0"/>
        <w:spacing w:line="360" w:lineRule="auto"/>
        <w:ind w:firstLine="431" w:firstLineChars="196"/>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供应商须将</w:t>
      </w:r>
      <w:r>
        <w:rPr>
          <w:rFonts w:hint="eastAsia" w:ascii="仿宋" w:hAnsi="仿宋" w:eastAsia="仿宋" w:cs="仿宋"/>
          <w:sz w:val="22"/>
          <w:szCs w:val="22"/>
          <w:highlight w:val="none"/>
          <w:lang w:eastAsia="zh-CN"/>
        </w:rPr>
        <w:t>质疑</w:t>
      </w:r>
      <w:r>
        <w:rPr>
          <w:rFonts w:hint="eastAsia" w:ascii="仿宋" w:hAnsi="仿宋" w:eastAsia="仿宋" w:cs="仿宋"/>
          <w:sz w:val="22"/>
          <w:szCs w:val="22"/>
          <w:highlight w:val="none"/>
        </w:rPr>
        <w:t>资料原件</w:t>
      </w:r>
      <w:r>
        <w:rPr>
          <w:rFonts w:hint="eastAsia" w:ascii="仿宋" w:hAnsi="仿宋" w:eastAsia="仿宋" w:cs="仿宋"/>
          <w:sz w:val="22"/>
          <w:szCs w:val="22"/>
          <w:highlight w:val="none"/>
          <w:lang w:eastAsia="zh-CN"/>
        </w:rPr>
        <w:t>现场</w:t>
      </w:r>
      <w:r>
        <w:rPr>
          <w:rFonts w:hint="eastAsia" w:ascii="仿宋" w:hAnsi="仿宋" w:eastAsia="仿宋" w:cs="仿宋"/>
          <w:sz w:val="22"/>
          <w:szCs w:val="22"/>
          <w:highlight w:val="none"/>
        </w:rPr>
        <w:t>提交至或</w:t>
      </w:r>
      <w:r>
        <w:rPr>
          <w:rFonts w:hint="eastAsia" w:ascii="仿宋" w:hAnsi="仿宋" w:eastAsia="仿宋" w:cs="仿宋"/>
          <w:sz w:val="22"/>
          <w:szCs w:val="22"/>
          <w:highlight w:val="none"/>
          <w:lang w:eastAsia="zh-CN"/>
        </w:rPr>
        <w:t>邮寄送达</w:t>
      </w:r>
      <w:r>
        <w:rPr>
          <w:rFonts w:hint="eastAsia" w:ascii="仿宋" w:hAnsi="仿宋" w:eastAsia="仿宋" w:cs="仿宋"/>
          <w:sz w:val="22"/>
          <w:szCs w:val="22"/>
          <w:highlight w:val="none"/>
        </w:rPr>
        <w:t>至</w:t>
      </w:r>
      <w:r>
        <w:rPr>
          <w:rFonts w:hint="eastAsia" w:ascii="仿宋" w:hAnsi="仿宋" w:eastAsia="仿宋" w:cs="仿宋"/>
          <w:sz w:val="22"/>
          <w:szCs w:val="22"/>
          <w:highlight w:val="none"/>
          <w:lang w:eastAsia="zh-CN"/>
        </w:rPr>
        <w:t>代理机构。</w:t>
      </w:r>
    </w:p>
    <w:p w14:paraId="2CE6C620">
      <w:pPr>
        <w:snapToGrid w:val="0"/>
        <w:spacing w:line="360" w:lineRule="auto"/>
        <w:ind w:firstLine="431" w:firstLineChars="196"/>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4</w:t>
      </w:r>
      <w:r>
        <w:rPr>
          <w:rFonts w:hint="eastAsia" w:ascii="仿宋" w:hAnsi="仿宋" w:eastAsia="仿宋" w:cs="仿宋"/>
          <w:sz w:val="22"/>
          <w:szCs w:val="22"/>
          <w:highlight w:val="none"/>
          <w:lang w:val="en-US" w:eastAsia="zh-CN"/>
        </w:rPr>
        <w:t>1</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5</w:t>
      </w:r>
      <w:r>
        <w:rPr>
          <w:rFonts w:hint="eastAsia" w:ascii="仿宋" w:hAnsi="仿宋" w:eastAsia="仿宋" w:cs="仿宋"/>
          <w:sz w:val="22"/>
          <w:szCs w:val="22"/>
          <w:highlight w:val="none"/>
        </w:rPr>
        <w:t xml:space="preserve"> 受理</w:t>
      </w:r>
      <w:r>
        <w:rPr>
          <w:rFonts w:hint="eastAsia" w:ascii="仿宋" w:hAnsi="仿宋" w:eastAsia="仿宋" w:cs="仿宋"/>
          <w:sz w:val="22"/>
          <w:szCs w:val="22"/>
          <w:highlight w:val="none"/>
          <w:lang w:eastAsia="zh-CN"/>
        </w:rPr>
        <w:t>程序</w:t>
      </w:r>
    </w:p>
    <w:p w14:paraId="6B476ADE">
      <w:pPr>
        <w:spacing w:line="360" w:lineRule="auto"/>
        <w:ind w:firstLine="431" w:firstLineChars="196"/>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4</w:t>
      </w:r>
      <w:r>
        <w:rPr>
          <w:rFonts w:hint="eastAsia" w:ascii="仿宋" w:hAnsi="仿宋" w:eastAsia="仿宋" w:cs="仿宋"/>
          <w:sz w:val="22"/>
          <w:szCs w:val="22"/>
          <w:highlight w:val="none"/>
          <w:lang w:val="en-US" w:eastAsia="zh-CN"/>
        </w:rPr>
        <w:t>1</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5.1</w:t>
      </w:r>
      <w:r>
        <w:rPr>
          <w:rFonts w:hint="eastAsia" w:ascii="仿宋" w:hAnsi="仿宋" w:eastAsia="仿宋" w:cs="仿宋"/>
          <w:sz w:val="22"/>
          <w:szCs w:val="22"/>
          <w:highlight w:val="none"/>
        </w:rPr>
        <w:t>供应商提交的质疑符合受理条件的，</w:t>
      </w:r>
      <w:r>
        <w:rPr>
          <w:rFonts w:hint="eastAsia" w:ascii="仿宋" w:hAnsi="仿宋" w:eastAsia="仿宋" w:cs="仿宋"/>
          <w:sz w:val="22"/>
          <w:szCs w:val="22"/>
          <w:highlight w:val="none"/>
          <w:lang w:eastAsia="zh-CN"/>
        </w:rPr>
        <w:t>代理机构</w:t>
      </w:r>
      <w:r>
        <w:rPr>
          <w:rFonts w:hint="eastAsia" w:ascii="仿宋" w:hAnsi="仿宋" w:eastAsia="仿宋" w:cs="仿宋"/>
          <w:sz w:val="22"/>
          <w:szCs w:val="22"/>
          <w:highlight w:val="none"/>
        </w:rPr>
        <w:t>自收到质疑材料之日起即为受理</w:t>
      </w:r>
      <w:r>
        <w:rPr>
          <w:rFonts w:hint="eastAsia" w:ascii="仿宋" w:hAnsi="仿宋" w:eastAsia="仿宋" w:cs="仿宋"/>
          <w:sz w:val="22"/>
          <w:szCs w:val="22"/>
          <w:highlight w:val="none"/>
          <w:lang w:eastAsia="zh-CN"/>
        </w:rPr>
        <w:t>。</w:t>
      </w:r>
    </w:p>
    <w:p w14:paraId="7E1CA14F">
      <w:pPr>
        <w:spacing w:line="360" w:lineRule="auto"/>
        <w:ind w:firstLine="431" w:firstLineChars="196"/>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4</w:t>
      </w:r>
      <w:r>
        <w:rPr>
          <w:rFonts w:hint="eastAsia" w:ascii="仿宋" w:hAnsi="仿宋" w:eastAsia="仿宋" w:cs="仿宋"/>
          <w:sz w:val="22"/>
          <w:szCs w:val="22"/>
          <w:highlight w:val="none"/>
          <w:lang w:val="en-US" w:eastAsia="zh-CN"/>
        </w:rPr>
        <w:t>1</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5.2供应商提交的质疑材料不符合质疑条件的，视情况处理：</w:t>
      </w:r>
    </w:p>
    <w:p w14:paraId="00259F73">
      <w:pPr>
        <w:spacing w:line="360" w:lineRule="auto"/>
        <w:ind w:firstLine="431" w:firstLineChars="196"/>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供应商提交的质疑材料不全或者未按要求签字或者盖章的，代理机构应当一次性告知供应商需补正的内容和补正期限。</w:t>
      </w:r>
    </w:p>
    <w:p w14:paraId="1C1CB127">
      <w:pPr>
        <w:spacing w:line="360" w:lineRule="auto"/>
        <w:ind w:firstLine="431" w:firstLineChars="196"/>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供应商提交的质疑存在下列情形之一的，不予受理：</w:t>
      </w:r>
    </w:p>
    <w:p w14:paraId="5AF57E92">
      <w:pPr>
        <w:spacing w:line="360" w:lineRule="auto"/>
        <w:ind w:firstLine="431" w:firstLineChars="196"/>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（1）质疑主体不满足要求的；</w:t>
      </w:r>
    </w:p>
    <w:p w14:paraId="2B982CC5">
      <w:pPr>
        <w:spacing w:line="360" w:lineRule="auto"/>
        <w:ind w:firstLine="431" w:firstLineChars="196"/>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（2）供应商自身权益未受到损害的；</w:t>
      </w:r>
    </w:p>
    <w:p w14:paraId="55B0B63A">
      <w:pPr>
        <w:spacing w:line="360" w:lineRule="auto"/>
        <w:ind w:firstLine="431" w:firstLineChars="196"/>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（3）供应商未在法定质疑期限内提出质疑的；</w:t>
      </w:r>
    </w:p>
    <w:p w14:paraId="577F4F84">
      <w:pPr>
        <w:spacing w:line="360" w:lineRule="auto"/>
        <w:ind w:firstLine="431" w:firstLineChars="196"/>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（4）质疑材料不全或者未按要求签字或者盖章的情况下，要求补正后，逾期未补正或者补正后仍不符合规定的；</w:t>
      </w:r>
    </w:p>
    <w:p w14:paraId="1BCE5032">
      <w:pPr>
        <w:spacing w:line="360" w:lineRule="auto"/>
        <w:ind w:firstLine="431" w:firstLineChars="196"/>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（5）其他不符合受理条件情形的。</w:t>
      </w:r>
    </w:p>
    <w:p w14:paraId="3EF893A2">
      <w:pPr>
        <w:spacing w:line="360" w:lineRule="auto"/>
        <w:ind w:firstLine="431" w:firstLineChars="196"/>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质疑事项不予受理的，代理机构应当向供应商出具不符合质疑条件告知书。</w:t>
      </w:r>
    </w:p>
    <w:p w14:paraId="58E17897">
      <w:pPr>
        <w:spacing w:line="360" w:lineRule="auto"/>
        <w:ind w:firstLine="431" w:firstLineChars="196"/>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41.6质疑答复时限</w:t>
      </w:r>
    </w:p>
    <w:p w14:paraId="3893D9A8">
      <w:pPr>
        <w:spacing w:line="360" w:lineRule="auto"/>
        <w:ind w:firstLine="431" w:firstLineChars="196"/>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自收文之日起七个工作日内。</w:t>
      </w:r>
    </w:p>
    <w:p w14:paraId="79B8FBEE">
      <w:pPr>
        <w:spacing w:line="360" w:lineRule="auto"/>
        <w:ind w:firstLine="431" w:firstLineChars="196"/>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41.7投诉</w:t>
      </w:r>
    </w:p>
    <w:p w14:paraId="542DEA7B">
      <w:pPr>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对质疑答复不满意或者未在规定时间内答复的，提出质疑的供应商可以在答复期满后15个工作日内向采购人的采购主管部门投诉。</w:t>
      </w:r>
    </w:p>
    <w:p w14:paraId="5C882D44">
      <w:pPr>
        <w:spacing w:line="360" w:lineRule="auto"/>
        <w:rPr>
          <w:rFonts w:hint="eastAsia" w:ascii="仿宋" w:hAnsi="仿宋" w:eastAsia="仿宋" w:cs="仿宋"/>
          <w:sz w:val="24"/>
          <w:highlight w:val="none"/>
        </w:rPr>
      </w:pPr>
      <w:r>
        <w:rPr>
          <w:rFonts w:hint="eastAsia" w:ascii="仿宋" w:hAnsi="仿宋" w:eastAsia="仿宋" w:cs="仿宋"/>
          <w:sz w:val="24"/>
          <w:highlight w:val="none"/>
          <w:lang w:val="en-US" w:eastAsia="zh-CN"/>
        </w:rPr>
        <w:t>42</w:t>
      </w:r>
      <w:r>
        <w:rPr>
          <w:rFonts w:hint="eastAsia" w:ascii="仿宋" w:hAnsi="仿宋" w:eastAsia="仿宋" w:cs="仿宋"/>
          <w:sz w:val="24"/>
          <w:highlight w:val="none"/>
        </w:rPr>
        <w:t>. 质疑后续处理</w:t>
      </w:r>
    </w:p>
    <w:p w14:paraId="68B18232">
      <w:pPr>
        <w:snapToGrid w:val="0"/>
        <w:spacing w:line="360" w:lineRule="auto"/>
        <w:ind w:firstLine="431" w:firstLineChars="196"/>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42</w:t>
      </w:r>
      <w:r>
        <w:rPr>
          <w:rFonts w:hint="eastAsia" w:ascii="仿宋" w:hAnsi="仿宋" w:eastAsia="仿宋" w:cs="仿宋"/>
          <w:sz w:val="22"/>
          <w:szCs w:val="22"/>
          <w:highlight w:val="none"/>
        </w:rPr>
        <w:t>.1供应商质疑不成立，或者成立但未对中标、成交结果构成影响的，继续开展采购活动。</w:t>
      </w:r>
    </w:p>
    <w:p w14:paraId="24AB6718">
      <w:pPr>
        <w:snapToGrid w:val="0"/>
        <w:spacing w:line="360" w:lineRule="auto"/>
        <w:ind w:firstLine="431" w:firstLineChars="196"/>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42.2供应商质疑成立且影响或者可能影响中标、成交结果的，按照下列情况处理：</w:t>
      </w:r>
    </w:p>
    <w:p w14:paraId="3C6D9B31">
      <w:pPr>
        <w:snapToGrid w:val="0"/>
        <w:spacing w:line="360" w:lineRule="auto"/>
        <w:ind w:firstLine="431" w:firstLineChars="196"/>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42.2.1对采购文件提出的质疑，依法通过澄清或者修改可以继续开展采购活动的，澄清或者修改采购文件后继续开展采购活动；否则应当修改采购文件后重新开展采购活动。</w:t>
      </w:r>
    </w:p>
    <w:p w14:paraId="6DF37CEE">
      <w:pPr>
        <w:snapToGrid w:val="0"/>
        <w:spacing w:line="360" w:lineRule="auto"/>
        <w:ind w:firstLine="431" w:firstLineChars="196"/>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42.2.2对采购过程、中标或者成交结果提出的质疑，合格供应商符合法定数量时，可以从合格的中标或者成交候选人中另行确定中标、成交供应商的，应当依法另行确定中标、成交供应商；否则应当重新开展采购活动。</w:t>
      </w:r>
    </w:p>
    <w:p w14:paraId="591EE916">
      <w:pPr>
        <w:snapToGrid w:val="0"/>
        <w:spacing w:line="360" w:lineRule="auto"/>
        <w:ind w:firstLine="431" w:firstLineChars="196"/>
        <w:rPr>
          <w:rFonts w:hint="eastAsia" w:ascii="仿宋" w:hAnsi="仿宋" w:eastAsia="仿宋" w:cs="仿宋"/>
          <w:color w:val="FF0000"/>
          <w:sz w:val="22"/>
          <w:szCs w:val="22"/>
          <w:highlight w:val="none"/>
          <w:lang w:val="en-US" w:eastAsia="zh-CN"/>
        </w:rPr>
      </w:pPr>
      <w:r>
        <w:rPr>
          <w:rFonts w:hint="eastAsia" w:ascii="仿宋" w:hAnsi="仿宋" w:eastAsia="仿宋" w:cs="仿宋"/>
          <w:color w:val="FF0000"/>
          <w:sz w:val="22"/>
          <w:szCs w:val="22"/>
          <w:highlight w:val="none"/>
          <w:lang w:val="en-US" w:eastAsia="zh-CN"/>
        </w:rPr>
        <w:t>43违约责任</w:t>
      </w:r>
    </w:p>
    <w:p w14:paraId="66A6359E">
      <w:pPr>
        <w:snapToGrid w:val="0"/>
        <w:spacing w:line="360" w:lineRule="auto"/>
        <w:ind w:firstLine="431" w:firstLineChars="196"/>
        <w:rPr>
          <w:rFonts w:hint="eastAsia" w:ascii="仿宋" w:hAnsi="仿宋" w:eastAsia="仿宋" w:cs="仿宋"/>
          <w:color w:val="FF0000"/>
          <w:sz w:val="22"/>
          <w:szCs w:val="22"/>
          <w:highlight w:val="none"/>
          <w:lang w:val="en-US" w:eastAsia="zh-CN"/>
        </w:rPr>
      </w:pPr>
      <w:r>
        <w:rPr>
          <w:rFonts w:hint="eastAsia" w:ascii="仿宋" w:hAnsi="仿宋" w:eastAsia="仿宋" w:cs="仿宋"/>
          <w:color w:val="FF0000"/>
          <w:sz w:val="22"/>
          <w:szCs w:val="22"/>
          <w:highlight w:val="none"/>
          <w:lang w:val="en-US" w:eastAsia="zh-CN"/>
        </w:rPr>
        <w:t>43.1供应商若在采购活动存在下列违法行为，给采购人、采购代理机造成损失的，应当承担赔偿责任。</w:t>
      </w:r>
    </w:p>
    <w:p w14:paraId="31DF0A55">
      <w:pPr>
        <w:snapToGrid w:val="0"/>
        <w:spacing w:line="360" w:lineRule="auto"/>
        <w:ind w:firstLine="431" w:firstLineChars="196"/>
        <w:rPr>
          <w:rFonts w:hint="eastAsia" w:ascii="仿宋" w:hAnsi="仿宋" w:eastAsia="仿宋" w:cs="仿宋"/>
          <w:color w:val="FF0000"/>
          <w:sz w:val="22"/>
          <w:szCs w:val="22"/>
          <w:highlight w:val="none"/>
          <w:lang w:val="en-US" w:eastAsia="zh-CN"/>
        </w:rPr>
      </w:pPr>
      <w:r>
        <w:rPr>
          <w:rFonts w:hint="eastAsia" w:ascii="仿宋" w:hAnsi="仿宋" w:eastAsia="仿宋" w:cs="仿宋"/>
          <w:color w:val="FF0000"/>
          <w:sz w:val="22"/>
          <w:szCs w:val="22"/>
          <w:highlight w:val="none"/>
          <w:lang w:val="en-US" w:eastAsia="zh-CN"/>
        </w:rPr>
        <w:t>（1）未按照规定签订、履行采购合同；</w:t>
      </w:r>
    </w:p>
    <w:p w14:paraId="3F098464">
      <w:pPr>
        <w:snapToGrid w:val="0"/>
        <w:spacing w:line="360" w:lineRule="auto"/>
        <w:ind w:firstLine="431" w:firstLineChars="196"/>
        <w:rPr>
          <w:rFonts w:hint="eastAsia" w:ascii="仿宋" w:hAnsi="仿宋" w:eastAsia="仿宋" w:cs="仿宋"/>
          <w:color w:val="FF0000"/>
          <w:sz w:val="22"/>
          <w:szCs w:val="22"/>
          <w:highlight w:val="none"/>
          <w:lang w:val="en-US" w:eastAsia="zh-CN"/>
        </w:rPr>
      </w:pPr>
      <w:r>
        <w:rPr>
          <w:rFonts w:hint="eastAsia" w:ascii="仿宋" w:hAnsi="仿宋" w:eastAsia="仿宋" w:cs="仿宋"/>
          <w:color w:val="FF0000"/>
          <w:sz w:val="22"/>
          <w:szCs w:val="22"/>
          <w:highlight w:val="none"/>
          <w:lang w:val="en-US" w:eastAsia="zh-CN"/>
        </w:rPr>
        <w:t>（2）提供虚假材料谋取中标、成交的；</w:t>
      </w:r>
    </w:p>
    <w:p w14:paraId="251D5BC3">
      <w:pPr>
        <w:snapToGrid w:val="0"/>
        <w:spacing w:line="360" w:lineRule="auto"/>
        <w:ind w:firstLine="431" w:firstLineChars="196"/>
        <w:rPr>
          <w:rFonts w:hint="eastAsia" w:ascii="仿宋" w:hAnsi="仿宋" w:eastAsia="仿宋" w:cs="仿宋"/>
          <w:color w:val="FF0000"/>
          <w:sz w:val="22"/>
          <w:szCs w:val="22"/>
          <w:highlight w:val="none"/>
          <w:lang w:val="en-US" w:eastAsia="zh-CN"/>
        </w:rPr>
      </w:pPr>
      <w:r>
        <w:rPr>
          <w:rFonts w:hint="eastAsia" w:ascii="仿宋" w:hAnsi="仿宋" w:eastAsia="仿宋" w:cs="仿宋"/>
          <w:color w:val="FF0000"/>
          <w:sz w:val="22"/>
          <w:szCs w:val="22"/>
          <w:highlight w:val="none"/>
          <w:lang w:val="en-US" w:eastAsia="zh-CN"/>
        </w:rPr>
        <w:t>（3）采取不正当手段诋毁、排挤其他供应商的；</w:t>
      </w:r>
    </w:p>
    <w:p w14:paraId="29A543AE">
      <w:pPr>
        <w:snapToGrid w:val="0"/>
        <w:spacing w:line="360" w:lineRule="auto"/>
        <w:ind w:firstLine="431" w:firstLineChars="196"/>
        <w:rPr>
          <w:rFonts w:hint="eastAsia" w:ascii="仿宋" w:hAnsi="仿宋" w:eastAsia="仿宋" w:cs="仿宋"/>
          <w:color w:val="FF0000"/>
          <w:sz w:val="22"/>
          <w:szCs w:val="22"/>
          <w:highlight w:val="none"/>
          <w:lang w:val="en-US" w:eastAsia="zh-CN"/>
        </w:rPr>
      </w:pPr>
      <w:r>
        <w:rPr>
          <w:rFonts w:hint="eastAsia" w:ascii="仿宋" w:hAnsi="仿宋" w:eastAsia="仿宋" w:cs="仿宋"/>
          <w:color w:val="FF0000"/>
          <w:sz w:val="22"/>
          <w:szCs w:val="22"/>
          <w:highlight w:val="none"/>
          <w:lang w:val="en-US" w:eastAsia="zh-CN"/>
        </w:rPr>
        <w:t>（4）与其他供应商恶意串通的；</w:t>
      </w:r>
    </w:p>
    <w:p w14:paraId="1F0A66DA">
      <w:pPr>
        <w:snapToGrid w:val="0"/>
        <w:spacing w:line="360" w:lineRule="auto"/>
        <w:ind w:firstLine="431" w:firstLineChars="196"/>
        <w:rPr>
          <w:rFonts w:hint="eastAsia" w:ascii="仿宋" w:hAnsi="仿宋" w:eastAsia="仿宋" w:cs="仿宋"/>
          <w:color w:val="FF0000"/>
          <w:sz w:val="22"/>
          <w:szCs w:val="22"/>
          <w:highlight w:val="none"/>
          <w:lang w:val="en-US" w:eastAsia="zh-CN"/>
        </w:rPr>
      </w:pPr>
      <w:r>
        <w:rPr>
          <w:rFonts w:hint="eastAsia" w:ascii="仿宋" w:hAnsi="仿宋" w:eastAsia="仿宋" w:cs="仿宋"/>
          <w:color w:val="FF0000"/>
          <w:sz w:val="22"/>
          <w:szCs w:val="22"/>
          <w:highlight w:val="none"/>
          <w:lang w:val="en-US" w:eastAsia="zh-CN"/>
        </w:rPr>
        <w:t>（5）拒绝有关部门监督检查或者提供虚假情况的；</w:t>
      </w:r>
    </w:p>
    <w:p w14:paraId="4C5A6917">
      <w:pPr>
        <w:snapToGrid w:val="0"/>
        <w:spacing w:line="360" w:lineRule="auto"/>
        <w:ind w:firstLine="431" w:firstLineChars="196"/>
        <w:rPr>
          <w:rFonts w:hint="eastAsia" w:ascii="仿宋" w:hAnsi="仿宋" w:eastAsia="仿宋" w:cs="仿宋"/>
          <w:color w:val="FF0000"/>
          <w:sz w:val="22"/>
          <w:szCs w:val="22"/>
          <w:highlight w:val="none"/>
          <w:lang w:val="en-US" w:eastAsia="zh-CN"/>
        </w:rPr>
      </w:pPr>
      <w:r>
        <w:rPr>
          <w:rFonts w:hint="eastAsia" w:ascii="仿宋" w:hAnsi="仿宋" w:eastAsia="仿宋" w:cs="仿宋"/>
          <w:color w:val="FF0000"/>
          <w:sz w:val="22"/>
          <w:szCs w:val="22"/>
          <w:highlight w:val="none"/>
          <w:lang w:val="en-US" w:eastAsia="zh-CN"/>
        </w:rPr>
        <w:t>（6）经主管部门认定的其他违法采购相关法律法规的行为。</w:t>
      </w:r>
    </w:p>
    <w:p w14:paraId="6E019163">
      <w:pPr>
        <w:snapToGrid w:val="0"/>
        <w:spacing w:line="360" w:lineRule="auto"/>
        <w:ind w:firstLine="431" w:firstLineChars="196"/>
        <w:rPr>
          <w:rFonts w:hint="eastAsia" w:ascii="仿宋" w:hAnsi="仿宋" w:eastAsia="仿宋" w:cs="仿宋"/>
          <w:color w:val="FF0000"/>
          <w:sz w:val="22"/>
          <w:szCs w:val="22"/>
          <w:highlight w:val="none"/>
          <w:lang w:val="en-US" w:eastAsia="zh-CN"/>
        </w:rPr>
      </w:pPr>
      <w:r>
        <w:rPr>
          <w:rFonts w:hint="eastAsia" w:ascii="仿宋" w:hAnsi="仿宋" w:eastAsia="仿宋" w:cs="仿宋"/>
          <w:color w:val="FF0000"/>
          <w:sz w:val="22"/>
          <w:szCs w:val="22"/>
          <w:highlight w:val="none"/>
          <w:lang w:val="en-US" w:eastAsia="zh-CN"/>
        </w:rPr>
        <w:t>43.2采购人、采购代理机构有权对违法供应商造成的损失进行追偿，可优先在已缴纳的代理服务费中进行抵扣，已缴纳的代理服务费不足以赔偿采购人、采购代理机构损失的，采购人、采购代理机构有权向人民法院提起诉讼。</w:t>
      </w:r>
    </w:p>
    <w:p w14:paraId="0A68FD34">
      <w:pPr>
        <w:spacing w:line="360" w:lineRule="auto"/>
        <w:ind w:firstLine="411" w:firstLineChars="196"/>
        <w:rPr>
          <w:rFonts w:hint="eastAsia" w:ascii="仿宋" w:hAnsi="仿宋" w:eastAsia="仿宋" w:cs="仿宋"/>
          <w:szCs w:val="21"/>
          <w:highlight w:val="none"/>
        </w:rPr>
      </w:pPr>
    </w:p>
    <w:p w14:paraId="565C9664">
      <w:pPr>
        <w:spacing w:line="360" w:lineRule="auto"/>
        <w:jc w:val="center"/>
        <w:rPr>
          <w:rFonts w:hint="eastAsia" w:ascii="仿宋" w:hAnsi="仿宋" w:eastAsia="仿宋" w:cs="仿宋"/>
          <w:szCs w:val="21"/>
          <w:highlight w:val="none"/>
        </w:rPr>
      </w:pPr>
      <w:r>
        <w:rPr>
          <w:rFonts w:hint="eastAsia" w:ascii="仿宋" w:hAnsi="仿宋" w:eastAsia="仿宋" w:cs="仿宋"/>
          <w:highlight w:val="none"/>
        </w:rPr>
        <w:t>---- END ----</w:t>
      </w:r>
    </w:p>
    <w:p w14:paraId="07FD436E">
      <w:pPr>
        <w:rPr>
          <w:rFonts w:hint="eastAsia" w:ascii="仿宋" w:hAnsi="仿宋" w:eastAsia="仿宋" w:cs="仿宋"/>
          <w:highlight w:val="none"/>
        </w:rPr>
      </w:pPr>
    </w:p>
    <w:p w14:paraId="48DD26FE">
      <w:pPr>
        <w:spacing w:line="360" w:lineRule="auto"/>
        <w:jc w:val="center"/>
        <w:rPr>
          <w:rFonts w:hint="eastAsia" w:ascii="仿宋" w:hAnsi="仿宋" w:eastAsia="仿宋" w:cs="仿宋"/>
          <w:szCs w:val="21"/>
          <w:highlight w:val="none"/>
        </w:rPr>
      </w:pPr>
    </w:p>
    <w:p w14:paraId="135FA028">
      <w:pPr>
        <w:rPr>
          <w:rFonts w:hint="eastAsia" w:ascii="仿宋" w:hAnsi="仿宋" w:eastAsia="仿宋" w:cs="仿宋"/>
          <w:highlight w:val="none"/>
        </w:rPr>
      </w:pPr>
    </w:p>
    <w:p w14:paraId="1DA3EA69">
      <w:pPr>
        <w:pStyle w:val="13"/>
        <w:rPr>
          <w:rFonts w:hint="eastAsia" w:ascii="仿宋" w:hAnsi="仿宋" w:eastAsia="仿宋" w:cs="仿宋"/>
          <w:highlight w:val="none"/>
        </w:rPr>
      </w:pPr>
    </w:p>
    <w:p w14:paraId="312B9EE4">
      <w:pPr>
        <w:rPr>
          <w:rFonts w:hint="eastAsia" w:ascii="仿宋" w:hAnsi="仿宋" w:eastAsia="仿宋" w:cs="仿宋"/>
          <w:highlight w:val="none"/>
        </w:rPr>
      </w:pPr>
    </w:p>
    <w:p w14:paraId="6D55F7CA">
      <w:pPr>
        <w:rPr>
          <w:rFonts w:hint="eastAsia" w:ascii="仿宋" w:hAnsi="仿宋" w:eastAsia="仿宋" w:cs="仿宋"/>
          <w:highlight w:val="none"/>
        </w:rPr>
      </w:pPr>
    </w:p>
    <w:p w14:paraId="73F216AE">
      <w:pPr>
        <w:rPr>
          <w:rFonts w:hint="eastAsia" w:ascii="仿宋" w:hAnsi="仿宋" w:eastAsia="仿宋" w:cs="仿宋"/>
          <w:highlight w:val="none"/>
        </w:rPr>
      </w:pPr>
      <w:r>
        <w:rPr>
          <w:rFonts w:hint="eastAsia" w:ascii="仿宋" w:hAnsi="仿宋" w:eastAsia="仿宋" w:cs="仿宋"/>
          <w:highlight w:val="none"/>
        </w:rPr>
        <w:br w:type="page"/>
      </w:r>
    </w:p>
    <w:p w14:paraId="075EB0FF">
      <w:pPr>
        <w:pStyle w:val="13"/>
        <w:rPr>
          <w:rFonts w:hint="eastAsia" w:ascii="仿宋" w:hAnsi="仿宋" w:eastAsia="仿宋" w:cs="仿宋"/>
          <w:highlight w:val="none"/>
        </w:rPr>
      </w:pPr>
    </w:p>
    <w:p w14:paraId="53E69392">
      <w:pPr>
        <w:rPr>
          <w:rFonts w:hint="eastAsia" w:ascii="仿宋" w:hAnsi="仿宋" w:eastAsia="仿宋" w:cs="仿宋"/>
          <w:highlight w:val="none"/>
        </w:rPr>
      </w:pPr>
    </w:p>
    <w:p w14:paraId="723839CE">
      <w:pPr>
        <w:rPr>
          <w:rFonts w:hint="eastAsia" w:ascii="仿宋" w:hAnsi="仿宋" w:eastAsia="仿宋" w:cs="仿宋"/>
          <w:highlight w:val="none"/>
        </w:rPr>
      </w:pPr>
    </w:p>
    <w:p w14:paraId="22ECE6F7">
      <w:pPr>
        <w:rPr>
          <w:rFonts w:hint="eastAsia" w:ascii="仿宋" w:hAnsi="仿宋" w:eastAsia="仿宋" w:cs="仿宋"/>
          <w:highlight w:val="none"/>
        </w:rPr>
      </w:pPr>
    </w:p>
    <w:p w14:paraId="3255D656">
      <w:pPr>
        <w:rPr>
          <w:rFonts w:hint="eastAsia" w:ascii="仿宋" w:hAnsi="仿宋" w:eastAsia="仿宋" w:cs="仿宋"/>
          <w:highlight w:val="none"/>
        </w:rPr>
      </w:pPr>
    </w:p>
    <w:p w14:paraId="4B71B25F">
      <w:pPr>
        <w:rPr>
          <w:rFonts w:hint="eastAsia" w:ascii="仿宋" w:hAnsi="仿宋" w:eastAsia="仿宋" w:cs="仿宋"/>
          <w:highlight w:val="none"/>
        </w:rPr>
      </w:pPr>
    </w:p>
    <w:p w14:paraId="2A89BDC4">
      <w:pPr>
        <w:rPr>
          <w:rFonts w:hint="eastAsia" w:ascii="仿宋" w:hAnsi="仿宋" w:eastAsia="仿宋" w:cs="仿宋"/>
          <w:highlight w:val="none"/>
        </w:rPr>
      </w:pPr>
    </w:p>
    <w:p w14:paraId="11024F08">
      <w:pPr>
        <w:rPr>
          <w:rFonts w:hint="eastAsia" w:ascii="仿宋" w:hAnsi="仿宋" w:eastAsia="仿宋" w:cs="仿宋"/>
          <w:highlight w:val="none"/>
        </w:rPr>
      </w:pPr>
    </w:p>
    <w:p w14:paraId="5B4E7454">
      <w:pPr>
        <w:rPr>
          <w:rFonts w:hint="eastAsia" w:ascii="仿宋" w:hAnsi="仿宋" w:eastAsia="仿宋" w:cs="仿宋"/>
          <w:highlight w:val="none"/>
        </w:rPr>
      </w:pPr>
    </w:p>
    <w:p w14:paraId="0E2DA89D">
      <w:pPr>
        <w:pStyle w:val="13"/>
        <w:rPr>
          <w:rFonts w:hint="eastAsia" w:ascii="仿宋" w:hAnsi="仿宋" w:eastAsia="仿宋" w:cs="仿宋"/>
          <w:highlight w:val="none"/>
        </w:rPr>
      </w:pPr>
    </w:p>
    <w:p w14:paraId="6764710A">
      <w:pPr>
        <w:pStyle w:val="35"/>
        <w:rPr>
          <w:rFonts w:hint="eastAsia" w:ascii="仿宋" w:hAnsi="仿宋" w:eastAsia="仿宋" w:cs="仿宋"/>
          <w:highlight w:val="none"/>
        </w:rPr>
      </w:pPr>
    </w:p>
    <w:p w14:paraId="170A6D5D">
      <w:pPr>
        <w:pStyle w:val="35"/>
        <w:rPr>
          <w:rFonts w:hint="eastAsia" w:ascii="仿宋" w:hAnsi="仿宋" w:eastAsia="仿宋" w:cs="仿宋"/>
          <w:highlight w:val="none"/>
        </w:rPr>
      </w:pPr>
    </w:p>
    <w:p w14:paraId="36DCEE17">
      <w:pPr>
        <w:rPr>
          <w:rFonts w:hint="eastAsia" w:ascii="仿宋" w:hAnsi="仿宋" w:eastAsia="仿宋" w:cs="仿宋"/>
          <w:highlight w:val="none"/>
        </w:rPr>
      </w:pPr>
    </w:p>
    <w:p w14:paraId="768F65A4">
      <w:pPr>
        <w:pStyle w:val="39"/>
        <w:spacing w:before="120" w:after="120"/>
        <w:jc w:val="center"/>
        <w:rPr>
          <w:rFonts w:hint="eastAsia" w:ascii="仿宋" w:hAnsi="仿宋" w:eastAsia="仿宋" w:cs="仿宋"/>
          <w:b w:val="0"/>
          <w:highlight w:val="none"/>
        </w:rPr>
      </w:pPr>
      <w:bookmarkStart w:id="216" w:name="_Toc2872"/>
      <w:r>
        <w:rPr>
          <w:rFonts w:hint="eastAsia" w:ascii="仿宋" w:hAnsi="仿宋" w:eastAsia="仿宋" w:cs="仿宋"/>
          <w:b w:val="0"/>
          <w:sz w:val="44"/>
          <w:highlight w:val="none"/>
        </w:rPr>
        <w:t>第二册</w:t>
      </w:r>
      <w:r>
        <w:rPr>
          <w:rFonts w:hint="eastAsia" w:ascii="仿宋" w:hAnsi="仿宋" w:eastAsia="仿宋" w:cs="仿宋"/>
          <w:b w:val="0"/>
          <w:sz w:val="44"/>
          <w:highlight w:val="none"/>
          <w:lang w:val="en-US" w:eastAsia="zh-CN"/>
        </w:rPr>
        <w:t xml:space="preserve"> </w:t>
      </w:r>
      <w:r>
        <w:rPr>
          <w:rFonts w:hint="eastAsia" w:ascii="仿宋" w:hAnsi="仿宋" w:eastAsia="仿宋" w:cs="仿宋"/>
          <w:b w:val="0"/>
          <w:sz w:val="44"/>
          <w:highlight w:val="none"/>
        </w:rPr>
        <w:t>专用条款</w:t>
      </w:r>
      <w:bookmarkEnd w:id="216"/>
    </w:p>
    <w:p w14:paraId="53C94135">
      <w:pPr>
        <w:rPr>
          <w:rFonts w:hint="eastAsia" w:ascii="仿宋" w:hAnsi="仿宋" w:eastAsia="仿宋" w:cs="仿宋"/>
          <w:highlight w:val="none"/>
        </w:rPr>
      </w:pPr>
      <w:r>
        <w:rPr>
          <w:rFonts w:hint="eastAsia" w:ascii="仿宋" w:hAnsi="仿宋" w:eastAsia="仿宋" w:cs="仿宋"/>
          <w:highlight w:val="none"/>
        </w:rPr>
        <w:br w:type="page"/>
      </w:r>
    </w:p>
    <w:p w14:paraId="55B09F9A">
      <w:pPr>
        <w:pStyle w:val="3"/>
        <w:jc w:val="center"/>
        <w:rPr>
          <w:rFonts w:hint="eastAsia" w:ascii="仿宋" w:hAnsi="仿宋" w:eastAsia="仿宋" w:cs="仿宋"/>
          <w:b/>
          <w:bCs/>
          <w:highlight w:val="none"/>
        </w:rPr>
      </w:pPr>
      <w:bookmarkStart w:id="217" w:name="_Toc26199"/>
      <w:bookmarkStart w:id="218" w:name="_Toc34238554"/>
      <w:bookmarkStart w:id="219" w:name="_Toc13888"/>
      <w:r>
        <w:rPr>
          <w:rFonts w:hint="eastAsia" w:ascii="仿宋" w:hAnsi="仿宋" w:eastAsia="仿宋" w:cs="仿宋"/>
          <w:b/>
          <w:bCs/>
          <w:highlight w:val="none"/>
        </w:rPr>
        <w:t>第一章</w:t>
      </w:r>
      <w:r>
        <w:rPr>
          <w:rFonts w:hint="eastAsia" w:ascii="仿宋" w:hAnsi="仿宋" w:eastAsia="仿宋" w:cs="仿宋"/>
          <w:b/>
          <w:bCs/>
          <w:highlight w:val="none"/>
          <w:lang w:val="en-US" w:eastAsia="zh-CN"/>
        </w:rPr>
        <w:t xml:space="preserve">  </w:t>
      </w:r>
      <w:r>
        <w:rPr>
          <w:rFonts w:hint="eastAsia" w:ascii="仿宋" w:hAnsi="仿宋" w:eastAsia="仿宋" w:cs="仿宋"/>
          <w:b/>
          <w:bCs/>
          <w:highlight w:val="none"/>
        </w:rPr>
        <w:t>招标公告</w:t>
      </w:r>
      <w:bookmarkEnd w:id="217"/>
      <w:bookmarkEnd w:id="218"/>
      <w:bookmarkEnd w:id="219"/>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1B88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noWrap w:val="0"/>
            <w:vAlign w:val="top"/>
          </w:tcPr>
          <w:p w14:paraId="78299425">
            <w:pPr>
              <w:keepNext w:val="0"/>
              <w:keepLines w:val="0"/>
              <w:suppressLineNumbers w:val="0"/>
              <w:spacing w:before="0" w:beforeAutospacing="0" w:after="0" w:afterAutospacing="0" w:line="400" w:lineRule="exact"/>
              <w:ind w:left="0" w:right="0"/>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项目概况</w:t>
            </w:r>
          </w:p>
          <w:p w14:paraId="1594A620">
            <w:pPr>
              <w:keepNext w:val="0"/>
              <w:keepLines w:val="0"/>
              <w:suppressLineNumbers w:val="0"/>
              <w:spacing w:before="0" w:beforeAutospacing="0" w:after="0" w:afterAutospacing="0" w:line="400" w:lineRule="exact"/>
              <w:ind w:left="0" w:right="0" w:firstLine="480" w:firstLineChars="200"/>
              <w:rPr>
                <w:rFonts w:hint="eastAsia" w:ascii="仿宋" w:hAnsi="仿宋" w:eastAsia="仿宋" w:cs="仿宋"/>
                <w:szCs w:val="21"/>
                <w:highlight w:val="none"/>
              </w:rPr>
            </w:pPr>
            <w:r>
              <w:rPr>
                <w:rFonts w:hint="eastAsia" w:ascii="仿宋" w:hAnsi="仿宋" w:eastAsia="仿宋" w:cs="仿宋"/>
                <w:color w:val="000000"/>
                <w:sz w:val="24"/>
                <w:highlight w:val="none"/>
                <w:u w:val="single"/>
                <w:lang w:eastAsia="zh-CN"/>
              </w:rPr>
              <w:t>深圳自然博物馆展品征集（古生物标本修复）服务</w:t>
            </w:r>
            <w:r>
              <w:rPr>
                <w:rFonts w:hint="eastAsia" w:ascii="仿宋" w:hAnsi="仿宋" w:eastAsia="仿宋" w:cs="仿宋"/>
                <w:color w:val="000000"/>
                <w:sz w:val="24"/>
                <w:highlight w:val="none"/>
              </w:rPr>
              <w:t>的潜在投标人应在</w:t>
            </w:r>
            <w:r>
              <w:rPr>
                <w:rFonts w:hint="eastAsia" w:ascii="仿宋" w:hAnsi="仿宋" w:eastAsia="仿宋" w:cs="仿宋"/>
                <w:color w:val="000000"/>
                <w:sz w:val="24"/>
                <w:highlight w:val="none"/>
                <w:u w:val="single"/>
              </w:rPr>
              <w:t>友和保险经纪有限公司</w:t>
            </w:r>
            <w:r>
              <w:rPr>
                <w:rFonts w:hint="eastAsia" w:ascii="仿宋" w:hAnsi="仿宋" w:eastAsia="仿宋" w:cs="仿宋"/>
                <w:color w:val="000000"/>
                <w:sz w:val="24"/>
                <w:highlight w:val="none"/>
              </w:rPr>
              <w:t>获取招标文件，并于</w:t>
            </w:r>
            <w:r>
              <w:rPr>
                <w:rFonts w:hint="eastAsia" w:ascii="仿宋" w:hAnsi="仿宋" w:eastAsia="仿宋" w:cs="仿宋"/>
                <w:color w:val="000000"/>
                <w:sz w:val="24"/>
                <w:highlight w:val="none"/>
                <w:u w:val="single"/>
                <w:lang w:eastAsia="zh-CN"/>
              </w:rPr>
              <w:t>2025</w:t>
            </w:r>
            <w:r>
              <w:rPr>
                <w:rFonts w:hint="eastAsia" w:ascii="仿宋" w:hAnsi="仿宋" w:eastAsia="仿宋" w:cs="仿宋"/>
                <w:color w:val="000000"/>
                <w:sz w:val="24"/>
                <w:highlight w:val="none"/>
                <w:u w:val="single"/>
              </w:rPr>
              <w:t>年X月XX日</w:t>
            </w:r>
            <w:r>
              <w:rPr>
                <w:rFonts w:hint="eastAsia" w:ascii="仿宋" w:hAnsi="仿宋" w:eastAsia="仿宋" w:cs="仿宋"/>
                <w:color w:val="000000"/>
                <w:sz w:val="24"/>
                <w:highlight w:val="none"/>
                <w:u w:val="single"/>
                <w:lang w:val="en-US" w:eastAsia="zh-CN"/>
              </w:rPr>
              <w:t>9</w:t>
            </w:r>
            <w:r>
              <w:rPr>
                <w:rFonts w:hint="eastAsia" w:ascii="仿宋" w:hAnsi="仿宋" w:eastAsia="仿宋" w:cs="仿宋"/>
                <w:color w:val="000000"/>
                <w:sz w:val="24"/>
                <w:highlight w:val="none"/>
                <w:u w:val="single"/>
              </w:rPr>
              <w:t>点</w:t>
            </w:r>
            <w:r>
              <w:rPr>
                <w:rFonts w:hint="eastAsia" w:ascii="仿宋" w:hAnsi="仿宋" w:eastAsia="仿宋" w:cs="仿宋"/>
                <w:color w:val="000000"/>
                <w:sz w:val="24"/>
                <w:highlight w:val="none"/>
                <w:u w:val="single"/>
                <w:lang w:val="en-US" w:eastAsia="zh-CN"/>
              </w:rPr>
              <w:t>30</w:t>
            </w:r>
            <w:r>
              <w:rPr>
                <w:rFonts w:hint="eastAsia" w:ascii="仿宋" w:hAnsi="仿宋" w:eastAsia="仿宋" w:cs="仿宋"/>
                <w:color w:val="000000"/>
                <w:sz w:val="24"/>
                <w:highlight w:val="none"/>
                <w:u w:val="single"/>
              </w:rPr>
              <w:t>分00秒</w:t>
            </w:r>
            <w:r>
              <w:rPr>
                <w:rFonts w:hint="eastAsia" w:ascii="仿宋" w:hAnsi="仿宋" w:eastAsia="仿宋" w:cs="仿宋"/>
                <w:color w:val="000000"/>
                <w:sz w:val="24"/>
                <w:highlight w:val="none"/>
              </w:rPr>
              <w:t>（北京时间）前递交投标文件。</w:t>
            </w:r>
          </w:p>
        </w:tc>
      </w:tr>
    </w:tbl>
    <w:p w14:paraId="5DF90EB2">
      <w:pPr>
        <w:adjustRightInd w:val="0"/>
        <w:snapToGrid w:val="0"/>
        <w:spacing w:line="360" w:lineRule="auto"/>
        <w:jc w:val="left"/>
        <w:rPr>
          <w:rFonts w:hint="eastAsia" w:ascii="仿宋" w:hAnsi="仿宋" w:eastAsia="仿宋" w:cs="仿宋"/>
          <w:szCs w:val="21"/>
          <w:highlight w:val="none"/>
        </w:rPr>
      </w:pPr>
    </w:p>
    <w:p w14:paraId="7BA79752">
      <w:pPr>
        <w:keepNext w:val="0"/>
        <w:keepLines w:val="0"/>
        <w:pageBreakBefore w:val="0"/>
        <w:kinsoku/>
        <w:wordWrap/>
        <w:overflowPunct/>
        <w:topLinePunct w:val="0"/>
        <w:autoSpaceDE/>
        <w:autoSpaceDN/>
        <w:bidi w:val="0"/>
        <w:adjustRightInd w:val="0"/>
        <w:snapToGrid w:val="0"/>
        <w:spacing w:line="400" w:lineRule="exact"/>
        <w:jc w:val="left"/>
        <w:textAlignment w:val="auto"/>
        <w:outlineLvl w:val="9"/>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一、 项目基本情况</w:t>
      </w:r>
    </w:p>
    <w:p w14:paraId="781EC3D3">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项目编</w:t>
      </w:r>
      <w:r>
        <w:rPr>
          <w:rFonts w:hint="eastAsia" w:ascii="仿宋" w:hAnsi="仿宋" w:eastAsia="仿宋" w:cs="仿宋"/>
          <w:bCs/>
          <w:color w:val="000000"/>
          <w:sz w:val="24"/>
          <w:highlight w:val="none"/>
        </w:rPr>
        <w:t>号：</w:t>
      </w:r>
      <w:r>
        <w:rPr>
          <w:rFonts w:hint="eastAsia" w:ascii="仿宋" w:hAnsi="仿宋" w:eastAsia="仿宋" w:cs="仿宋"/>
          <w:bCs/>
          <w:color w:val="000000"/>
          <w:sz w:val="24"/>
          <w:highlight w:val="none"/>
          <w:u w:val="single"/>
          <w:lang w:eastAsia="zh-CN"/>
        </w:rPr>
        <w:t>UHOSZC20250792</w:t>
      </w:r>
    </w:p>
    <w:p w14:paraId="129D6707">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项目名称：</w:t>
      </w:r>
      <w:r>
        <w:rPr>
          <w:rFonts w:hint="eastAsia" w:ascii="仿宋" w:hAnsi="仿宋" w:eastAsia="仿宋" w:cs="仿宋"/>
          <w:color w:val="000000"/>
          <w:sz w:val="24"/>
          <w:highlight w:val="none"/>
          <w:u w:val="single"/>
          <w:lang w:eastAsia="zh-CN"/>
        </w:rPr>
        <w:t>深圳自然博物馆展品征集（古生物标本修复）服务</w:t>
      </w:r>
    </w:p>
    <w:p w14:paraId="1E5E7F75">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仿宋" w:hAnsi="仿宋" w:eastAsia="仿宋" w:cs="仿宋"/>
          <w:color w:val="000000"/>
          <w:sz w:val="24"/>
          <w:highlight w:val="none"/>
          <w:lang w:val="en-US"/>
        </w:rPr>
      </w:pPr>
      <w:r>
        <w:rPr>
          <w:rFonts w:hint="eastAsia" w:ascii="仿宋" w:hAnsi="仿宋" w:eastAsia="仿宋" w:cs="仿宋"/>
          <w:color w:val="000000"/>
          <w:sz w:val="24"/>
          <w:highlight w:val="none"/>
        </w:rPr>
        <w:t>预算金额：人民币</w:t>
      </w:r>
      <w:r>
        <w:rPr>
          <w:rFonts w:hint="eastAsia" w:ascii="仿宋" w:hAnsi="仿宋" w:eastAsia="仿宋" w:cs="仿宋"/>
          <w:color w:val="000000"/>
          <w:sz w:val="24"/>
          <w:highlight w:val="none"/>
          <w:lang w:val="en-US" w:eastAsia="zh-CN"/>
        </w:rPr>
        <w:t>4,000,000.00元</w:t>
      </w:r>
    </w:p>
    <w:p w14:paraId="1E13434B">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z w:val="24"/>
          <w:highlight w:val="none"/>
        </w:rPr>
        <w:t>最高限价：人民币</w:t>
      </w:r>
      <w:r>
        <w:rPr>
          <w:rFonts w:hint="eastAsia" w:ascii="仿宋" w:hAnsi="仿宋" w:eastAsia="仿宋" w:cs="仿宋"/>
          <w:color w:val="000000"/>
          <w:sz w:val="24"/>
          <w:highlight w:val="none"/>
          <w:lang w:val="en-US" w:eastAsia="zh-CN"/>
        </w:rPr>
        <w:t>4,000,000.00元</w:t>
      </w:r>
    </w:p>
    <w:p w14:paraId="3F358526">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z w:val="24"/>
          <w:highlight w:val="none"/>
        </w:rPr>
        <w:t>采购需求：详见招标文件。</w:t>
      </w:r>
    </w:p>
    <w:p w14:paraId="391459EF">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z w:val="24"/>
          <w:highlight w:val="none"/>
        </w:rPr>
        <w:t>合同履行期限：详见招标文件。</w:t>
      </w:r>
    </w:p>
    <w:p w14:paraId="094D7F7D">
      <w:pPr>
        <w:adjustRightInd w:val="0"/>
        <w:snapToGrid w:val="0"/>
        <w:spacing w:line="400" w:lineRule="exact"/>
        <w:ind w:firstLine="480" w:firstLineChars="200"/>
        <w:outlineLvl w:val="9"/>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rPr>
        <w:t>本项目属于采购人自行采购项目；采购监督管理部门为采购人的上级主管部门或采购人的纪检部门。</w:t>
      </w:r>
    </w:p>
    <w:p w14:paraId="28283A5F">
      <w:pPr>
        <w:keepNext w:val="0"/>
        <w:keepLines w:val="0"/>
        <w:pageBreakBefore w:val="0"/>
        <w:kinsoku/>
        <w:wordWrap/>
        <w:overflowPunct/>
        <w:topLinePunct w:val="0"/>
        <w:autoSpaceDE/>
        <w:autoSpaceDN/>
        <w:bidi w:val="0"/>
        <w:adjustRightInd w:val="0"/>
        <w:snapToGrid w:val="0"/>
        <w:spacing w:line="400" w:lineRule="exact"/>
        <w:jc w:val="left"/>
        <w:textAlignment w:val="auto"/>
        <w:outlineLvl w:val="9"/>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二、 申请人的资格要求：</w:t>
      </w:r>
    </w:p>
    <w:p w14:paraId="4B2E08A1">
      <w:pPr>
        <w:pStyle w:val="291"/>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具有独立法人资格或是具有独立承担民事责任能力的其</w:t>
      </w:r>
      <w:r>
        <w:rPr>
          <w:rFonts w:hint="eastAsia" w:ascii="仿宋" w:hAnsi="仿宋" w:eastAsia="仿宋" w:cs="仿宋"/>
          <w:sz w:val="24"/>
          <w:szCs w:val="24"/>
          <w:highlight w:val="none"/>
          <w:lang w:val="en-US" w:eastAsia="zh-CN"/>
        </w:rPr>
        <w:t>他</w:t>
      </w:r>
      <w:r>
        <w:rPr>
          <w:rFonts w:hint="eastAsia" w:ascii="仿宋" w:hAnsi="仿宋" w:eastAsia="仿宋" w:cs="仿宋"/>
          <w:sz w:val="24"/>
          <w:szCs w:val="24"/>
          <w:highlight w:val="none"/>
        </w:rPr>
        <w:t>组织或个体工商户或自然人（提供营业执照或事业单位法人证书或其他有效身份证明材料复印件加盖公章（自然人投标的，投标文件在涉及需加盖公章的位置，由本人签名并加盖手印），如果参与投标的供应商为分公司则须提供分公司营业执照、其所属集团(或总公司)等具有独立法人资格的组织出具愿为其参与本项目投标以及履约行为承担民事责任的授权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格式自拟</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03D6DB6F">
      <w:pPr>
        <w:pStyle w:val="291"/>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参与本项目采购活动时不存在被有关部门禁止参与采购活动且在有效期内的情况（由供应商在《采购投标及履约承诺函》中作出声明，加盖公章）；</w:t>
      </w:r>
    </w:p>
    <w:p w14:paraId="3D8223BF">
      <w:pPr>
        <w:pStyle w:val="291"/>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具备《中华人民共和国政府采购法》第二十二条第一款的条件（由供应商在《采购投标及履约承诺函》中作出声明，加盖公章）；</w:t>
      </w:r>
    </w:p>
    <w:p w14:paraId="543FDF34">
      <w:pPr>
        <w:pStyle w:val="291"/>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未被列入失信被执行人、重大税收违法失信主体、采购严重违法失信行为记录名单（由供应商在《采购投标及履约承诺函》中作出声明，加盖公章）；【注：采购代理机构将通过“信用中国”中“信用服务”栏的“重大税收违法失信主体”“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2D934926">
      <w:pPr>
        <w:pStyle w:val="291"/>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不存在《深圳市财政局政府采购供应商信用信息管理办法》（深财规〔2023〕3 号）列明的严重违法失信行为（由供应商在《采购投标及履约承诺函》中作出声明，加盖公章）；</w:t>
      </w:r>
    </w:p>
    <w:p w14:paraId="4F300F3E">
      <w:pPr>
        <w:pStyle w:val="291"/>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为本项目提供整体设计、规范编制或者项目管理、监理、检测等服务的供应商，不得参加本项目投标。（由供应商在《采购投标及履约承诺函》中作出声明，加盖公章）；</w:t>
      </w:r>
    </w:p>
    <w:p w14:paraId="1E76F72A">
      <w:pPr>
        <w:pStyle w:val="291"/>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本项目不接受联合体投标，不允许</w:t>
      </w:r>
      <w:r>
        <w:rPr>
          <w:rFonts w:hint="eastAsia" w:ascii="仿宋" w:hAnsi="仿宋" w:eastAsia="仿宋" w:cs="仿宋"/>
          <w:sz w:val="24"/>
          <w:szCs w:val="24"/>
          <w:highlight w:val="none"/>
          <w:lang w:val="en-US" w:eastAsia="zh-CN"/>
        </w:rPr>
        <w:t>非法</w:t>
      </w:r>
      <w:r>
        <w:rPr>
          <w:rFonts w:hint="eastAsia" w:ascii="仿宋" w:hAnsi="仿宋" w:eastAsia="仿宋" w:cs="仿宋"/>
          <w:sz w:val="24"/>
          <w:szCs w:val="24"/>
          <w:highlight w:val="none"/>
        </w:rPr>
        <w:t>转包分包（由供应商在《采购投标及履约承诺函》中作出声明，加盖公章）。</w:t>
      </w:r>
    </w:p>
    <w:p w14:paraId="794CFFA1">
      <w:pPr>
        <w:pStyle w:val="291"/>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本项目是否专门面向中小企业采购：否</w:t>
      </w:r>
      <w:r>
        <w:rPr>
          <w:rFonts w:hint="eastAsia" w:ascii="仿宋" w:hAnsi="仿宋" w:eastAsia="仿宋" w:cs="仿宋"/>
          <w:sz w:val="24"/>
          <w:szCs w:val="24"/>
          <w:highlight w:val="none"/>
          <w:lang w:eastAsia="zh-CN"/>
        </w:rPr>
        <w:t>。</w:t>
      </w:r>
    </w:p>
    <w:p w14:paraId="30B1CE04">
      <w:pPr>
        <w:pStyle w:val="291"/>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如发现不同投标供应商的相关信息存在上述“不得”的情形，作投标无效处理）。</w:t>
      </w:r>
    </w:p>
    <w:p w14:paraId="3FE1FA89">
      <w:pPr>
        <w:pStyle w:val="29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注：其中，对于“不同供应商的单位负责人是否为同一人”，由采购代理机构将通过国家企业信用信息公示系统(https://www.gsxt.gov.cn/index.html）或机关赋码和事业单位登记管理网（http://gjsy.gov.cn/sydwfrxxcx/)或全国社会组织信用信息公示平台（https://xxgs.chinanpo.mca.gov.cn/gsxt/newList）等网站查询供应商信息，相关信息以截标当日的查询结果为准。</w:t>
      </w:r>
    </w:p>
    <w:p w14:paraId="3BD48041">
      <w:pPr>
        <w:keepNext w:val="0"/>
        <w:keepLines w:val="0"/>
        <w:pageBreakBefore w:val="0"/>
        <w:kinsoku/>
        <w:wordWrap/>
        <w:overflowPunct/>
        <w:topLinePunct w:val="0"/>
        <w:autoSpaceDE/>
        <w:autoSpaceDN/>
        <w:bidi w:val="0"/>
        <w:adjustRightInd w:val="0"/>
        <w:snapToGrid w:val="0"/>
        <w:spacing w:line="400" w:lineRule="exact"/>
        <w:jc w:val="left"/>
        <w:textAlignment w:val="auto"/>
        <w:outlineLvl w:val="9"/>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三、 获取招标文件</w:t>
      </w:r>
    </w:p>
    <w:p w14:paraId="0C1E9F25">
      <w:pPr>
        <w:pStyle w:val="291"/>
        <w:keepNext w:val="0"/>
        <w:keepLines w:val="0"/>
        <w:pageBreakBefore w:val="0"/>
        <w:widowControl w:val="0"/>
        <w:numPr>
          <w:ilvl w:val="0"/>
          <w:numId w:val="12"/>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时间：</w:t>
      </w:r>
      <w:r>
        <w:rPr>
          <w:rFonts w:hint="eastAsia" w:ascii="仿宋" w:hAnsi="仿宋" w:eastAsia="仿宋" w:cs="仿宋"/>
          <w:sz w:val="24"/>
          <w:szCs w:val="24"/>
          <w:highlight w:val="none"/>
          <w:lang w:val="en-US" w:eastAsia="zh-CN"/>
        </w:rPr>
        <w:t>自本公告发布之日起</w:t>
      </w:r>
      <w:r>
        <w:rPr>
          <w:rFonts w:hint="eastAsia" w:ascii="仿宋" w:hAnsi="仿宋" w:eastAsia="仿宋" w:cs="仿宋"/>
          <w:sz w:val="24"/>
          <w:szCs w:val="24"/>
          <w:highlight w:val="none"/>
        </w:rPr>
        <w:t>至</w:t>
      </w:r>
      <w:r>
        <w:rPr>
          <w:rFonts w:hint="eastAsia" w:ascii="仿宋" w:hAnsi="仿宋" w:eastAsia="仿宋" w:cs="仿宋"/>
          <w:sz w:val="24"/>
          <w:szCs w:val="24"/>
          <w:highlight w:val="none"/>
          <w:lang w:eastAsia="zh-CN"/>
        </w:rPr>
        <w:t>2025</w:t>
      </w:r>
      <w:r>
        <w:rPr>
          <w:rFonts w:hint="eastAsia" w:ascii="仿宋" w:hAnsi="仿宋" w:eastAsia="仿宋" w:cs="仿宋"/>
          <w:sz w:val="24"/>
          <w:szCs w:val="24"/>
          <w:highlight w:val="none"/>
        </w:rPr>
        <w:t>年 月 日止,上午9:00-11:30,下午</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:00-</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:00（公休日及节假日除外，招标文件中时间均为北京时间）；</w:t>
      </w:r>
    </w:p>
    <w:p w14:paraId="367648D4">
      <w:pPr>
        <w:pStyle w:val="291"/>
        <w:keepNext w:val="0"/>
        <w:keepLines w:val="0"/>
        <w:pageBreakBefore w:val="0"/>
        <w:widowControl w:val="0"/>
        <w:numPr>
          <w:ilvl w:val="0"/>
          <w:numId w:val="12"/>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地点：深圳市福田区福田体育公园西北角友和招标代理服务中心（靠近北门）；</w:t>
      </w:r>
    </w:p>
    <w:p w14:paraId="683C33EF">
      <w:pPr>
        <w:pStyle w:val="291"/>
        <w:keepNext w:val="0"/>
        <w:keepLines w:val="0"/>
        <w:pageBreakBefore w:val="0"/>
        <w:widowControl w:val="0"/>
        <w:numPr>
          <w:ilvl w:val="0"/>
          <w:numId w:val="12"/>
        </w:numPr>
        <w:kinsoku/>
        <w:wordWrap w:val="0"/>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报名方式：线上报名，</w:t>
      </w:r>
      <w:r>
        <w:rPr>
          <w:rFonts w:hint="eastAsia" w:ascii="仿宋" w:hAnsi="仿宋" w:eastAsia="仿宋" w:cs="仿宋"/>
          <w:color w:val="FF0000"/>
          <w:sz w:val="24"/>
          <w:highlight w:val="none"/>
          <w:lang w:eastAsia="zh-CN"/>
        </w:rPr>
        <w:t>可通过报名小程序在线预览招标文件，</w:t>
      </w:r>
      <w:r>
        <w:rPr>
          <w:rFonts w:hint="eastAsia" w:ascii="仿宋" w:hAnsi="仿宋" w:eastAsia="仿宋" w:cs="仿宋"/>
          <w:sz w:val="24"/>
          <w:szCs w:val="24"/>
          <w:highlight w:val="none"/>
        </w:rPr>
        <w:t>具体操作请登录“友和招标代理服务网”（网址：http://yhzb.uho.cn/）的“重要通知”</w:t>
      </w:r>
      <w:r>
        <w:rPr>
          <w:rFonts w:hint="eastAsia" w:ascii="仿宋" w:hAnsi="仿宋" w:eastAsia="仿宋" w:cs="仿宋"/>
          <w:sz w:val="24"/>
          <w:szCs w:val="24"/>
          <w:highlight w:val="none"/>
          <w:lang w:eastAsia="zh-CN"/>
        </w:rPr>
        <w:t>（网址：https://yhzb.uho.cn/yhzb/news/article?hashId=XnL8VRJZ1jovq41a&amp;skit=zytz）</w:t>
      </w:r>
      <w:r>
        <w:rPr>
          <w:rFonts w:hint="eastAsia" w:ascii="仿宋" w:hAnsi="仿宋" w:eastAsia="仿宋" w:cs="仿宋"/>
          <w:sz w:val="24"/>
          <w:szCs w:val="24"/>
          <w:highlight w:val="none"/>
        </w:rPr>
        <w:t>中查看《关于采用线上报名方式的通知》；</w:t>
      </w:r>
    </w:p>
    <w:p w14:paraId="7A4D2085">
      <w:pPr>
        <w:pStyle w:val="291"/>
        <w:keepNext w:val="0"/>
        <w:keepLines w:val="0"/>
        <w:pageBreakBefore w:val="0"/>
        <w:widowControl w:val="0"/>
        <w:numPr>
          <w:ilvl w:val="0"/>
          <w:numId w:val="12"/>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售价：本招标文件售价人民币600元，售后不退；如需邮寄，均以“到付”为邮寄费的付费方式。</w:t>
      </w:r>
    </w:p>
    <w:p w14:paraId="4DBA1AE5">
      <w:pPr>
        <w:pStyle w:val="291"/>
        <w:keepNext w:val="0"/>
        <w:keepLines w:val="0"/>
        <w:pageBreakBefore w:val="0"/>
        <w:widowControl w:val="0"/>
        <w:numPr>
          <w:ilvl w:val="0"/>
          <w:numId w:val="12"/>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招标文件售卖咨询电话：0755-83881111</w:t>
      </w:r>
    </w:p>
    <w:p w14:paraId="18513C76">
      <w:pPr>
        <w:pStyle w:val="291"/>
        <w:keepNext w:val="0"/>
        <w:keepLines w:val="0"/>
        <w:pageBreakBefore w:val="0"/>
        <w:widowControl w:val="0"/>
        <w:numPr>
          <w:ilvl w:val="0"/>
          <w:numId w:val="12"/>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购买招标文件所需资料：</w:t>
      </w:r>
    </w:p>
    <w:p w14:paraId="7C18FBA1">
      <w:pPr>
        <w:pStyle w:val="29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（1）法定代表人证明书原件及身份证扫描件（加盖公章）；</w:t>
      </w:r>
    </w:p>
    <w:p w14:paraId="3B3DABEA">
      <w:pPr>
        <w:pStyle w:val="29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（2）法定代表人授权委托书原件及被授权人身份证扫描件（加盖公章）；</w:t>
      </w:r>
    </w:p>
    <w:p w14:paraId="156E4083">
      <w:pPr>
        <w:pStyle w:val="29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（3）上述“二、申请人的资格要求”中第</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项证明文件。</w:t>
      </w:r>
    </w:p>
    <w:p w14:paraId="54739F1A">
      <w:pPr>
        <w:keepNext w:val="0"/>
        <w:keepLines w:val="0"/>
        <w:pageBreakBefore w:val="0"/>
        <w:widowControl/>
        <w:kinsoku/>
        <w:wordWrap/>
        <w:overflowPunct/>
        <w:topLinePunct w:val="0"/>
        <w:autoSpaceDE/>
        <w:autoSpaceDN/>
        <w:bidi w:val="0"/>
        <w:adjustRightInd/>
        <w:snapToGrid w:val="0"/>
        <w:spacing w:line="400" w:lineRule="exact"/>
        <w:ind w:firstLine="482" w:firstLineChars="200"/>
        <w:jc w:val="left"/>
        <w:textAlignment w:val="auto"/>
        <w:outlineLvl w:val="9"/>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温馨提示：</w:t>
      </w:r>
    </w:p>
    <w:p w14:paraId="14A40758">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1.以上材料投标时需</w:t>
      </w:r>
      <w:r>
        <w:rPr>
          <w:rFonts w:hint="eastAsia" w:ascii="仿宋" w:hAnsi="仿宋" w:eastAsia="仿宋" w:cs="仿宋"/>
          <w:kern w:val="2"/>
          <w:sz w:val="24"/>
          <w:szCs w:val="24"/>
          <w:highlight w:val="none"/>
          <w:lang w:eastAsia="zh-CN"/>
        </w:rPr>
        <w:t>同时</w:t>
      </w:r>
      <w:r>
        <w:rPr>
          <w:rFonts w:hint="eastAsia" w:ascii="仿宋" w:hAnsi="仿宋" w:eastAsia="仿宋" w:cs="仿宋"/>
          <w:kern w:val="2"/>
          <w:sz w:val="24"/>
          <w:szCs w:val="24"/>
          <w:highlight w:val="none"/>
        </w:rPr>
        <w:t>放入投标文件中作为资格审查材料。</w:t>
      </w:r>
    </w:p>
    <w:p w14:paraId="4C62AE2A">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fldChar w:fldCharType="begin"/>
      </w:r>
      <w:r>
        <w:rPr>
          <w:rFonts w:hint="eastAsia" w:ascii="仿宋" w:hAnsi="仿宋" w:eastAsia="仿宋" w:cs="仿宋"/>
          <w:kern w:val="2"/>
          <w:sz w:val="24"/>
          <w:szCs w:val="24"/>
          <w:highlight w:val="none"/>
        </w:rPr>
        <w:instrText xml:space="preserve"> HYPERLINK "mailto:2.投标报名审核通过后，招标文件电子版将通过邮箱（uhocai@163.com）发送到投标报名表上填写的邮箱中。" </w:instrText>
      </w:r>
      <w:r>
        <w:rPr>
          <w:rFonts w:hint="eastAsia" w:ascii="仿宋" w:hAnsi="仿宋" w:eastAsia="仿宋" w:cs="仿宋"/>
          <w:kern w:val="2"/>
          <w:sz w:val="24"/>
          <w:szCs w:val="24"/>
          <w:highlight w:val="none"/>
        </w:rPr>
        <w:fldChar w:fldCharType="separate"/>
      </w:r>
      <w:r>
        <w:rPr>
          <w:rFonts w:hint="eastAsia" w:ascii="仿宋" w:hAnsi="仿宋" w:eastAsia="仿宋" w:cs="仿宋"/>
          <w:kern w:val="2"/>
          <w:sz w:val="24"/>
          <w:szCs w:val="24"/>
          <w:highlight w:val="none"/>
        </w:rPr>
        <w:t>2.投标报名审核通过后，招标文件电子版将通过邮箱（uhocai@163.com）发送到投标报名表上填写的邮箱中。</w:t>
      </w:r>
      <w:r>
        <w:rPr>
          <w:rFonts w:hint="eastAsia" w:ascii="仿宋" w:hAnsi="仿宋" w:eastAsia="仿宋" w:cs="仿宋"/>
          <w:kern w:val="2"/>
          <w:sz w:val="24"/>
          <w:szCs w:val="24"/>
          <w:highlight w:val="none"/>
        </w:rPr>
        <w:fldChar w:fldCharType="end"/>
      </w:r>
    </w:p>
    <w:p w14:paraId="797E5165">
      <w:pPr>
        <w:widowControl/>
        <w:snapToGrid w:val="0"/>
        <w:spacing w:line="400" w:lineRule="exact"/>
        <w:ind w:firstLine="480" w:firstLineChars="200"/>
        <w:jc w:val="left"/>
        <w:rPr>
          <w:rFonts w:hint="eastAsia" w:ascii="仿宋" w:hAnsi="仿宋" w:eastAsia="仿宋" w:cs="仿宋"/>
          <w:sz w:val="24"/>
          <w:highlight w:val="none"/>
        </w:rPr>
      </w:pPr>
      <w:r>
        <w:rPr>
          <w:rFonts w:hint="eastAsia" w:ascii="仿宋" w:hAnsi="仿宋" w:eastAsia="仿宋" w:cs="仿宋"/>
          <w:kern w:val="2"/>
          <w:sz w:val="24"/>
          <w:highlight w:val="none"/>
          <w:lang w:val="en-US" w:eastAsia="zh-CN"/>
        </w:rPr>
        <w:t>3.本项目通过“深圳政府采购自行采购系统”采购，供应商需在报名时同步完成“</w:t>
      </w:r>
      <w:r>
        <w:rPr>
          <w:rFonts w:hint="eastAsia" w:ascii="仿宋" w:hAnsi="仿宋" w:eastAsia="仿宋" w:cs="仿宋"/>
          <w:sz w:val="24"/>
          <w:highlight w:val="none"/>
        </w:rPr>
        <w:t>深圳政府采购自行采购系统统一用户中心</w:t>
      </w:r>
      <w:r>
        <w:rPr>
          <w:rFonts w:hint="eastAsia" w:ascii="仿宋" w:hAnsi="仿宋" w:eastAsia="仿宋" w:cs="仿宋"/>
          <w:kern w:val="2"/>
          <w:sz w:val="24"/>
          <w:highlight w:val="none"/>
          <w:lang w:val="en-US" w:eastAsia="zh-CN"/>
        </w:rPr>
        <w:t>”（</w:t>
      </w:r>
      <w:r>
        <w:rPr>
          <w:rFonts w:hint="eastAsia" w:ascii="仿宋" w:hAnsi="仿宋" w:eastAsia="仿宋" w:cs="仿宋"/>
          <w:sz w:val="24"/>
          <w:highlight w:val="none"/>
        </w:rPr>
        <w:t>https://trade.szggzy.com/ggzy/center/#/login</w:t>
      </w:r>
      <w:r>
        <w:rPr>
          <w:rFonts w:hint="eastAsia" w:ascii="仿宋" w:hAnsi="仿宋" w:eastAsia="仿宋" w:cs="仿宋"/>
          <w:sz w:val="24"/>
          <w:highlight w:val="none"/>
          <w:lang w:eastAsia="zh-CN"/>
        </w:rPr>
        <w:t>）</w:t>
      </w:r>
      <w:r>
        <w:rPr>
          <w:rFonts w:hint="eastAsia" w:ascii="仿宋" w:hAnsi="仿宋" w:eastAsia="仿宋" w:cs="仿宋"/>
          <w:kern w:val="2"/>
          <w:sz w:val="24"/>
          <w:highlight w:val="none"/>
          <w:lang w:val="en-US" w:eastAsia="zh-CN"/>
        </w:rPr>
        <w:t>的供应商注册，以便及时发布采购结果公告。</w:t>
      </w:r>
    </w:p>
    <w:p w14:paraId="673E0F5A">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四、提交投标文件截止时间、 开标时间和地点</w:t>
      </w:r>
    </w:p>
    <w:p w14:paraId="375E3079">
      <w:pPr>
        <w:keepNext w:val="0"/>
        <w:keepLines w:val="0"/>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仿宋" w:hAnsi="仿宋" w:eastAsia="仿宋" w:cs="仿宋"/>
          <w:bCs/>
          <w:sz w:val="24"/>
          <w:szCs w:val="24"/>
          <w:highlight w:val="none"/>
        </w:rPr>
      </w:pPr>
      <w:r>
        <w:rPr>
          <w:rFonts w:hint="eastAsia" w:ascii="仿宋" w:hAnsi="仿宋" w:eastAsia="仿宋" w:cs="仿宋"/>
          <w:bCs/>
          <w:sz w:val="24"/>
          <w:szCs w:val="24"/>
          <w:highlight w:val="none"/>
        </w:rPr>
        <w:t>递交</w:t>
      </w:r>
      <w:r>
        <w:rPr>
          <w:rFonts w:hint="eastAsia" w:ascii="仿宋" w:hAnsi="仿宋" w:eastAsia="仿宋" w:cs="仿宋"/>
          <w:bCs/>
          <w:sz w:val="24"/>
          <w:szCs w:val="24"/>
          <w:highlight w:val="none"/>
          <w:lang w:val="en-US" w:eastAsia="zh-CN"/>
        </w:rPr>
        <w:t>投标</w:t>
      </w:r>
      <w:r>
        <w:rPr>
          <w:rFonts w:hint="eastAsia" w:ascii="仿宋" w:hAnsi="仿宋" w:eastAsia="仿宋" w:cs="仿宋"/>
          <w:bCs/>
          <w:sz w:val="24"/>
          <w:szCs w:val="24"/>
          <w:highlight w:val="none"/>
        </w:rPr>
        <w:t>文件时间：</w:t>
      </w:r>
      <w:r>
        <w:rPr>
          <w:rFonts w:hint="eastAsia" w:ascii="仿宋" w:hAnsi="仿宋" w:eastAsia="仿宋" w:cs="仿宋"/>
          <w:color w:val="000000"/>
          <w:sz w:val="24"/>
          <w:highlight w:val="none"/>
        </w:rPr>
        <w:t>X年X月X日</w:t>
      </w:r>
      <w:r>
        <w:rPr>
          <w:rFonts w:hint="eastAsia" w:ascii="仿宋" w:hAnsi="仿宋" w:eastAsia="仿宋" w:cs="仿宋"/>
          <w:bCs/>
          <w:sz w:val="24"/>
          <w:szCs w:val="24"/>
          <w:highlight w:val="none"/>
          <w:lang w:val="en-US" w:eastAsia="zh-CN"/>
        </w:rPr>
        <w:t>9</w:t>
      </w:r>
      <w:r>
        <w:rPr>
          <w:rFonts w:hint="eastAsia" w:ascii="仿宋" w:hAnsi="仿宋" w:eastAsia="仿宋" w:cs="仿宋"/>
          <w:bCs/>
          <w:sz w:val="24"/>
          <w:szCs w:val="24"/>
          <w:highlight w:val="none"/>
        </w:rPr>
        <w:t>:00:00-</w:t>
      </w:r>
      <w:r>
        <w:rPr>
          <w:rFonts w:hint="eastAsia" w:ascii="仿宋" w:hAnsi="仿宋" w:eastAsia="仿宋" w:cs="仿宋"/>
          <w:bCs/>
          <w:sz w:val="24"/>
          <w:szCs w:val="24"/>
          <w:highlight w:val="none"/>
          <w:lang w:val="en-US" w:eastAsia="zh-CN"/>
        </w:rPr>
        <w:t>9</w:t>
      </w:r>
      <w:r>
        <w:rPr>
          <w:rFonts w:hint="eastAsia" w:ascii="仿宋" w:hAnsi="仿宋" w:eastAsia="仿宋" w:cs="仿宋"/>
          <w:bCs/>
          <w:sz w:val="24"/>
          <w:szCs w:val="24"/>
          <w:highlight w:val="none"/>
        </w:rPr>
        <w:t>:30:00</w:t>
      </w:r>
    </w:p>
    <w:p w14:paraId="3430CBF5">
      <w:pPr>
        <w:keepNext w:val="0"/>
        <w:keepLines w:val="0"/>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仿宋" w:hAnsi="仿宋" w:eastAsia="仿宋" w:cs="仿宋"/>
          <w:color w:val="000000"/>
          <w:sz w:val="24"/>
          <w:highlight w:val="none"/>
        </w:rPr>
      </w:pPr>
      <w:r>
        <w:rPr>
          <w:rFonts w:hint="eastAsia" w:ascii="仿宋" w:hAnsi="仿宋" w:eastAsia="仿宋" w:cs="仿宋"/>
          <w:bCs/>
          <w:sz w:val="24"/>
          <w:szCs w:val="24"/>
          <w:highlight w:val="none"/>
          <w:lang w:val="en-US" w:eastAsia="zh-CN"/>
        </w:rPr>
        <w:t>投标截止</w:t>
      </w:r>
      <w:r>
        <w:rPr>
          <w:rFonts w:hint="eastAsia" w:ascii="仿宋" w:hAnsi="仿宋" w:eastAsia="仿宋" w:cs="仿宋"/>
          <w:bCs/>
          <w:sz w:val="24"/>
          <w:szCs w:val="24"/>
          <w:highlight w:val="none"/>
        </w:rPr>
        <w:t>时间：</w:t>
      </w:r>
      <w:r>
        <w:rPr>
          <w:rFonts w:hint="eastAsia" w:ascii="仿宋" w:hAnsi="仿宋" w:eastAsia="仿宋" w:cs="仿宋"/>
          <w:color w:val="000000"/>
          <w:sz w:val="24"/>
          <w:highlight w:val="none"/>
        </w:rPr>
        <w:t>X年X月X日</w:t>
      </w:r>
      <w:r>
        <w:rPr>
          <w:rFonts w:hint="eastAsia" w:ascii="仿宋" w:hAnsi="仿宋" w:eastAsia="仿宋" w:cs="仿宋"/>
          <w:color w:val="000000"/>
          <w:sz w:val="24"/>
          <w:highlight w:val="none"/>
          <w:lang w:val="en-US" w:eastAsia="zh-CN"/>
        </w:rPr>
        <w:t>9</w:t>
      </w:r>
      <w:r>
        <w:rPr>
          <w:rFonts w:hint="eastAsia" w:ascii="仿宋" w:hAnsi="仿宋" w:eastAsia="仿宋" w:cs="仿宋"/>
          <w:color w:val="000000"/>
          <w:sz w:val="24"/>
          <w:highlight w:val="none"/>
        </w:rPr>
        <w:t>时</w:t>
      </w:r>
      <w:r>
        <w:rPr>
          <w:rFonts w:hint="eastAsia" w:ascii="仿宋" w:hAnsi="仿宋" w:eastAsia="仿宋" w:cs="仿宋"/>
          <w:color w:val="000000"/>
          <w:sz w:val="24"/>
          <w:highlight w:val="none"/>
          <w:lang w:val="en-US" w:eastAsia="zh-CN"/>
        </w:rPr>
        <w:t>30</w:t>
      </w:r>
      <w:r>
        <w:rPr>
          <w:rFonts w:hint="eastAsia" w:ascii="仿宋" w:hAnsi="仿宋" w:eastAsia="仿宋" w:cs="仿宋"/>
          <w:color w:val="000000"/>
          <w:sz w:val="24"/>
          <w:highlight w:val="none"/>
        </w:rPr>
        <w:t>分00秒（北京时间）</w:t>
      </w:r>
    </w:p>
    <w:p w14:paraId="405B224B">
      <w:pPr>
        <w:keepNext w:val="0"/>
        <w:keepLines w:val="0"/>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仿宋" w:hAnsi="仿宋" w:eastAsia="仿宋" w:cs="仿宋"/>
          <w:highlight w:val="none"/>
          <w:lang w:val="en-US" w:eastAsia="zh-CN"/>
        </w:rPr>
      </w:pPr>
      <w:r>
        <w:rPr>
          <w:rFonts w:hint="eastAsia" w:ascii="仿宋" w:hAnsi="仿宋" w:eastAsia="仿宋" w:cs="仿宋"/>
          <w:color w:val="000000"/>
          <w:sz w:val="24"/>
          <w:highlight w:val="none"/>
          <w:lang w:val="en-US" w:eastAsia="zh-CN"/>
        </w:rPr>
        <w:t>开标时间：</w:t>
      </w:r>
      <w:r>
        <w:rPr>
          <w:rFonts w:hint="eastAsia" w:ascii="仿宋" w:hAnsi="仿宋" w:eastAsia="仿宋" w:cs="仿宋"/>
          <w:color w:val="000000"/>
          <w:sz w:val="24"/>
          <w:highlight w:val="none"/>
        </w:rPr>
        <w:t>X年X月X日</w:t>
      </w:r>
      <w:r>
        <w:rPr>
          <w:rFonts w:hint="eastAsia" w:ascii="仿宋" w:hAnsi="仿宋" w:eastAsia="仿宋" w:cs="仿宋"/>
          <w:color w:val="000000"/>
          <w:sz w:val="24"/>
          <w:highlight w:val="none"/>
          <w:lang w:val="en-US" w:eastAsia="zh-CN"/>
        </w:rPr>
        <w:t>9</w:t>
      </w:r>
      <w:r>
        <w:rPr>
          <w:rFonts w:hint="eastAsia" w:ascii="仿宋" w:hAnsi="仿宋" w:eastAsia="仿宋" w:cs="仿宋"/>
          <w:color w:val="000000"/>
          <w:sz w:val="24"/>
          <w:highlight w:val="none"/>
        </w:rPr>
        <w:t>时</w:t>
      </w:r>
      <w:r>
        <w:rPr>
          <w:rFonts w:hint="eastAsia" w:ascii="仿宋" w:hAnsi="仿宋" w:eastAsia="仿宋" w:cs="仿宋"/>
          <w:color w:val="000000"/>
          <w:sz w:val="24"/>
          <w:highlight w:val="none"/>
          <w:lang w:val="en-US" w:eastAsia="zh-CN"/>
        </w:rPr>
        <w:t>30</w:t>
      </w:r>
      <w:r>
        <w:rPr>
          <w:rFonts w:hint="eastAsia" w:ascii="仿宋" w:hAnsi="仿宋" w:eastAsia="仿宋" w:cs="仿宋"/>
          <w:color w:val="000000"/>
          <w:sz w:val="24"/>
          <w:highlight w:val="none"/>
        </w:rPr>
        <w:t>分00秒（北京时间）</w:t>
      </w:r>
    </w:p>
    <w:p w14:paraId="4145D393">
      <w:pPr>
        <w:spacing w:line="400" w:lineRule="exact"/>
        <w:ind w:firstLine="480" w:firstLineChars="200"/>
        <w:outlineLvl w:val="9"/>
        <w:rPr>
          <w:rFonts w:hint="eastAsia" w:ascii="仿宋" w:hAnsi="仿宋" w:eastAsia="仿宋" w:cs="仿宋"/>
          <w:highlight w:val="none"/>
          <w:lang w:val="zh-CN"/>
        </w:rPr>
      </w:pPr>
      <w:r>
        <w:rPr>
          <w:rFonts w:hint="eastAsia" w:ascii="仿宋" w:hAnsi="仿宋" w:eastAsia="仿宋" w:cs="仿宋"/>
          <w:sz w:val="24"/>
          <w:szCs w:val="24"/>
          <w:highlight w:val="none"/>
        </w:rPr>
        <w:t>地点：</w:t>
      </w:r>
      <w:r>
        <w:rPr>
          <w:rFonts w:hint="eastAsia" w:ascii="仿宋" w:hAnsi="仿宋" w:eastAsia="仿宋" w:cs="仿宋"/>
          <w:snapToGrid w:val="0"/>
          <w:sz w:val="24"/>
          <w:szCs w:val="24"/>
          <w:highlight w:val="none"/>
          <w:lang w:val="zh-CN"/>
        </w:rPr>
        <w:t>深圳市福田区福田体育公园西北角友和招标代理服务中心（靠近北门）</w:t>
      </w:r>
    </w:p>
    <w:p w14:paraId="18931C44">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五、 公告期限</w:t>
      </w:r>
    </w:p>
    <w:p w14:paraId="707E8D7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自本公告发布之日起 5 个工作日。</w:t>
      </w:r>
    </w:p>
    <w:p w14:paraId="6FC63FCE">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六、 其他补充事宜：</w:t>
      </w:r>
    </w:p>
    <w:p w14:paraId="77B8E066">
      <w:pPr>
        <w:pStyle w:val="288"/>
        <w:keepNext w:val="0"/>
        <w:keepLines w:val="0"/>
        <w:pageBreakBefore w:val="0"/>
        <w:widowControl w:val="0"/>
        <w:numPr>
          <w:ilvl w:val="0"/>
          <w:numId w:val="13"/>
        </w:numPr>
        <w:kinsoku/>
        <w:wordWrap/>
        <w:overflowPunct/>
        <w:topLinePunct w:val="0"/>
        <w:autoSpaceDE/>
        <w:autoSpaceDN/>
        <w:bidi w:val="0"/>
        <w:adjustRightInd w:val="0"/>
        <w:snapToGrid w:val="0"/>
        <w:spacing w:line="400" w:lineRule="exact"/>
        <w:ind w:left="0" w:firstLine="422"/>
        <w:jc w:val="left"/>
        <w:textAlignment w:val="auto"/>
        <w:outlineLvl w:val="9"/>
        <w:rPr>
          <w:rFonts w:hint="eastAsia" w:ascii="仿宋" w:hAnsi="仿宋" w:eastAsia="仿宋" w:cs="仿宋"/>
          <w:b/>
          <w:sz w:val="24"/>
          <w:szCs w:val="24"/>
          <w:highlight w:val="none"/>
        </w:rPr>
      </w:pPr>
      <w:r>
        <w:rPr>
          <w:rFonts w:hint="eastAsia" w:ascii="仿宋" w:hAnsi="仿宋" w:eastAsia="仿宋" w:cs="仿宋"/>
          <w:b/>
          <w:sz w:val="24"/>
          <w:szCs w:val="24"/>
          <w:highlight w:val="none"/>
        </w:rPr>
        <w:t>澄清及答疑事项：</w:t>
      </w:r>
    </w:p>
    <w:p w14:paraId="73F9B0A4">
      <w:pPr>
        <w:pStyle w:val="12"/>
        <w:keepNext w:val="0"/>
        <w:keepLines w:val="0"/>
        <w:pageBreakBefore w:val="0"/>
        <w:widowControl w:val="0"/>
        <w:kinsoku/>
        <w:wordWrap/>
        <w:overflowPunct/>
        <w:topLinePunct w:val="0"/>
        <w:autoSpaceDE/>
        <w:autoSpaceDN/>
        <w:bidi w:val="0"/>
        <w:snapToGrid w:val="0"/>
        <w:spacing w:line="400" w:lineRule="exact"/>
        <w:ind w:firstLine="400"/>
        <w:textAlignment w:val="auto"/>
        <w:outlineLvl w:val="9"/>
        <w:rPr>
          <w:rFonts w:hint="eastAsia" w:ascii="仿宋" w:hAnsi="仿宋" w:eastAsia="仿宋" w:cs="仿宋"/>
          <w:snapToGrid w:val="0"/>
          <w:color w:val="FF0000"/>
          <w:sz w:val="24"/>
          <w:szCs w:val="24"/>
          <w:highlight w:val="none"/>
          <w:lang w:val="zh-CN"/>
        </w:rPr>
      </w:pPr>
      <w:r>
        <w:rPr>
          <w:rFonts w:hint="eastAsia" w:ascii="仿宋" w:hAnsi="仿宋" w:eastAsia="仿宋" w:cs="仿宋"/>
          <w:snapToGrid w:val="0"/>
          <w:color w:val="FF0000"/>
          <w:sz w:val="24"/>
          <w:szCs w:val="24"/>
          <w:highlight w:val="none"/>
          <w:lang w:val="zh-CN"/>
        </w:rPr>
        <w:t>投标人要求采购人对招标文件进行澄清的，请于投标截止日五日前，以书面形式加盖单位公章邮件或送达招标代理机构，邮件须电话确认，逾期不予受理。对招标文件进行澄清或者修改的，招标代理机构在投标截止日三日前通知所有已收受招标文件或者已响应招标的供应商。对招标文件的任何澄清或者修改，以招标代理机构发出的通知为准。</w:t>
      </w:r>
    </w:p>
    <w:p w14:paraId="660DABF9">
      <w:pPr>
        <w:pStyle w:val="12"/>
        <w:keepNext w:val="0"/>
        <w:keepLines w:val="0"/>
        <w:pageBreakBefore w:val="0"/>
        <w:widowControl w:val="0"/>
        <w:kinsoku/>
        <w:wordWrap/>
        <w:overflowPunct/>
        <w:topLinePunct w:val="0"/>
        <w:autoSpaceDE/>
        <w:autoSpaceDN/>
        <w:bidi w:val="0"/>
        <w:snapToGrid w:val="0"/>
        <w:spacing w:line="400" w:lineRule="exact"/>
        <w:ind w:firstLine="400"/>
        <w:textAlignment w:val="auto"/>
        <w:outlineLvl w:val="9"/>
        <w:rPr>
          <w:rFonts w:hint="eastAsia" w:ascii="仿宋" w:hAnsi="仿宋" w:eastAsia="仿宋" w:cs="仿宋"/>
          <w:snapToGrid w:val="0"/>
          <w:color w:val="auto"/>
          <w:sz w:val="24"/>
          <w:szCs w:val="24"/>
          <w:highlight w:val="none"/>
          <w:lang w:val="zh-CN"/>
        </w:rPr>
      </w:pPr>
      <w:r>
        <w:rPr>
          <w:rFonts w:hint="eastAsia" w:ascii="仿宋" w:hAnsi="仿宋" w:eastAsia="仿宋" w:cs="仿宋"/>
          <w:snapToGrid w:val="0"/>
          <w:color w:val="auto"/>
          <w:sz w:val="24"/>
          <w:szCs w:val="24"/>
          <w:highlight w:val="none"/>
          <w:lang w:val="zh-CN"/>
        </w:rPr>
        <w:t>（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公共资源交易中心网（ https://www.szggzy.com/fwdh/fwdhzfcg/bszn1/content_203163.html ）所发布的质疑指引、质疑函模板填写质疑函并提交质疑材料。质疑材料可以采用现场或邮寄方式提交，采用邮寄方式提交的，交邮时间应在本公告发布之日起</w:t>
      </w:r>
      <w:r>
        <w:rPr>
          <w:rFonts w:hint="eastAsia" w:ascii="仿宋" w:hAnsi="仿宋" w:eastAsia="仿宋" w:cs="仿宋"/>
          <w:snapToGrid w:val="0"/>
          <w:color w:val="FF0000"/>
          <w:sz w:val="24"/>
          <w:szCs w:val="24"/>
          <w:highlight w:val="none"/>
          <w:lang w:val="zh-CN"/>
        </w:rPr>
        <w:t>七个工作日内</w:t>
      </w:r>
      <w:r>
        <w:rPr>
          <w:rFonts w:hint="eastAsia" w:ascii="仿宋" w:hAnsi="仿宋" w:eastAsia="仿宋" w:cs="仿宋"/>
          <w:snapToGrid w:val="0"/>
          <w:color w:val="auto"/>
          <w:sz w:val="24"/>
          <w:szCs w:val="24"/>
          <w:highlight w:val="none"/>
          <w:lang w:val="zh-CN"/>
        </w:rPr>
        <w:t>。质疑材料现场提交、邮寄地址：深圳市福田区福强路3030号福田体育公园西北角友和招标代理服务中心（靠近北门）。质疑咨询电话：</w:t>
      </w:r>
      <w:r>
        <w:rPr>
          <w:rFonts w:hint="eastAsia" w:ascii="仿宋" w:hAnsi="仿宋" w:eastAsia="仿宋" w:cs="仿宋"/>
          <w:snapToGrid w:val="0"/>
          <w:color w:val="FF0000"/>
          <w:sz w:val="24"/>
          <w:szCs w:val="24"/>
          <w:highlight w:val="none"/>
          <w:lang w:val="zh-CN"/>
        </w:rPr>
        <w:t>0755-8388</w:t>
      </w:r>
      <w:r>
        <w:rPr>
          <w:rFonts w:hint="eastAsia" w:ascii="仿宋" w:hAnsi="仿宋" w:eastAsia="仿宋" w:cs="仿宋"/>
          <w:snapToGrid w:val="0"/>
          <w:color w:val="FF0000"/>
          <w:sz w:val="24"/>
          <w:szCs w:val="24"/>
          <w:highlight w:val="none"/>
          <w:lang w:val="en-US" w:eastAsia="zh-CN"/>
        </w:rPr>
        <w:t>1282</w:t>
      </w:r>
      <w:r>
        <w:rPr>
          <w:rFonts w:hint="eastAsia" w:ascii="仿宋" w:hAnsi="仿宋" w:eastAsia="仿宋" w:cs="仿宋"/>
          <w:snapToGrid w:val="0"/>
          <w:color w:val="auto"/>
          <w:sz w:val="24"/>
          <w:szCs w:val="24"/>
          <w:highlight w:val="none"/>
          <w:lang w:val="zh-CN"/>
        </w:rPr>
        <w:t>。根据《深圳经济特区政府采购条例》第四十二条“供应商投诉的事项应当是经过质疑的事项”的规定，未经正式质疑的，将影响供应商行使向财政部门提起投诉的权利。）</w:t>
      </w:r>
    </w:p>
    <w:p w14:paraId="50F00DEB">
      <w:pPr>
        <w:pStyle w:val="288"/>
        <w:keepNext w:val="0"/>
        <w:keepLines w:val="0"/>
        <w:pageBreakBefore w:val="0"/>
        <w:widowControl w:val="0"/>
        <w:numPr>
          <w:ilvl w:val="0"/>
          <w:numId w:val="13"/>
        </w:numPr>
        <w:kinsoku/>
        <w:wordWrap/>
        <w:overflowPunct/>
        <w:topLinePunct w:val="0"/>
        <w:autoSpaceDE/>
        <w:autoSpaceDN/>
        <w:bidi w:val="0"/>
        <w:adjustRightInd w:val="0"/>
        <w:snapToGrid w:val="0"/>
        <w:spacing w:line="400" w:lineRule="exact"/>
        <w:ind w:left="0" w:firstLine="422"/>
        <w:jc w:val="left"/>
        <w:textAlignment w:val="auto"/>
        <w:outlineLvl w:val="9"/>
        <w:rPr>
          <w:rFonts w:hint="eastAsia" w:ascii="仿宋" w:hAnsi="仿宋" w:eastAsia="仿宋" w:cs="仿宋"/>
          <w:sz w:val="24"/>
          <w:szCs w:val="24"/>
          <w:highlight w:val="none"/>
        </w:rPr>
      </w:pPr>
      <w:r>
        <w:rPr>
          <w:rFonts w:hint="eastAsia" w:ascii="仿宋" w:hAnsi="仿宋" w:eastAsia="仿宋" w:cs="仿宋"/>
          <w:b/>
          <w:bCs/>
          <w:sz w:val="24"/>
          <w:szCs w:val="24"/>
          <w:highlight w:val="none"/>
        </w:rPr>
        <w:t>重要提示：</w:t>
      </w:r>
    </w:p>
    <w:p w14:paraId="72B39374">
      <w:pPr>
        <w:pStyle w:val="288"/>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napToGrid w:val="0"/>
          <w:kern w:val="0"/>
          <w:sz w:val="24"/>
          <w:szCs w:val="24"/>
          <w:highlight w:val="none"/>
          <w:lang w:val="zh-CN" w:eastAsia="zh-CN" w:bidi="ar-SA"/>
        </w:rPr>
      </w:pPr>
      <w:r>
        <w:rPr>
          <w:rFonts w:hint="eastAsia" w:ascii="仿宋" w:hAnsi="仿宋" w:eastAsia="仿宋" w:cs="仿宋"/>
          <w:snapToGrid w:val="0"/>
          <w:kern w:val="0"/>
          <w:sz w:val="24"/>
          <w:szCs w:val="24"/>
          <w:highlight w:val="none"/>
          <w:lang w:val="zh-CN" w:eastAsia="zh-CN" w:bidi="ar-SA"/>
        </w:rPr>
        <w:t>投标人有义务在招标活动期间浏览下述“相关项目信息查询网址”中各网站信息，招标人在相关网站上公布的与本次招标项目有关的信息视为已送达各投标人。招标人恕不再行电话通知各投标人。</w:t>
      </w:r>
    </w:p>
    <w:p w14:paraId="182D605B">
      <w:pPr>
        <w:pStyle w:val="288"/>
        <w:keepNext w:val="0"/>
        <w:keepLines w:val="0"/>
        <w:pageBreakBefore w:val="0"/>
        <w:widowControl w:val="0"/>
        <w:numPr>
          <w:ilvl w:val="0"/>
          <w:numId w:val="13"/>
        </w:numPr>
        <w:kinsoku/>
        <w:wordWrap/>
        <w:overflowPunct/>
        <w:topLinePunct w:val="0"/>
        <w:autoSpaceDE/>
        <w:autoSpaceDN/>
        <w:bidi w:val="0"/>
        <w:adjustRightInd w:val="0"/>
        <w:snapToGrid w:val="0"/>
        <w:spacing w:line="400" w:lineRule="exact"/>
        <w:ind w:left="0" w:firstLine="422"/>
        <w:jc w:val="left"/>
        <w:textAlignment w:val="auto"/>
        <w:outlineLvl w:val="9"/>
        <w:rPr>
          <w:rFonts w:hint="eastAsia" w:ascii="仿宋" w:hAnsi="仿宋" w:eastAsia="仿宋" w:cs="仿宋"/>
          <w:b/>
          <w:bCs/>
          <w:sz w:val="24"/>
          <w:szCs w:val="24"/>
          <w:highlight w:val="none"/>
        </w:rPr>
      </w:pPr>
      <w:r>
        <w:rPr>
          <w:rFonts w:hint="eastAsia" w:ascii="仿宋" w:hAnsi="仿宋" w:eastAsia="仿宋" w:cs="仿宋"/>
          <w:b/>
          <w:sz w:val="24"/>
          <w:szCs w:val="24"/>
          <w:highlight w:val="none"/>
        </w:rPr>
        <w:t>本项目所属行业类型为：</w:t>
      </w:r>
      <w:r>
        <w:rPr>
          <w:rFonts w:hint="eastAsia" w:ascii="仿宋" w:hAnsi="仿宋" w:eastAsia="仿宋" w:cs="仿宋"/>
          <w:b/>
          <w:sz w:val="24"/>
          <w:szCs w:val="24"/>
          <w:highlight w:val="none"/>
          <w:lang w:val="en-US" w:eastAsia="zh-CN"/>
        </w:rPr>
        <w:t>其他未列明行业</w:t>
      </w:r>
      <w:r>
        <w:rPr>
          <w:rFonts w:hint="eastAsia" w:ascii="仿宋" w:hAnsi="仿宋" w:eastAsia="仿宋" w:cs="仿宋"/>
          <w:b/>
          <w:bCs/>
          <w:sz w:val="24"/>
          <w:szCs w:val="24"/>
          <w:highlight w:val="none"/>
        </w:rPr>
        <w:t xml:space="preserve">  </w:t>
      </w:r>
    </w:p>
    <w:p w14:paraId="1714418D">
      <w:pPr>
        <w:pStyle w:val="288"/>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eastAsia="zh-CN"/>
        </w:rPr>
        <w:t>注：</w:t>
      </w:r>
      <w:r>
        <w:rPr>
          <w:rFonts w:hint="eastAsia" w:ascii="仿宋" w:hAnsi="仿宋" w:eastAsia="仿宋" w:cs="仿宋"/>
          <w:b w:val="0"/>
          <w:bCs w:val="0"/>
          <w:sz w:val="24"/>
          <w:szCs w:val="24"/>
          <w:highlight w:val="none"/>
        </w:rPr>
        <w:t>投标人须根据《政府采购促进中小企业发展管理办法》（财库﹝2020﹞46 号）的规定填写《中小企业声明函》。</w:t>
      </w:r>
    </w:p>
    <w:p w14:paraId="7D08C39B">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仿宋" w:hAnsi="仿宋" w:eastAsia="仿宋" w:cs="仿宋"/>
          <w:b/>
          <w:sz w:val="24"/>
          <w:szCs w:val="24"/>
          <w:highlight w:val="none"/>
        </w:rPr>
      </w:pPr>
      <w:r>
        <w:rPr>
          <w:rFonts w:hint="eastAsia" w:ascii="仿宋" w:hAnsi="仿宋" w:eastAsia="仿宋" w:cs="仿宋"/>
          <w:b/>
          <w:sz w:val="24"/>
          <w:szCs w:val="24"/>
          <w:highlight w:val="none"/>
        </w:rPr>
        <w:t>七、对本次招标提出询问， 请按以下方式联系。</w:t>
      </w:r>
    </w:p>
    <w:p w14:paraId="60796145">
      <w:pPr>
        <w:pStyle w:val="291"/>
        <w:keepNext w:val="0"/>
        <w:keepLines w:val="0"/>
        <w:pageBreakBefore w:val="0"/>
        <w:widowControl w:val="0"/>
        <w:numPr>
          <w:ilvl w:val="0"/>
          <w:numId w:val="14"/>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采购人信息</w:t>
      </w:r>
    </w:p>
    <w:p w14:paraId="771A322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名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称：深圳博物馆</w:t>
      </w:r>
    </w:p>
    <w:p w14:paraId="216B064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地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址：广东省深圳市福田区福中路市民中心A区</w:t>
      </w:r>
    </w:p>
    <w:p w14:paraId="09343D71">
      <w:pPr>
        <w:pStyle w:val="291"/>
        <w:keepNext w:val="0"/>
        <w:keepLines w:val="0"/>
        <w:pageBreakBefore w:val="0"/>
        <w:widowControl w:val="0"/>
        <w:numPr>
          <w:ilvl w:val="0"/>
          <w:numId w:val="14"/>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采购代理机构信息</w:t>
      </w:r>
    </w:p>
    <w:p w14:paraId="7044CAB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 xml:space="preserve">名 </w:t>
      </w:r>
      <w:r>
        <w:rPr>
          <w:rFonts w:hint="eastAsia" w:ascii="仿宋" w:hAnsi="仿宋" w:eastAsia="仿宋" w:cs="仿宋"/>
          <w:sz w:val="24"/>
          <w:szCs w:val="24"/>
          <w:highlight w:val="none"/>
          <w:u w:val="none"/>
          <w:lang w:val="en-US" w:eastAsia="zh-CN"/>
        </w:rPr>
        <w:t xml:space="preserve">   </w:t>
      </w:r>
      <w:r>
        <w:rPr>
          <w:rFonts w:hint="eastAsia" w:ascii="仿宋" w:hAnsi="仿宋" w:eastAsia="仿宋" w:cs="仿宋"/>
          <w:sz w:val="24"/>
          <w:szCs w:val="24"/>
          <w:highlight w:val="none"/>
          <w:u w:val="none"/>
        </w:rPr>
        <w:t>称：友和保险经纪有限公司</w:t>
      </w:r>
    </w:p>
    <w:p w14:paraId="4A3462D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 xml:space="preserve">地 </w:t>
      </w:r>
      <w:r>
        <w:rPr>
          <w:rFonts w:hint="eastAsia" w:ascii="仿宋" w:hAnsi="仿宋" w:eastAsia="仿宋" w:cs="仿宋"/>
          <w:sz w:val="24"/>
          <w:szCs w:val="24"/>
          <w:highlight w:val="none"/>
          <w:u w:val="none"/>
          <w:lang w:val="en-US" w:eastAsia="zh-CN"/>
        </w:rPr>
        <w:t xml:space="preserve">   </w:t>
      </w:r>
      <w:r>
        <w:rPr>
          <w:rFonts w:hint="eastAsia" w:ascii="仿宋" w:hAnsi="仿宋" w:eastAsia="仿宋" w:cs="仿宋"/>
          <w:sz w:val="24"/>
          <w:szCs w:val="24"/>
          <w:highlight w:val="none"/>
          <w:u w:val="none"/>
        </w:rPr>
        <w:t>址：深圳市福田区福田体育公园西北角友和招标代理服务中心（靠近北门）</w:t>
      </w:r>
    </w:p>
    <w:p w14:paraId="3B55583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lang w:val="en-US" w:eastAsia="zh-CN"/>
        </w:rPr>
        <w:t xml:space="preserve">监督举报：0755-83889803、83889016   </w:t>
      </w:r>
      <w:r>
        <w:rPr>
          <w:rFonts w:hint="eastAsia" w:ascii="仿宋" w:hAnsi="仿宋" w:eastAsia="仿宋" w:cs="仿宋"/>
          <w:sz w:val="24"/>
          <w:highlight w:val="none"/>
          <w:u w:val="none"/>
        </w:rPr>
        <w:t xml:space="preserve">  </w:t>
      </w:r>
      <w:r>
        <w:rPr>
          <w:rFonts w:hint="eastAsia" w:ascii="仿宋" w:hAnsi="仿宋" w:eastAsia="仿宋" w:cs="仿宋"/>
          <w:sz w:val="24"/>
          <w:szCs w:val="24"/>
          <w:highlight w:val="none"/>
          <w:u w:val="none"/>
        </w:rPr>
        <w:t xml:space="preserve">                    </w:t>
      </w:r>
    </w:p>
    <w:p w14:paraId="717ADF20">
      <w:pPr>
        <w:pStyle w:val="291"/>
        <w:keepNext w:val="0"/>
        <w:keepLines w:val="0"/>
        <w:pageBreakBefore w:val="0"/>
        <w:widowControl w:val="0"/>
        <w:numPr>
          <w:ilvl w:val="0"/>
          <w:numId w:val="14"/>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项目联系方式</w:t>
      </w:r>
    </w:p>
    <w:p w14:paraId="12C5273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rPr>
        <w:t>项目联系人：</w:t>
      </w:r>
      <w:r>
        <w:rPr>
          <w:rFonts w:hint="eastAsia" w:ascii="仿宋" w:hAnsi="仿宋" w:eastAsia="仿宋" w:cs="仿宋"/>
          <w:color w:val="000000"/>
          <w:sz w:val="24"/>
          <w:highlight w:val="none"/>
          <w:u w:val="none"/>
          <w:lang w:val="en-US" w:eastAsia="zh-CN"/>
        </w:rPr>
        <w:t>方婕、张挺、刘建成</w:t>
      </w:r>
    </w:p>
    <w:p w14:paraId="66F01D7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项目咨询：0755-8388</w:t>
      </w:r>
      <w:r>
        <w:rPr>
          <w:rFonts w:hint="eastAsia" w:ascii="仿宋" w:hAnsi="仿宋" w:eastAsia="仿宋" w:cs="仿宋"/>
          <w:sz w:val="24"/>
          <w:szCs w:val="24"/>
          <w:highlight w:val="none"/>
          <w:lang w:val="en-US" w:eastAsia="zh-CN"/>
        </w:rPr>
        <w:t>1282/0755-83889026</w:t>
      </w:r>
    </w:p>
    <w:p w14:paraId="22C010E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投标报名：0755-83881111（总机）</w:t>
      </w:r>
    </w:p>
    <w:p w14:paraId="1FCE067D">
      <w:pPr>
        <w:pStyle w:val="291"/>
        <w:keepNext w:val="0"/>
        <w:keepLines w:val="0"/>
        <w:pageBreakBefore w:val="0"/>
        <w:widowControl w:val="0"/>
        <w:numPr>
          <w:ilvl w:val="0"/>
          <w:numId w:val="14"/>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相关项目信息查询网址</w:t>
      </w:r>
    </w:p>
    <w:p w14:paraId="5E7AD47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深圳公共资源交易中心（深圳交易集团有限公司政府采购业务分公司）</w:t>
      </w:r>
      <w:r>
        <w:rPr>
          <w:rFonts w:hint="eastAsia" w:ascii="仿宋" w:hAnsi="仿宋" w:eastAsia="仿宋" w:cs="仿宋"/>
          <w:sz w:val="24"/>
          <w:szCs w:val="24"/>
          <w:highlight w:val="none"/>
          <w:u w:val="single"/>
        </w:rPr>
        <w:t>http://www.szggzy.com/</w:t>
      </w:r>
    </w:p>
    <w:p w14:paraId="651F489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友和招标代理服务网 http://yhzb.uho.cn/</w:t>
      </w:r>
    </w:p>
    <w:p w14:paraId="39E53EDD">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深圳博物馆网站（https://www.shenzhenmuseum.com）</w:t>
      </w:r>
    </w:p>
    <w:p w14:paraId="7C8B9C40">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深圳市文化广电旅游体育局（http://wtl.sz.gov.cn）</w:t>
      </w:r>
    </w:p>
    <w:p w14:paraId="63B60D6D">
      <w:pPr>
        <w:pStyle w:val="126"/>
        <w:keepNext w:val="0"/>
        <w:keepLines w:val="0"/>
        <w:pageBreakBefore w:val="0"/>
        <w:widowControl w:val="0"/>
        <w:kinsoku/>
        <w:wordWrap/>
        <w:overflowPunct/>
        <w:topLinePunct w:val="0"/>
        <w:autoSpaceDE/>
        <w:autoSpaceDN/>
        <w:bidi w:val="0"/>
        <w:spacing w:line="400" w:lineRule="exact"/>
        <w:ind w:firstLine="0" w:firstLineChars="0"/>
        <w:textAlignment w:val="auto"/>
        <w:outlineLvl w:val="9"/>
        <w:rPr>
          <w:rFonts w:hint="eastAsia" w:ascii="仿宋" w:hAnsi="仿宋" w:eastAsia="仿宋" w:cs="仿宋"/>
          <w:b/>
          <w:sz w:val="24"/>
          <w:szCs w:val="24"/>
          <w:highlight w:val="none"/>
        </w:rPr>
      </w:pPr>
      <w:r>
        <w:rPr>
          <w:rFonts w:hint="eastAsia" w:ascii="仿宋" w:hAnsi="仿宋" w:eastAsia="仿宋" w:cs="仿宋"/>
          <w:b/>
          <w:sz w:val="24"/>
          <w:szCs w:val="24"/>
          <w:highlight w:val="none"/>
        </w:rPr>
        <w:t>八、银行账户信息</w:t>
      </w:r>
    </w:p>
    <w:tbl>
      <w:tblPr>
        <w:tblStyle w:val="43"/>
        <w:tblW w:w="740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5433"/>
      </w:tblGrid>
      <w:tr w14:paraId="33D1B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403" w:type="dxa"/>
            <w:gridSpan w:val="2"/>
            <w:tcBorders>
              <w:top w:val="double" w:color="auto" w:sz="4" w:space="0"/>
              <w:left w:val="double" w:color="auto" w:sz="4" w:space="0"/>
              <w:bottom w:val="single" w:color="auto" w:sz="6" w:space="0"/>
              <w:right w:val="double" w:color="auto" w:sz="4" w:space="0"/>
            </w:tcBorders>
            <w:noWrap w:val="0"/>
            <w:vAlign w:val="center"/>
          </w:tcPr>
          <w:p w14:paraId="1761611A">
            <w:pPr>
              <w:pStyle w:val="126"/>
              <w:keepNext w:val="0"/>
              <w:keepLines w:val="0"/>
              <w:pageBreakBefore w:val="0"/>
              <w:suppressLineNumbers w:val="0"/>
              <w:kinsoku/>
              <w:wordWrap/>
              <w:overflowPunct/>
              <w:topLinePunct w:val="0"/>
              <w:autoSpaceDE/>
              <w:autoSpaceDN/>
              <w:bidi w:val="0"/>
              <w:spacing w:before="0" w:beforeAutospacing="0" w:after="0" w:afterAutospacing="0" w:line="276" w:lineRule="auto"/>
              <w:ind w:left="0" w:leftChars="0" w:right="0" w:firstLine="0" w:firstLineChars="0"/>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缴费银行账户信息</w:t>
            </w:r>
          </w:p>
        </w:tc>
      </w:tr>
      <w:tr w14:paraId="584EC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0" w:type="dxa"/>
            <w:tcBorders>
              <w:top w:val="single" w:color="C0C0C0" w:sz="6" w:space="0"/>
              <w:left w:val="double" w:color="auto" w:sz="4" w:space="0"/>
              <w:bottom w:val="single" w:color="C0C0C0" w:sz="6" w:space="0"/>
              <w:right w:val="single" w:color="C0C0C0" w:sz="6" w:space="0"/>
            </w:tcBorders>
            <w:noWrap w:val="0"/>
            <w:vAlign w:val="center"/>
          </w:tcPr>
          <w:p w14:paraId="1715FE9C">
            <w:pPr>
              <w:pStyle w:val="126"/>
              <w:keepNext w:val="0"/>
              <w:keepLines w:val="0"/>
              <w:pageBreakBefore w:val="0"/>
              <w:suppressLineNumbers w:val="0"/>
              <w:kinsoku/>
              <w:wordWrap/>
              <w:overflowPunct/>
              <w:topLinePunct w:val="0"/>
              <w:autoSpaceDE/>
              <w:autoSpaceDN/>
              <w:bidi w:val="0"/>
              <w:spacing w:before="0" w:beforeAutospacing="0" w:after="0" w:afterAutospacing="0" w:line="276" w:lineRule="auto"/>
              <w:ind w:left="0" w:right="0" w:firstLine="42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开户银行</w:t>
            </w:r>
          </w:p>
        </w:tc>
        <w:tc>
          <w:tcPr>
            <w:tcW w:w="5433" w:type="dxa"/>
            <w:tcBorders>
              <w:top w:val="single" w:color="C0C0C0" w:sz="6" w:space="0"/>
              <w:left w:val="single" w:color="C0C0C0" w:sz="6" w:space="0"/>
              <w:bottom w:val="single" w:color="C0C0C0" w:sz="6" w:space="0"/>
              <w:right w:val="double" w:color="auto" w:sz="4" w:space="0"/>
            </w:tcBorders>
            <w:noWrap w:val="0"/>
            <w:vAlign w:val="center"/>
          </w:tcPr>
          <w:p w14:paraId="2B6E6877">
            <w:pPr>
              <w:pStyle w:val="126"/>
              <w:keepNext w:val="0"/>
              <w:keepLines w:val="0"/>
              <w:pageBreakBefore w:val="0"/>
              <w:suppressLineNumbers w:val="0"/>
              <w:kinsoku/>
              <w:wordWrap/>
              <w:overflowPunct/>
              <w:topLinePunct w:val="0"/>
              <w:autoSpaceDE/>
              <w:autoSpaceDN/>
              <w:bidi w:val="0"/>
              <w:spacing w:before="0" w:beforeAutospacing="0" w:after="0" w:afterAutospacing="0" w:line="276" w:lineRule="auto"/>
              <w:ind w:left="0" w:right="0" w:firstLine="42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中国民生银行深圳分行福田支行</w:t>
            </w:r>
          </w:p>
        </w:tc>
      </w:tr>
      <w:tr w14:paraId="4E603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0" w:type="dxa"/>
            <w:tcBorders>
              <w:top w:val="single" w:color="C0C0C0" w:sz="6" w:space="0"/>
              <w:left w:val="double" w:color="auto" w:sz="4" w:space="0"/>
              <w:bottom w:val="single" w:color="C0C0C0" w:sz="6" w:space="0"/>
              <w:right w:val="single" w:color="C0C0C0" w:sz="6" w:space="0"/>
            </w:tcBorders>
            <w:noWrap w:val="0"/>
            <w:vAlign w:val="center"/>
          </w:tcPr>
          <w:p w14:paraId="254BA8DC">
            <w:pPr>
              <w:pStyle w:val="126"/>
              <w:keepNext w:val="0"/>
              <w:keepLines w:val="0"/>
              <w:pageBreakBefore w:val="0"/>
              <w:suppressLineNumbers w:val="0"/>
              <w:kinsoku/>
              <w:wordWrap/>
              <w:overflowPunct/>
              <w:topLinePunct w:val="0"/>
              <w:autoSpaceDE/>
              <w:autoSpaceDN/>
              <w:bidi w:val="0"/>
              <w:spacing w:before="0" w:beforeAutospacing="0" w:after="0" w:afterAutospacing="0" w:line="276" w:lineRule="auto"/>
              <w:ind w:left="0" w:right="0" w:firstLine="42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收款单位</w:t>
            </w:r>
          </w:p>
        </w:tc>
        <w:tc>
          <w:tcPr>
            <w:tcW w:w="5433" w:type="dxa"/>
            <w:tcBorders>
              <w:top w:val="single" w:color="C0C0C0" w:sz="6" w:space="0"/>
              <w:left w:val="single" w:color="C0C0C0" w:sz="6" w:space="0"/>
              <w:bottom w:val="single" w:color="C0C0C0" w:sz="6" w:space="0"/>
              <w:right w:val="double" w:color="auto" w:sz="4" w:space="0"/>
            </w:tcBorders>
            <w:noWrap w:val="0"/>
            <w:vAlign w:val="center"/>
          </w:tcPr>
          <w:p w14:paraId="7C783A4B">
            <w:pPr>
              <w:pStyle w:val="126"/>
              <w:keepNext w:val="0"/>
              <w:keepLines w:val="0"/>
              <w:pageBreakBefore w:val="0"/>
              <w:suppressLineNumbers w:val="0"/>
              <w:kinsoku/>
              <w:wordWrap/>
              <w:overflowPunct/>
              <w:topLinePunct w:val="0"/>
              <w:autoSpaceDE/>
              <w:autoSpaceDN/>
              <w:bidi w:val="0"/>
              <w:spacing w:before="0" w:beforeAutospacing="0" w:after="0" w:afterAutospacing="0" w:line="276" w:lineRule="auto"/>
              <w:ind w:left="0" w:right="0" w:firstLine="42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友和保险经纪有限公司</w:t>
            </w:r>
          </w:p>
        </w:tc>
      </w:tr>
      <w:tr w14:paraId="233F1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0" w:type="dxa"/>
            <w:tcBorders>
              <w:top w:val="single" w:color="C0C0C0" w:sz="6" w:space="0"/>
              <w:left w:val="double" w:color="auto" w:sz="4" w:space="0"/>
              <w:bottom w:val="double" w:color="auto" w:sz="4" w:space="0"/>
              <w:right w:val="single" w:color="C0C0C0" w:sz="6" w:space="0"/>
            </w:tcBorders>
            <w:noWrap w:val="0"/>
            <w:vAlign w:val="center"/>
          </w:tcPr>
          <w:p w14:paraId="53A58ACB">
            <w:pPr>
              <w:pStyle w:val="126"/>
              <w:keepNext w:val="0"/>
              <w:keepLines w:val="0"/>
              <w:pageBreakBefore w:val="0"/>
              <w:suppressLineNumbers w:val="0"/>
              <w:kinsoku/>
              <w:wordWrap/>
              <w:overflowPunct/>
              <w:topLinePunct w:val="0"/>
              <w:autoSpaceDE/>
              <w:autoSpaceDN/>
              <w:bidi w:val="0"/>
              <w:spacing w:before="0" w:beforeAutospacing="0" w:after="0" w:afterAutospacing="0" w:line="276" w:lineRule="auto"/>
              <w:ind w:left="0" w:right="0" w:firstLine="42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银行账号</w:t>
            </w:r>
          </w:p>
        </w:tc>
        <w:tc>
          <w:tcPr>
            <w:tcW w:w="5433" w:type="dxa"/>
            <w:tcBorders>
              <w:top w:val="single" w:color="C0C0C0" w:sz="6" w:space="0"/>
              <w:left w:val="single" w:color="C0C0C0" w:sz="6" w:space="0"/>
              <w:bottom w:val="double" w:color="auto" w:sz="4" w:space="0"/>
              <w:right w:val="double" w:color="auto" w:sz="4" w:space="0"/>
            </w:tcBorders>
            <w:noWrap w:val="0"/>
            <w:vAlign w:val="center"/>
          </w:tcPr>
          <w:p w14:paraId="6EF9C5A0">
            <w:pPr>
              <w:pStyle w:val="126"/>
              <w:keepNext w:val="0"/>
              <w:keepLines w:val="0"/>
              <w:pageBreakBefore w:val="0"/>
              <w:suppressLineNumbers w:val="0"/>
              <w:kinsoku/>
              <w:wordWrap/>
              <w:overflowPunct/>
              <w:topLinePunct w:val="0"/>
              <w:autoSpaceDE/>
              <w:autoSpaceDN/>
              <w:bidi w:val="0"/>
              <w:spacing w:before="0" w:beforeAutospacing="0" w:after="0" w:afterAutospacing="0" w:line="276" w:lineRule="auto"/>
              <w:ind w:left="0" w:right="0" w:firstLine="42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1806014170017592</w:t>
            </w:r>
          </w:p>
        </w:tc>
      </w:tr>
    </w:tbl>
    <w:p w14:paraId="0499D9CD">
      <w:pPr>
        <w:pStyle w:val="114"/>
        <w:keepNext w:val="0"/>
        <w:keepLines w:val="0"/>
        <w:pageBreakBefore w:val="0"/>
        <w:kinsoku/>
        <w:wordWrap/>
        <w:overflowPunct/>
        <w:topLinePunct w:val="0"/>
        <w:autoSpaceDE/>
        <w:autoSpaceDN/>
        <w:bidi w:val="0"/>
        <w:textAlignment w:val="auto"/>
        <w:outlineLvl w:val="9"/>
        <w:rPr>
          <w:rFonts w:hint="eastAsia" w:ascii="仿宋" w:hAnsi="仿宋" w:eastAsia="仿宋" w:cs="仿宋"/>
          <w:szCs w:val="21"/>
          <w:highlight w:val="none"/>
        </w:rPr>
      </w:pPr>
    </w:p>
    <w:p w14:paraId="7BC3C488">
      <w:pPr>
        <w:pStyle w:val="114"/>
        <w:keepNext w:val="0"/>
        <w:keepLines w:val="0"/>
        <w:pageBreakBefore w:val="0"/>
        <w:kinsoku/>
        <w:wordWrap/>
        <w:overflowPunct/>
        <w:topLinePunct w:val="0"/>
        <w:autoSpaceDE/>
        <w:autoSpaceDN/>
        <w:bidi w:val="0"/>
        <w:textAlignment w:val="auto"/>
        <w:outlineLvl w:val="9"/>
        <w:rPr>
          <w:rFonts w:hint="eastAsia" w:ascii="仿宋" w:hAnsi="仿宋" w:eastAsia="仿宋" w:cs="仿宋"/>
          <w:szCs w:val="21"/>
          <w:highlight w:val="none"/>
        </w:rPr>
      </w:pPr>
    </w:p>
    <w:p w14:paraId="0FFC9C3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righ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友和保险经纪有限公司</w:t>
      </w:r>
    </w:p>
    <w:p w14:paraId="4277D36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righ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  月   日</w:t>
      </w:r>
    </w:p>
    <w:p w14:paraId="79691A13">
      <w:pPr>
        <w:adjustRightInd w:val="0"/>
        <w:snapToGrid w:val="0"/>
        <w:spacing w:line="360" w:lineRule="auto"/>
        <w:ind w:firstLine="420" w:firstLineChars="200"/>
        <w:jc w:val="right"/>
        <w:rPr>
          <w:rFonts w:hint="eastAsia" w:ascii="仿宋" w:hAnsi="仿宋" w:eastAsia="仿宋" w:cs="仿宋"/>
          <w:szCs w:val="21"/>
          <w:highlight w:val="none"/>
        </w:rPr>
      </w:pPr>
    </w:p>
    <w:p w14:paraId="08C518A3">
      <w:pPr>
        <w:jc w:val="right"/>
        <w:rPr>
          <w:rFonts w:hint="eastAsia" w:ascii="仿宋" w:hAnsi="仿宋" w:eastAsia="仿宋" w:cs="仿宋"/>
          <w:szCs w:val="21"/>
          <w:highlight w:val="none"/>
        </w:rPr>
      </w:pPr>
    </w:p>
    <w:p w14:paraId="2B9D0181">
      <w:pPr>
        <w:rPr>
          <w:rFonts w:hint="eastAsia" w:ascii="仿宋" w:hAnsi="仿宋" w:eastAsia="仿宋" w:cs="仿宋"/>
          <w:szCs w:val="21"/>
          <w:highlight w:val="none"/>
        </w:rPr>
      </w:pPr>
    </w:p>
    <w:p w14:paraId="5724E917">
      <w:pPr>
        <w:rPr>
          <w:rFonts w:hint="eastAsia" w:ascii="仿宋" w:hAnsi="仿宋" w:eastAsia="仿宋" w:cs="仿宋"/>
          <w:szCs w:val="21"/>
          <w:highlight w:val="none"/>
        </w:rPr>
      </w:pPr>
    </w:p>
    <w:p w14:paraId="15F9A5D0">
      <w:pPr>
        <w:rPr>
          <w:rFonts w:hint="eastAsia" w:ascii="仿宋" w:hAnsi="仿宋" w:eastAsia="仿宋" w:cs="仿宋"/>
          <w:highlight w:val="none"/>
        </w:rPr>
      </w:pPr>
      <w:r>
        <w:rPr>
          <w:rFonts w:hint="eastAsia" w:ascii="仿宋" w:hAnsi="仿宋" w:eastAsia="仿宋" w:cs="仿宋"/>
          <w:highlight w:val="none"/>
        </w:rPr>
        <w:br w:type="page"/>
      </w:r>
    </w:p>
    <w:p w14:paraId="73D45927">
      <w:pPr>
        <w:pStyle w:val="3"/>
        <w:keepNext/>
        <w:keepLines/>
        <w:pageBreakBefore w:val="0"/>
        <w:widowControl w:val="0"/>
        <w:kinsoku/>
        <w:wordWrap/>
        <w:overflowPunct/>
        <w:topLinePunct w:val="0"/>
        <w:autoSpaceDE/>
        <w:autoSpaceDN/>
        <w:bidi w:val="0"/>
        <w:adjustRightInd/>
        <w:snapToGrid/>
        <w:spacing w:line="416" w:lineRule="auto"/>
        <w:jc w:val="center"/>
        <w:textAlignment w:val="auto"/>
        <w:outlineLvl w:val="1"/>
        <w:rPr>
          <w:rFonts w:hint="eastAsia" w:ascii="仿宋" w:hAnsi="仿宋" w:eastAsia="仿宋" w:cs="仿宋"/>
          <w:b/>
          <w:bCs/>
          <w:highlight w:val="none"/>
        </w:rPr>
      </w:pPr>
      <w:bookmarkStart w:id="220" w:name="_Toc28574"/>
      <w:r>
        <w:rPr>
          <w:rFonts w:hint="eastAsia" w:ascii="仿宋" w:hAnsi="仿宋" w:eastAsia="仿宋" w:cs="仿宋"/>
          <w:b/>
          <w:bCs/>
          <w:highlight w:val="none"/>
        </w:rPr>
        <w:t>第二章</w:t>
      </w:r>
      <w:r>
        <w:rPr>
          <w:rFonts w:hint="eastAsia" w:ascii="仿宋" w:hAnsi="仿宋" w:eastAsia="仿宋" w:cs="仿宋"/>
          <w:b/>
          <w:bCs/>
          <w:highlight w:val="none"/>
          <w:lang w:val="en-US" w:eastAsia="zh-CN"/>
        </w:rPr>
        <w:t xml:space="preserve">  </w:t>
      </w:r>
      <w:r>
        <w:rPr>
          <w:rFonts w:hint="eastAsia" w:ascii="仿宋" w:hAnsi="仿宋" w:eastAsia="仿宋" w:cs="仿宋"/>
          <w:b/>
          <w:bCs/>
          <w:highlight w:val="none"/>
        </w:rPr>
        <w:t>关键信息</w:t>
      </w:r>
      <w:bookmarkEnd w:id="220"/>
    </w:p>
    <w:p w14:paraId="009CB4E7">
      <w:pPr>
        <w:pStyle w:val="4"/>
        <w:jc w:val="center"/>
        <w:rPr>
          <w:rFonts w:hint="eastAsia" w:ascii="仿宋" w:hAnsi="仿宋" w:eastAsia="仿宋" w:cs="仿宋"/>
          <w:b/>
          <w:bCs/>
          <w:sz w:val="28"/>
          <w:szCs w:val="28"/>
          <w:highlight w:val="none"/>
        </w:rPr>
      </w:pPr>
      <w:bookmarkStart w:id="221" w:name="_Toc21009"/>
      <w:r>
        <w:rPr>
          <w:rFonts w:hint="eastAsia" w:ascii="仿宋" w:hAnsi="仿宋" w:eastAsia="仿宋" w:cs="仿宋"/>
          <w:b/>
          <w:bCs/>
          <w:sz w:val="28"/>
          <w:szCs w:val="28"/>
          <w:highlight w:val="none"/>
        </w:rPr>
        <w:t>表一、投标须知前附表</w:t>
      </w:r>
      <w:bookmarkEnd w:id="221"/>
    </w:p>
    <w:tbl>
      <w:tblPr>
        <w:tblStyle w:val="43"/>
        <w:tblW w:w="9479" w:type="dxa"/>
        <w:tblInd w:w="-199"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50"/>
        <w:gridCol w:w="850"/>
        <w:gridCol w:w="2488"/>
        <w:gridCol w:w="5691"/>
      </w:tblGrid>
      <w:tr w14:paraId="71E5FF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tcBorders>
              <w:right w:val="single" w:color="auto" w:sz="4" w:space="0"/>
            </w:tcBorders>
            <w:noWrap w:val="0"/>
            <w:vAlign w:val="center"/>
          </w:tcPr>
          <w:p w14:paraId="0DFD9C59">
            <w:pPr>
              <w:keepNext w:val="0"/>
              <w:keepLines w:val="0"/>
              <w:suppressLineNumbers w:val="0"/>
              <w:spacing w:before="0" w:beforeAutospacing="0" w:after="0" w:afterAutospacing="0"/>
              <w:ind w:left="0" w:right="0"/>
              <w:jc w:val="center"/>
              <w:rPr>
                <w:rFonts w:hint="eastAsia" w:ascii="仿宋" w:hAnsi="仿宋" w:eastAsia="仿宋" w:cs="仿宋"/>
                <w:b/>
                <w:bCs/>
                <w:szCs w:val="21"/>
                <w:highlight w:val="none"/>
              </w:rPr>
            </w:pPr>
            <w:r>
              <w:rPr>
                <w:rFonts w:hint="eastAsia" w:ascii="仿宋" w:hAnsi="仿宋" w:eastAsia="仿宋" w:cs="仿宋"/>
                <w:b/>
                <w:bCs/>
                <w:szCs w:val="21"/>
                <w:highlight w:val="none"/>
              </w:rPr>
              <w:t>序号</w:t>
            </w:r>
          </w:p>
        </w:tc>
        <w:tc>
          <w:tcPr>
            <w:tcW w:w="850" w:type="dxa"/>
            <w:tcBorders>
              <w:left w:val="single" w:color="auto" w:sz="4" w:space="0"/>
            </w:tcBorders>
            <w:noWrap w:val="0"/>
            <w:vAlign w:val="center"/>
          </w:tcPr>
          <w:p w14:paraId="475E3EF7">
            <w:pPr>
              <w:keepNext w:val="0"/>
              <w:keepLines w:val="0"/>
              <w:suppressLineNumbers w:val="0"/>
              <w:spacing w:before="0" w:beforeAutospacing="0" w:after="0" w:afterAutospacing="0"/>
              <w:ind w:left="0" w:right="0"/>
              <w:jc w:val="center"/>
              <w:rPr>
                <w:rFonts w:hint="eastAsia" w:ascii="仿宋" w:hAnsi="仿宋" w:eastAsia="仿宋" w:cs="仿宋"/>
                <w:b/>
                <w:bCs/>
                <w:szCs w:val="21"/>
                <w:highlight w:val="none"/>
              </w:rPr>
            </w:pPr>
            <w:r>
              <w:rPr>
                <w:rFonts w:hint="eastAsia" w:ascii="仿宋" w:hAnsi="仿宋" w:eastAsia="仿宋" w:cs="仿宋"/>
                <w:b/>
                <w:bCs/>
                <w:szCs w:val="21"/>
                <w:highlight w:val="none"/>
              </w:rPr>
              <w:t>第一册条款号</w:t>
            </w:r>
          </w:p>
        </w:tc>
        <w:tc>
          <w:tcPr>
            <w:tcW w:w="2488" w:type="dxa"/>
            <w:noWrap w:val="0"/>
            <w:vAlign w:val="center"/>
          </w:tcPr>
          <w:p w14:paraId="3F4F4166">
            <w:pPr>
              <w:keepNext w:val="0"/>
              <w:keepLines w:val="0"/>
              <w:suppressLineNumbers w:val="0"/>
              <w:spacing w:before="0" w:beforeAutospacing="0" w:after="0" w:afterAutospacing="0"/>
              <w:ind w:left="0" w:right="0"/>
              <w:jc w:val="center"/>
              <w:rPr>
                <w:rFonts w:hint="eastAsia" w:ascii="仿宋" w:hAnsi="仿宋" w:eastAsia="仿宋" w:cs="仿宋"/>
                <w:b/>
                <w:bCs/>
                <w:szCs w:val="21"/>
                <w:highlight w:val="none"/>
              </w:rPr>
            </w:pPr>
            <w:r>
              <w:rPr>
                <w:rFonts w:hint="eastAsia" w:ascii="仿宋" w:hAnsi="仿宋" w:eastAsia="仿宋" w:cs="仿宋"/>
                <w:b/>
                <w:bCs/>
                <w:szCs w:val="21"/>
                <w:highlight w:val="none"/>
              </w:rPr>
              <w:t>内   容</w:t>
            </w:r>
          </w:p>
        </w:tc>
        <w:tc>
          <w:tcPr>
            <w:tcW w:w="5691" w:type="dxa"/>
            <w:noWrap w:val="0"/>
            <w:vAlign w:val="center"/>
          </w:tcPr>
          <w:p w14:paraId="677030B2">
            <w:pPr>
              <w:keepNext w:val="0"/>
              <w:keepLines w:val="0"/>
              <w:suppressLineNumbers w:val="0"/>
              <w:spacing w:before="0" w:beforeAutospacing="0" w:after="0" w:afterAutospacing="0"/>
              <w:ind w:left="0" w:right="0"/>
              <w:jc w:val="center"/>
              <w:rPr>
                <w:rFonts w:hint="eastAsia" w:ascii="仿宋" w:hAnsi="仿宋" w:eastAsia="仿宋" w:cs="仿宋"/>
                <w:b/>
                <w:bCs/>
                <w:szCs w:val="21"/>
                <w:highlight w:val="none"/>
              </w:rPr>
            </w:pPr>
            <w:r>
              <w:rPr>
                <w:rFonts w:hint="eastAsia" w:ascii="仿宋" w:hAnsi="仿宋" w:eastAsia="仿宋" w:cs="仿宋"/>
                <w:b/>
                <w:bCs/>
                <w:szCs w:val="21"/>
                <w:highlight w:val="none"/>
              </w:rPr>
              <w:t>说明及规定</w:t>
            </w:r>
          </w:p>
        </w:tc>
      </w:tr>
      <w:tr w14:paraId="505C6C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tcBorders>
              <w:right w:val="single" w:color="auto" w:sz="4" w:space="0"/>
            </w:tcBorders>
            <w:noWrap w:val="0"/>
            <w:vAlign w:val="center"/>
          </w:tcPr>
          <w:p w14:paraId="0E80DE37">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1</w:t>
            </w:r>
          </w:p>
        </w:tc>
        <w:tc>
          <w:tcPr>
            <w:tcW w:w="850" w:type="dxa"/>
            <w:tcBorders>
              <w:left w:val="single" w:color="auto" w:sz="4" w:space="0"/>
            </w:tcBorders>
            <w:noWrap w:val="0"/>
            <w:vAlign w:val="center"/>
          </w:tcPr>
          <w:p w14:paraId="5DBBA172">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p>
        </w:tc>
        <w:tc>
          <w:tcPr>
            <w:tcW w:w="2488" w:type="dxa"/>
            <w:noWrap w:val="0"/>
            <w:vAlign w:val="center"/>
          </w:tcPr>
          <w:p w14:paraId="5B3A262B">
            <w:pPr>
              <w:keepNext w:val="0"/>
              <w:keepLines w:val="0"/>
              <w:suppressLineNumbers w:val="0"/>
              <w:spacing w:before="0" w:beforeAutospacing="0" w:after="0" w:afterAutospacing="0"/>
              <w:ind w:left="0" w:right="0"/>
              <w:rPr>
                <w:rFonts w:hint="eastAsia" w:ascii="仿宋" w:hAnsi="仿宋" w:eastAsia="仿宋" w:cs="仿宋"/>
                <w:bCs/>
                <w:szCs w:val="21"/>
                <w:highlight w:val="none"/>
              </w:rPr>
            </w:pPr>
            <w:r>
              <w:rPr>
                <w:rFonts w:hint="eastAsia" w:ascii="仿宋" w:hAnsi="仿宋" w:eastAsia="仿宋" w:cs="仿宋"/>
                <w:bCs/>
                <w:szCs w:val="21"/>
                <w:highlight w:val="none"/>
              </w:rPr>
              <w:t>资金来源</w:t>
            </w:r>
          </w:p>
        </w:tc>
        <w:tc>
          <w:tcPr>
            <w:tcW w:w="5691" w:type="dxa"/>
            <w:noWrap w:val="0"/>
            <w:vAlign w:val="center"/>
          </w:tcPr>
          <w:p w14:paraId="3974C6ED">
            <w:pPr>
              <w:keepNext w:val="0"/>
              <w:keepLines w:val="0"/>
              <w:suppressLineNumbers w:val="0"/>
              <w:spacing w:before="0" w:beforeAutospacing="0" w:after="0" w:afterAutospacing="0"/>
              <w:ind w:left="0" w:right="0"/>
              <w:rPr>
                <w:rFonts w:hint="eastAsia" w:ascii="仿宋" w:hAnsi="仿宋" w:eastAsia="仿宋" w:cs="仿宋"/>
                <w:snapToGrid w:val="0"/>
                <w:kern w:val="0"/>
                <w:szCs w:val="21"/>
                <w:highlight w:val="none"/>
                <w:lang w:val="zh-CN"/>
              </w:rPr>
            </w:pPr>
            <w:r>
              <w:rPr>
                <w:rFonts w:hint="eastAsia" w:ascii="仿宋" w:hAnsi="仿宋" w:eastAsia="仿宋" w:cs="仿宋"/>
                <w:snapToGrid w:val="0"/>
                <w:kern w:val="0"/>
                <w:szCs w:val="21"/>
                <w:highlight w:val="none"/>
                <w:lang w:val="zh-CN"/>
              </w:rPr>
              <w:t>财政性资金100%</w:t>
            </w:r>
          </w:p>
        </w:tc>
      </w:tr>
      <w:tr w14:paraId="4078E4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tcBorders>
              <w:right w:val="single" w:color="auto" w:sz="4" w:space="0"/>
            </w:tcBorders>
            <w:noWrap w:val="0"/>
            <w:vAlign w:val="center"/>
          </w:tcPr>
          <w:p w14:paraId="173BE092">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2</w:t>
            </w:r>
          </w:p>
        </w:tc>
        <w:tc>
          <w:tcPr>
            <w:tcW w:w="850" w:type="dxa"/>
            <w:tcBorders>
              <w:left w:val="single" w:color="auto" w:sz="4" w:space="0"/>
            </w:tcBorders>
            <w:noWrap w:val="0"/>
            <w:vAlign w:val="center"/>
          </w:tcPr>
          <w:p w14:paraId="761C4534">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p>
        </w:tc>
        <w:tc>
          <w:tcPr>
            <w:tcW w:w="2488" w:type="dxa"/>
            <w:noWrap w:val="0"/>
            <w:vAlign w:val="center"/>
          </w:tcPr>
          <w:p w14:paraId="2FD54E58">
            <w:pPr>
              <w:keepNext w:val="0"/>
              <w:keepLines w:val="0"/>
              <w:suppressLineNumbers w:val="0"/>
              <w:spacing w:before="0" w:beforeAutospacing="0" w:after="0" w:afterAutospacing="0"/>
              <w:ind w:left="0" w:right="0"/>
              <w:rPr>
                <w:rFonts w:hint="eastAsia" w:ascii="仿宋" w:hAnsi="仿宋" w:eastAsia="仿宋" w:cs="仿宋"/>
                <w:bCs/>
                <w:szCs w:val="21"/>
                <w:highlight w:val="none"/>
              </w:rPr>
            </w:pPr>
            <w:r>
              <w:rPr>
                <w:rFonts w:hint="eastAsia" w:ascii="仿宋" w:hAnsi="仿宋" w:eastAsia="仿宋" w:cs="仿宋"/>
                <w:bCs/>
                <w:szCs w:val="21"/>
                <w:highlight w:val="none"/>
              </w:rPr>
              <w:t>项目预算或最高限价</w:t>
            </w:r>
          </w:p>
        </w:tc>
        <w:tc>
          <w:tcPr>
            <w:tcW w:w="5691" w:type="dxa"/>
            <w:noWrap w:val="0"/>
            <w:vAlign w:val="center"/>
          </w:tcPr>
          <w:p w14:paraId="626F6CC3">
            <w:pPr>
              <w:keepNext w:val="0"/>
              <w:keepLines w:val="0"/>
              <w:suppressLineNumbers w:val="0"/>
              <w:spacing w:before="0" w:beforeAutospacing="0" w:after="0" w:afterAutospacing="0"/>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小写：RMB</w:t>
            </w:r>
            <w:r>
              <w:rPr>
                <w:rFonts w:hint="eastAsia" w:ascii="仿宋" w:hAnsi="仿宋" w:eastAsia="仿宋" w:cs="仿宋"/>
                <w:kern w:val="0"/>
                <w:szCs w:val="21"/>
                <w:highlight w:val="none"/>
                <w:lang w:val="en-US" w:eastAsia="zh-CN"/>
              </w:rPr>
              <w:t xml:space="preserve"> </w:t>
            </w:r>
            <w:r>
              <w:rPr>
                <w:rFonts w:hint="eastAsia" w:ascii="仿宋" w:hAnsi="仿宋" w:eastAsia="仿宋" w:cs="仿宋"/>
                <w:kern w:val="0"/>
                <w:szCs w:val="21"/>
                <w:highlight w:val="none"/>
                <w:u w:val="single"/>
                <w:lang w:val="en-US" w:eastAsia="zh-CN"/>
              </w:rPr>
              <w:t>4,000,000.00</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rPr>
              <w:t>元</w:t>
            </w:r>
          </w:p>
          <w:p w14:paraId="5756186F">
            <w:pPr>
              <w:keepNext w:val="0"/>
              <w:keepLines w:val="0"/>
              <w:suppressLineNumbers w:val="0"/>
              <w:spacing w:before="0" w:beforeAutospacing="0" w:after="0" w:afterAutospacing="0"/>
              <w:ind w:left="0" w:right="0"/>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rPr>
              <w:t>大写：</w:t>
            </w:r>
            <w:r>
              <w:rPr>
                <w:rFonts w:hint="eastAsia" w:ascii="仿宋" w:hAnsi="仿宋" w:eastAsia="仿宋" w:cs="仿宋"/>
                <w:kern w:val="0"/>
                <w:szCs w:val="21"/>
                <w:highlight w:val="none"/>
                <w:u w:val="single"/>
              </w:rPr>
              <w:t>人民币</w:t>
            </w:r>
            <w:r>
              <w:rPr>
                <w:rFonts w:hint="eastAsia" w:ascii="仿宋" w:hAnsi="仿宋" w:eastAsia="仿宋" w:cs="仿宋"/>
                <w:kern w:val="0"/>
                <w:szCs w:val="21"/>
                <w:highlight w:val="none"/>
                <w:u w:val="single"/>
                <w:lang w:val="en-US" w:eastAsia="zh-CN"/>
              </w:rPr>
              <w:t>肆佰万元整</w:t>
            </w:r>
          </w:p>
        </w:tc>
      </w:tr>
      <w:tr w14:paraId="352DF8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tcBorders>
              <w:right w:val="single" w:color="auto" w:sz="4" w:space="0"/>
            </w:tcBorders>
            <w:noWrap w:val="0"/>
            <w:vAlign w:val="center"/>
          </w:tcPr>
          <w:p w14:paraId="106A1DDC">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3</w:t>
            </w:r>
          </w:p>
        </w:tc>
        <w:tc>
          <w:tcPr>
            <w:tcW w:w="850" w:type="dxa"/>
            <w:tcBorders>
              <w:left w:val="single" w:color="auto" w:sz="4" w:space="0"/>
            </w:tcBorders>
            <w:noWrap w:val="0"/>
            <w:vAlign w:val="center"/>
          </w:tcPr>
          <w:p w14:paraId="3A82B294">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2.10</w:t>
            </w:r>
          </w:p>
        </w:tc>
        <w:tc>
          <w:tcPr>
            <w:tcW w:w="2488" w:type="dxa"/>
            <w:noWrap w:val="0"/>
            <w:vAlign w:val="center"/>
          </w:tcPr>
          <w:p w14:paraId="75EE2A40">
            <w:pPr>
              <w:keepNext w:val="0"/>
              <w:keepLines w:val="0"/>
              <w:suppressLineNumbers w:val="0"/>
              <w:spacing w:before="0" w:beforeAutospacing="0" w:after="0" w:afterAutospacing="0"/>
              <w:ind w:left="0" w:right="0"/>
              <w:rPr>
                <w:rFonts w:hint="eastAsia" w:ascii="仿宋" w:hAnsi="仿宋" w:eastAsia="仿宋" w:cs="仿宋"/>
                <w:bCs/>
                <w:szCs w:val="21"/>
                <w:highlight w:val="none"/>
              </w:rPr>
            </w:pPr>
            <w:r>
              <w:rPr>
                <w:rFonts w:hint="eastAsia" w:ascii="仿宋" w:hAnsi="仿宋" w:eastAsia="仿宋" w:cs="仿宋"/>
                <w:bCs/>
                <w:szCs w:val="21"/>
                <w:highlight w:val="none"/>
              </w:rPr>
              <w:t>项目名称</w:t>
            </w:r>
          </w:p>
        </w:tc>
        <w:tc>
          <w:tcPr>
            <w:tcW w:w="5691" w:type="dxa"/>
            <w:noWrap w:val="0"/>
            <w:vAlign w:val="center"/>
          </w:tcPr>
          <w:p w14:paraId="6F64EA28">
            <w:pPr>
              <w:keepNext w:val="0"/>
              <w:keepLines w:val="0"/>
              <w:suppressLineNumbers w:val="0"/>
              <w:spacing w:before="0" w:beforeAutospacing="0" w:after="0" w:afterAutospacing="0"/>
              <w:ind w:left="0" w:right="0"/>
              <w:rPr>
                <w:rFonts w:hint="eastAsia" w:ascii="仿宋" w:hAnsi="仿宋" w:eastAsia="仿宋" w:cs="仿宋"/>
                <w:kern w:val="0"/>
                <w:szCs w:val="21"/>
                <w:highlight w:val="none"/>
              </w:rPr>
            </w:pPr>
            <w:r>
              <w:rPr>
                <w:rFonts w:hint="eastAsia" w:ascii="仿宋" w:hAnsi="仿宋" w:eastAsia="仿宋" w:cs="仿宋"/>
                <w:snapToGrid w:val="0"/>
                <w:kern w:val="0"/>
                <w:szCs w:val="21"/>
                <w:highlight w:val="none"/>
                <w:lang w:val="zh-CN"/>
              </w:rPr>
              <w:t>深圳自然博物馆展品征集（古生物标本修复）服务</w:t>
            </w:r>
          </w:p>
        </w:tc>
      </w:tr>
      <w:tr w14:paraId="0B3DFC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96" w:hRule="atLeast"/>
        </w:trPr>
        <w:tc>
          <w:tcPr>
            <w:tcW w:w="450" w:type="dxa"/>
            <w:tcBorders>
              <w:right w:val="single" w:color="auto" w:sz="4" w:space="0"/>
            </w:tcBorders>
            <w:noWrap w:val="0"/>
            <w:vAlign w:val="center"/>
          </w:tcPr>
          <w:p w14:paraId="215F6307">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r>
              <w:rPr>
                <w:rFonts w:hint="eastAsia" w:ascii="仿宋" w:hAnsi="仿宋" w:eastAsia="仿宋" w:cs="仿宋"/>
                <w:bCs/>
                <w:color w:val="000000"/>
                <w:szCs w:val="21"/>
                <w:highlight w:val="none"/>
              </w:rPr>
              <w:t>4</w:t>
            </w:r>
          </w:p>
        </w:tc>
        <w:tc>
          <w:tcPr>
            <w:tcW w:w="850" w:type="dxa"/>
            <w:tcBorders>
              <w:left w:val="single" w:color="auto" w:sz="4" w:space="0"/>
            </w:tcBorders>
            <w:noWrap w:val="0"/>
            <w:vAlign w:val="center"/>
          </w:tcPr>
          <w:p w14:paraId="5689F2B6">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r>
              <w:rPr>
                <w:rFonts w:hint="eastAsia" w:ascii="仿宋" w:hAnsi="仿宋" w:eastAsia="仿宋" w:cs="仿宋"/>
                <w:bCs/>
                <w:szCs w:val="21"/>
                <w:highlight w:val="none"/>
              </w:rPr>
              <w:t>3.1</w:t>
            </w:r>
          </w:p>
        </w:tc>
        <w:tc>
          <w:tcPr>
            <w:tcW w:w="2488" w:type="dxa"/>
            <w:noWrap w:val="0"/>
            <w:vAlign w:val="center"/>
          </w:tcPr>
          <w:p w14:paraId="43B6E242">
            <w:pPr>
              <w:keepNext w:val="0"/>
              <w:keepLines w:val="0"/>
              <w:suppressLineNumbers w:val="0"/>
              <w:spacing w:before="0" w:beforeAutospacing="0" w:after="0" w:afterAutospacing="0"/>
              <w:ind w:left="0" w:right="0"/>
              <w:rPr>
                <w:rFonts w:hint="eastAsia" w:ascii="仿宋" w:hAnsi="仿宋" w:eastAsia="仿宋" w:cs="仿宋"/>
                <w:bCs/>
                <w:szCs w:val="21"/>
                <w:highlight w:val="none"/>
              </w:rPr>
            </w:pPr>
            <w:r>
              <w:rPr>
                <w:rFonts w:hint="eastAsia" w:ascii="仿宋" w:hAnsi="仿宋" w:eastAsia="仿宋" w:cs="仿宋"/>
                <w:bCs/>
                <w:szCs w:val="21"/>
                <w:highlight w:val="none"/>
              </w:rPr>
              <w:t>投标人的资质（格）要求</w:t>
            </w:r>
          </w:p>
        </w:tc>
        <w:tc>
          <w:tcPr>
            <w:tcW w:w="5691" w:type="dxa"/>
            <w:noWrap w:val="0"/>
            <w:vAlign w:val="center"/>
          </w:tcPr>
          <w:p w14:paraId="29793DC7">
            <w:pPr>
              <w:keepNext w:val="0"/>
              <w:keepLines w:val="0"/>
              <w:suppressLineNumbers w:val="0"/>
              <w:spacing w:before="0" w:beforeAutospacing="0" w:after="0" w:afterAutospacing="0"/>
              <w:ind w:left="0" w:right="0"/>
              <w:rPr>
                <w:rFonts w:hint="eastAsia" w:ascii="仿宋" w:hAnsi="仿宋" w:eastAsia="仿宋" w:cs="仿宋"/>
                <w:snapToGrid w:val="0"/>
                <w:kern w:val="0"/>
                <w:szCs w:val="21"/>
                <w:highlight w:val="none"/>
                <w:lang w:val="zh-CN"/>
              </w:rPr>
            </w:pPr>
            <w:r>
              <w:rPr>
                <w:rFonts w:hint="eastAsia" w:ascii="仿宋" w:hAnsi="仿宋" w:eastAsia="仿宋" w:cs="仿宋"/>
                <w:snapToGrid w:val="0"/>
                <w:kern w:val="0"/>
                <w:szCs w:val="21"/>
                <w:highlight w:val="none"/>
                <w:lang w:val="zh-CN"/>
              </w:rPr>
              <w:t>见招标公告中有关投标人资格要求中的相关内容</w:t>
            </w:r>
          </w:p>
        </w:tc>
      </w:tr>
      <w:tr w14:paraId="759E48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tcBorders>
              <w:right w:val="single" w:color="auto" w:sz="4" w:space="0"/>
            </w:tcBorders>
            <w:noWrap w:val="0"/>
            <w:vAlign w:val="center"/>
          </w:tcPr>
          <w:p w14:paraId="2222C025">
            <w:pPr>
              <w:keepNext w:val="0"/>
              <w:keepLines w:val="0"/>
              <w:suppressLineNumbers w:val="0"/>
              <w:spacing w:before="0" w:beforeAutospacing="0" w:after="0" w:afterAutospacing="0"/>
              <w:ind w:left="0" w:right="0"/>
              <w:jc w:val="center"/>
              <w:rPr>
                <w:rFonts w:hint="eastAsia" w:ascii="仿宋" w:hAnsi="仿宋" w:eastAsia="仿宋" w:cs="仿宋"/>
                <w:b/>
                <w:bCs/>
                <w:szCs w:val="21"/>
                <w:highlight w:val="none"/>
              </w:rPr>
            </w:pPr>
            <w:r>
              <w:rPr>
                <w:rFonts w:hint="eastAsia" w:ascii="仿宋" w:hAnsi="仿宋" w:eastAsia="仿宋" w:cs="仿宋"/>
                <w:b/>
                <w:bCs/>
                <w:color w:val="000000"/>
                <w:szCs w:val="21"/>
                <w:highlight w:val="none"/>
              </w:rPr>
              <w:t>5</w:t>
            </w:r>
          </w:p>
        </w:tc>
        <w:tc>
          <w:tcPr>
            <w:tcW w:w="850" w:type="dxa"/>
            <w:tcBorders>
              <w:left w:val="single" w:color="auto" w:sz="4" w:space="0"/>
            </w:tcBorders>
            <w:noWrap w:val="0"/>
            <w:vAlign w:val="center"/>
          </w:tcPr>
          <w:p w14:paraId="4E110FBB">
            <w:pPr>
              <w:keepNext w:val="0"/>
              <w:keepLines w:val="0"/>
              <w:suppressLineNumbers w:val="0"/>
              <w:spacing w:before="0" w:beforeAutospacing="0" w:after="0" w:afterAutospacing="0"/>
              <w:ind w:left="0" w:right="0"/>
              <w:jc w:val="center"/>
              <w:rPr>
                <w:rFonts w:hint="eastAsia" w:ascii="仿宋" w:hAnsi="仿宋" w:eastAsia="仿宋" w:cs="仿宋"/>
                <w:b/>
                <w:bCs/>
                <w:szCs w:val="21"/>
                <w:highlight w:val="none"/>
              </w:rPr>
            </w:pPr>
            <w:r>
              <w:rPr>
                <w:rFonts w:hint="eastAsia" w:ascii="仿宋" w:hAnsi="仿宋" w:eastAsia="仿宋" w:cs="仿宋"/>
                <w:b/>
                <w:bCs/>
                <w:szCs w:val="21"/>
                <w:highlight w:val="none"/>
              </w:rPr>
              <w:t>18.1</w:t>
            </w:r>
          </w:p>
        </w:tc>
        <w:tc>
          <w:tcPr>
            <w:tcW w:w="2488" w:type="dxa"/>
            <w:noWrap w:val="0"/>
            <w:vAlign w:val="center"/>
          </w:tcPr>
          <w:p w14:paraId="7C004DD3">
            <w:pPr>
              <w:keepNext w:val="0"/>
              <w:keepLines w:val="0"/>
              <w:suppressLineNumbers w:val="0"/>
              <w:spacing w:before="0" w:beforeAutospacing="0" w:after="0" w:afterAutospacing="0"/>
              <w:ind w:left="0" w:right="0"/>
              <w:rPr>
                <w:rFonts w:hint="eastAsia" w:ascii="仿宋" w:hAnsi="仿宋" w:eastAsia="仿宋" w:cs="仿宋"/>
                <w:b/>
                <w:bCs/>
                <w:szCs w:val="21"/>
                <w:highlight w:val="none"/>
              </w:rPr>
            </w:pPr>
            <w:r>
              <w:rPr>
                <w:rFonts w:hint="eastAsia" w:ascii="仿宋" w:hAnsi="仿宋" w:eastAsia="仿宋" w:cs="仿宋"/>
                <w:b/>
                <w:bCs/>
                <w:szCs w:val="21"/>
                <w:highlight w:val="none"/>
              </w:rPr>
              <w:t>投标文件正副本</w:t>
            </w:r>
          </w:p>
        </w:tc>
        <w:tc>
          <w:tcPr>
            <w:tcW w:w="5691" w:type="dxa"/>
            <w:noWrap w:val="0"/>
            <w:vAlign w:val="center"/>
          </w:tcPr>
          <w:p w14:paraId="3F55A702">
            <w:pPr>
              <w:keepNext w:val="0"/>
              <w:keepLines w:val="0"/>
              <w:suppressLineNumbers w:val="0"/>
              <w:spacing w:before="0" w:beforeAutospacing="0" w:after="0" w:afterAutospacing="0"/>
              <w:ind w:left="0" w:right="0"/>
              <w:rPr>
                <w:rFonts w:hint="eastAsia" w:ascii="仿宋" w:hAnsi="仿宋" w:eastAsia="仿宋" w:cs="仿宋"/>
                <w:snapToGrid w:val="0"/>
                <w:kern w:val="0"/>
                <w:szCs w:val="21"/>
                <w:highlight w:val="none"/>
                <w:lang w:val="zh-CN"/>
              </w:rPr>
            </w:pPr>
            <w:r>
              <w:rPr>
                <w:rFonts w:hint="eastAsia" w:ascii="仿宋" w:hAnsi="仿宋" w:eastAsia="仿宋" w:cs="仿宋"/>
                <w:b/>
                <w:bCs/>
                <w:color w:val="000000" w:themeColor="text1"/>
                <w:szCs w:val="21"/>
                <w:highlight w:val="none"/>
                <w14:textFill>
                  <w14:solidFill>
                    <w14:schemeClr w14:val="tx1"/>
                  </w14:solidFill>
                </w14:textFill>
              </w:rPr>
              <w:t>正本1份、副本</w:t>
            </w:r>
            <w:r>
              <w:rPr>
                <w:rFonts w:hint="eastAsia" w:ascii="仿宋" w:hAnsi="仿宋" w:eastAsia="仿宋" w:cs="仿宋"/>
                <w:b/>
                <w:bCs/>
                <w:color w:val="000000" w:themeColor="text1"/>
                <w:szCs w:val="21"/>
                <w:highlight w:val="none"/>
                <w:lang w:val="en-US" w:eastAsia="zh-CN"/>
                <w14:textFill>
                  <w14:solidFill>
                    <w14:schemeClr w14:val="tx1"/>
                  </w14:solidFill>
                </w14:textFill>
              </w:rPr>
              <w:t>5</w:t>
            </w:r>
            <w:r>
              <w:rPr>
                <w:rFonts w:hint="eastAsia" w:ascii="仿宋" w:hAnsi="仿宋" w:eastAsia="仿宋" w:cs="仿宋"/>
                <w:b/>
                <w:bCs/>
                <w:color w:val="000000" w:themeColor="text1"/>
                <w:szCs w:val="21"/>
                <w:highlight w:val="none"/>
                <w14:textFill>
                  <w14:solidFill>
                    <w14:schemeClr w14:val="tx1"/>
                  </w14:solidFill>
                </w14:textFill>
              </w:rPr>
              <w:t>份（附电子版，电子版是以U盘或硬盘等移动存储介质提交的加盖公章的PDF电子投标文件）</w:t>
            </w:r>
            <w:r>
              <w:rPr>
                <w:rFonts w:hint="eastAsia" w:ascii="仿宋" w:hAnsi="仿宋" w:eastAsia="仿宋" w:cs="仿宋"/>
                <w:b/>
                <w:bCs/>
                <w:color w:val="000000" w:themeColor="text1"/>
                <w:szCs w:val="21"/>
                <w:highlight w:val="none"/>
                <w:lang w:eastAsia="zh-CN"/>
                <w14:textFill>
                  <w14:solidFill>
                    <w14:schemeClr w14:val="tx1"/>
                  </w14:solidFill>
                </w14:textFill>
              </w:rPr>
              <w:t>、</w:t>
            </w:r>
            <w:r>
              <w:rPr>
                <w:rFonts w:hint="eastAsia" w:ascii="仿宋" w:hAnsi="仿宋" w:eastAsia="仿宋" w:cs="仿宋"/>
                <w:b/>
                <w:bCs/>
                <w:color w:val="FF0000"/>
                <w:szCs w:val="21"/>
                <w:highlight w:val="none"/>
                <w:lang w:eastAsia="zh-CN"/>
              </w:rPr>
              <w:t>单独密封的《</w:t>
            </w:r>
            <w:r>
              <w:rPr>
                <w:rFonts w:hint="eastAsia" w:ascii="仿宋" w:hAnsi="仿宋" w:eastAsia="仿宋" w:cs="仿宋"/>
                <w:b/>
                <w:bCs/>
                <w:color w:val="FF0000"/>
                <w:sz w:val="22"/>
                <w:szCs w:val="22"/>
                <w:highlight w:val="none"/>
              </w:rPr>
              <w:t>开标一览表</w:t>
            </w:r>
            <w:r>
              <w:rPr>
                <w:rFonts w:hint="eastAsia" w:ascii="仿宋" w:hAnsi="仿宋" w:eastAsia="仿宋" w:cs="仿宋"/>
                <w:b/>
                <w:bCs/>
                <w:color w:val="FF0000"/>
                <w:szCs w:val="21"/>
                <w:highlight w:val="none"/>
                <w:lang w:eastAsia="zh-CN"/>
              </w:rPr>
              <w:t>》</w:t>
            </w:r>
            <w:r>
              <w:rPr>
                <w:rFonts w:hint="eastAsia" w:ascii="仿宋" w:hAnsi="仿宋" w:eastAsia="仿宋" w:cs="仿宋"/>
                <w:b/>
                <w:bCs/>
                <w:color w:val="FF0000"/>
                <w:szCs w:val="21"/>
                <w:highlight w:val="none"/>
              </w:rPr>
              <w:t>1份</w:t>
            </w:r>
          </w:p>
        </w:tc>
      </w:tr>
      <w:tr w14:paraId="2AD681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tcBorders>
              <w:right w:val="single" w:color="auto" w:sz="4" w:space="0"/>
            </w:tcBorders>
            <w:noWrap w:val="0"/>
            <w:vAlign w:val="center"/>
          </w:tcPr>
          <w:p w14:paraId="0B78B91F">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6</w:t>
            </w:r>
          </w:p>
        </w:tc>
        <w:tc>
          <w:tcPr>
            <w:tcW w:w="850" w:type="dxa"/>
            <w:tcBorders>
              <w:left w:val="single" w:color="auto" w:sz="4" w:space="0"/>
            </w:tcBorders>
            <w:noWrap w:val="0"/>
            <w:vAlign w:val="center"/>
          </w:tcPr>
          <w:p w14:paraId="3106B5E4">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p>
        </w:tc>
        <w:tc>
          <w:tcPr>
            <w:tcW w:w="2488" w:type="dxa"/>
            <w:noWrap w:val="0"/>
            <w:vAlign w:val="center"/>
          </w:tcPr>
          <w:p w14:paraId="5E947FFA">
            <w:pPr>
              <w:keepNext w:val="0"/>
              <w:keepLines w:val="0"/>
              <w:suppressLineNumbers w:val="0"/>
              <w:spacing w:before="0" w:beforeAutospacing="0" w:after="0" w:afterAutospacing="0"/>
              <w:ind w:left="0" w:right="0"/>
              <w:rPr>
                <w:rFonts w:hint="eastAsia" w:ascii="仿宋" w:hAnsi="仿宋" w:eastAsia="仿宋" w:cs="仿宋"/>
                <w:bCs/>
                <w:szCs w:val="21"/>
                <w:highlight w:val="none"/>
              </w:rPr>
            </w:pPr>
            <w:r>
              <w:rPr>
                <w:rFonts w:hint="eastAsia" w:ascii="仿宋" w:hAnsi="仿宋" w:eastAsia="仿宋" w:cs="仿宋"/>
                <w:bCs/>
                <w:szCs w:val="21"/>
                <w:highlight w:val="none"/>
              </w:rPr>
              <w:t>交货/完工/服务期限</w:t>
            </w:r>
          </w:p>
        </w:tc>
        <w:tc>
          <w:tcPr>
            <w:tcW w:w="5691" w:type="dxa"/>
            <w:noWrap w:val="0"/>
            <w:vAlign w:val="center"/>
          </w:tcPr>
          <w:p w14:paraId="25382CD7">
            <w:pPr>
              <w:keepNext w:val="0"/>
              <w:keepLines w:val="0"/>
              <w:suppressLineNumbers w:val="0"/>
              <w:spacing w:before="0" w:beforeAutospacing="0" w:after="0" w:afterAutospacing="0"/>
              <w:ind w:left="0" w:right="0"/>
              <w:rPr>
                <w:rFonts w:hint="eastAsia" w:ascii="仿宋" w:hAnsi="仿宋" w:eastAsia="仿宋" w:cs="仿宋"/>
                <w:snapToGrid w:val="0"/>
                <w:kern w:val="0"/>
                <w:szCs w:val="21"/>
                <w:highlight w:val="none"/>
                <w:lang w:val="zh-CN"/>
              </w:rPr>
            </w:pPr>
            <w:r>
              <w:rPr>
                <w:rFonts w:hint="eastAsia" w:ascii="仿宋" w:hAnsi="仿宋" w:eastAsia="仿宋" w:cs="仿宋"/>
                <w:snapToGrid w:val="0"/>
                <w:kern w:val="0"/>
                <w:szCs w:val="21"/>
                <w:highlight w:val="none"/>
                <w:lang w:val="zh-CN"/>
              </w:rPr>
              <w:t>见后述招标有关要求</w:t>
            </w:r>
          </w:p>
        </w:tc>
      </w:tr>
      <w:tr w14:paraId="35DBCA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vMerge w:val="restart"/>
            <w:tcBorders>
              <w:right w:val="single" w:color="auto" w:sz="4" w:space="0"/>
            </w:tcBorders>
            <w:noWrap w:val="0"/>
            <w:vAlign w:val="center"/>
          </w:tcPr>
          <w:p w14:paraId="4634BDE3">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7</w:t>
            </w:r>
          </w:p>
        </w:tc>
        <w:tc>
          <w:tcPr>
            <w:tcW w:w="850" w:type="dxa"/>
            <w:tcBorders>
              <w:left w:val="single" w:color="auto" w:sz="4" w:space="0"/>
            </w:tcBorders>
            <w:noWrap w:val="0"/>
            <w:vAlign w:val="center"/>
          </w:tcPr>
          <w:p w14:paraId="429438B3">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28.2</w:t>
            </w:r>
          </w:p>
        </w:tc>
        <w:tc>
          <w:tcPr>
            <w:tcW w:w="2488" w:type="dxa"/>
            <w:noWrap w:val="0"/>
            <w:vAlign w:val="center"/>
          </w:tcPr>
          <w:p w14:paraId="2208FBE2">
            <w:pPr>
              <w:keepNext w:val="0"/>
              <w:keepLines w:val="0"/>
              <w:suppressLineNumbers w:val="0"/>
              <w:spacing w:before="0" w:beforeAutospacing="0" w:after="0" w:afterAutospacing="0"/>
              <w:ind w:left="0" w:right="0"/>
              <w:rPr>
                <w:rFonts w:hint="eastAsia" w:ascii="仿宋" w:hAnsi="仿宋" w:eastAsia="仿宋" w:cs="仿宋"/>
                <w:bCs/>
                <w:szCs w:val="21"/>
                <w:highlight w:val="none"/>
              </w:rPr>
            </w:pPr>
            <w:r>
              <w:rPr>
                <w:rFonts w:hint="eastAsia" w:ascii="仿宋" w:hAnsi="仿宋" w:eastAsia="仿宋" w:cs="仿宋"/>
                <w:bCs/>
                <w:szCs w:val="21"/>
                <w:highlight w:val="none"/>
              </w:rPr>
              <w:t>评标方法</w:t>
            </w:r>
          </w:p>
        </w:tc>
        <w:tc>
          <w:tcPr>
            <w:tcW w:w="5691" w:type="dxa"/>
            <w:noWrap w:val="0"/>
            <w:vAlign w:val="center"/>
          </w:tcPr>
          <w:p w14:paraId="62BF5733">
            <w:pPr>
              <w:keepNext w:val="0"/>
              <w:keepLines w:val="0"/>
              <w:suppressLineNumbers w:val="0"/>
              <w:spacing w:before="0" w:beforeAutospacing="0" w:after="0" w:afterAutospacing="0"/>
              <w:ind w:left="0" w:right="0"/>
              <w:rPr>
                <w:rFonts w:hint="eastAsia" w:ascii="仿宋" w:hAnsi="仿宋" w:eastAsia="仿宋" w:cs="仿宋"/>
                <w:snapToGrid w:val="0"/>
                <w:kern w:val="0"/>
                <w:szCs w:val="21"/>
                <w:highlight w:val="none"/>
                <w:lang w:val="zh-CN"/>
              </w:rPr>
            </w:pPr>
            <w:r>
              <w:rPr>
                <w:rFonts w:hint="eastAsia" w:ascii="仿宋" w:hAnsi="仿宋" w:eastAsia="仿宋" w:cs="仿宋"/>
                <w:szCs w:val="21"/>
                <w:highlight w:val="none"/>
              </w:rPr>
              <w:t>综合评分法</w:t>
            </w:r>
          </w:p>
        </w:tc>
      </w:tr>
      <w:tr w14:paraId="7F6364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vMerge w:val="continue"/>
            <w:tcBorders>
              <w:right w:val="single" w:color="auto" w:sz="4" w:space="0"/>
            </w:tcBorders>
            <w:noWrap w:val="0"/>
            <w:vAlign w:val="center"/>
          </w:tcPr>
          <w:p w14:paraId="236E2C35">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p>
        </w:tc>
        <w:tc>
          <w:tcPr>
            <w:tcW w:w="850" w:type="dxa"/>
            <w:tcBorders>
              <w:left w:val="single" w:color="auto" w:sz="4" w:space="0"/>
            </w:tcBorders>
            <w:noWrap w:val="0"/>
            <w:vAlign w:val="center"/>
          </w:tcPr>
          <w:p w14:paraId="31AB6A34">
            <w:pPr>
              <w:keepNext w:val="0"/>
              <w:keepLines w:val="0"/>
              <w:suppressLineNumbers w:val="0"/>
              <w:spacing w:before="0" w:beforeAutospacing="0" w:after="0" w:afterAutospacing="0"/>
              <w:ind w:left="0" w:right="0"/>
              <w:jc w:val="center"/>
              <w:rPr>
                <w:rFonts w:hint="eastAsia" w:ascii="仿宋" w:hAnsi="仿宋" w:eastAsia="仿宋" w:cs="仿宋"/>
                <w:szCs w:val="21"/>
                <w:highlight w:val="none"/>
                <w:lang w:eastAsia="zh-CN"/>
              </w:rPr>
            </w:pPr>
            <w:r>
              <w:rPr>
                <w:rFonts w:hint="eastAsia" w:ascii="仿宋" w:hAnsi="仿宋" w:eastAsia="仿宋" w:cs="仿宋"/>
                <w:highlight w:val="none"/>
              </w:rPr>
              <w:t>29.</w:t>
            </w:r>
            <w:r>
              <w:rPr>
                <w:rFonts w:hint="eastAsia" w:ascii="仿宋" w:hAnsi="仿宋" w:eastAsia="仿宋" w:cs="仿宋"/>
                <w:highlight w:val="none"/>
                <w:lang w:val="en-US" w:eastAsia="zh-CN"/>
              </w:rPr>
              <w:t>1</w:t>
            </w:r>
          </w:p>
        </w:tc>
        <w:tc>
          <w:tcPr>
            <w:tcW w:w="2488" w:type="dxa"/>
            <w:noWrap w:val="0"/>
            <w:vAlign w:val="center"/>
          </w:tcPr>
          <w:p w14:paraId="6AF112DA">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highlight w:val="none"/>
              </w:rPr>
              <w:t>定标方法</w:t>
            </w:r>
          </w:p>
        </w:tc>
        <w:tc>
          <w:tcPr>
            <w:tcW w:w="5691" w:type="dxa"/>
            <w:noWrap w:val="0"/>
            <w:vAlign w:val="center"/>
          </w:tcPr>
          <w:p w14:paraId="7BC8BE27">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本项目采用评定结合方式，无需选择定标方法。</w:t>
            </w:r>
          </w:p>
        </w:tc>
      </w:tr>
      <w:tr w14:paraId="69731B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2" w:hRule="atLeast"/>
        </w:trPr>
        <w:tc>
          <w:tcPr>
            <w:tcW w:w="450" w:type="dxa"/>
            <w:tcBorders>
              <w:right w:val="single" w:color="auto" w:sz="4" w:space="0"/>
            </w:tcBorders>
            <w:noWrap w:val="0"/>
            <w:vAlign w:val="center"/>
          </w:tcPr>
          <w:p w14:paraId="324ACBD3">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8</w:t>
            </w:r>
          </w:p>
        </w:tc>
        <w:tc>
          <w:tcPr>
            <w:tcW w:w="850" w:type="dxa"/>
            <w:tcBorders>
              <w:left w:val="single" w:color="auto" w:sz="4" w:space="0"/>
            </w:tcBorders>
            <w:noWrap w:val="0"/>
            <w:vAlign w:val="center"/>
          </w:tcPr>
          <w:p w14:paraId="5CF32871">
            <w:pPr>
              <w:keepNext w:val="0"/>
              <w:keepLines w:val="0"/>
              <w:suppressLineNumbers w:val="0"/>
              <w:spacing w:before="0" w:beforeAutospacing="0" w:after="0" w:afterAutospacing="0"/>
              <w:ind w:left="0" w:right="0"/>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1</w:t>
            </w:r>
          </w:p>
        </w:tc>
        <w:tc>
          <w:tcPr>
            <w:tcW w:w="2488" w:type="dxa"/>
            <w:noWrap w:val="0"/>
            <w:vAlign w:val="center"/>
          </w:tcPr>
          <w:p w14:paraId="4348C975">
            <w:pPr>
              <w:keepNext w:val="0"/>
              <w:keepLines w:val="0"/>
              <w:suppressLineNumbers w:val="0"/>
              <w:spacing w:before="0" w:beforeAutospacing="0" w:after="0" w:afterAutospacing="0"/>
              <w:ind w:left="0" w:right="0"/>
              <w:rPr>
                <w:rFonts w:hint="eastAsia" w:ascii="仿宋" w:hAnsi="仿宋" w:eastAsia="仿宋" w:cs="仿宋"/>
                <w:bCs/>
                <w:szCs w:val="21"/>
                <w:highlight w:val="none"/>
              </w:rPr>
            </w:pPr>
            <w:r>
              <w:rPr>
                <w:rFonts w:hint="eastAsia" w:ascii="仿宋" w:hAnsi="仿宋" w:eastAsia="仿宋" w:cs="仿宋"/>
                <w:bCs/>
                <w:szCs w:val="21"/>
                <w:highlight w:val="none"/>
              </w:rPr>
              <w:t>投标币种</w:t>
            </w:r>
          </w:p>
        </w:tc>
        <w:tc>
          <w:tcPr>
            <w:tcW w:w="5691" w:type="dxa"/>
            <w:noWrap w:val="0"/>
            <w:vAlign w:val="center"/>
          </w:tcPr>
          <w:p w14:paraId="129F7BF6">
            <w:pPr>
              <w:keepNext w:val="0"/>
              <w:keepLines w:val="0"/>
              <w:suppressLineNumbers w:val="0"/>
              <w:spacing w:before="0" w:beforeAutospacing="0" w:after="0" w:afterAutospacing="0"/>
              <w:ind w:left="0" w:right="0"/>
              <w:rPr>
                <w:rFonts w:hint="eastAsia" w:ascii="仿宋" w:hAnsi="仿宋" w:eastAsia="仿宋" w:cs="仿宋"/>
                <w:snapToGrid w:val="0"/>
                <w:kern w:val="0"/>
                <w:szCs w:val="21"/>
                <w:highlight w:val="none"/>
                <w:lang w:val="zh-CN"/>
              </w:rPr>
            </w:pPr>
            <w:r>
              <w:rPr>
                <w:rFonts w:hint="eastAsia" w:ascii="仿宋" w:hAnsi="仿宋" w:eastAsia="仿宋" w:cs="仿宋"/>
                <w:snapToGrid w:val="0"/>
                <w:kern w:val="0"/>
                <w:szCs w:val="21"/>
                <w:highlight w:val="none"/>
                <w:lang w:val="zh-CN"/>
              </w:rPr>
              <w:t>人民币</w:t>
            </w:r>
          </w:p>
        </w:tc>
      </w:tr>
      <w:tr w14:paraId="235094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tcBorders>
              <w:right w:val="single" w:color="auto" w:sz="4" w:space="0"/>
            </w:tcBorders>
            <w:noWrap w:val="0"/>
            <w:vAlign w:val="center"/>
          </w:tcPr>
          <w:p w14:paraId="3B25DB89">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9</w:t>
            </w:r>
          </w:p>
        </w:tc>
        <w:tc>
          <w:tcPr>
            <w:tcW w:w="850" w:type="dxa"/>
            <w:tcBorders>
              <w:left w:val="single" w:color="auto" w:sz="4" w:space="0"/>
            </w:tcBorders>
            <w:noWrap w:val="0"/>
            <w:vAlign w:val="center"/>
          </w:tcPr>
          <w:p w14:paraId="08806155">
            <w:pPr>
              <w:keepNext w:val="0"/>
              <w:keepLines w:val="0"/>
              <w:suppressLineNumbers w:val="0"/>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3.2</w:t>
            </w:r>
          </w:p>
        </w:tc>
        <w:tc>
          <w:tcPr>
            <w:tcW w:w="2488" w:type="dxa"/>
            <w:noWrap w:val="0"/>
            <w:vAlign w:val="center"/>
          </w:tcPr>
          <w:p w14:paraId="51D5E854">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联合体投标</w:t>
            </w:r>
          </w:p>
        </w:tc>
        <w:tc>
          <w:tcPr>
            <w:tcW w:w="5691" w:type="dxa"/>
            <w:noWrap w:val="0"/>
            <w:vAlign w:val="center"/>
          </w:tcPr>
          <w:p w14:paraId="54CB6D45">
            <w:pPr>
              <w:keepNext w:val="0"/>
              <w:keepLines w:val="0"/>
              <w:suppressLineNumbers w:val="0"/>
              <w:spacing w:before="0" w:beforeAutospacing="0" w:after="0" w:afterAutospacing="0"/>
              <w:ind w:left="0" w:right="0"/>
              <w:rPr>
                <w:rFonts w:hint="eastAsia" w:ascii="仿宋" w:hAnsi="仿宋" w:eastAsia="仿宋" w:cs="仿宋"/>
                <w:snapToGrid w:val="0"/>
                <w:kern w:val="0"/>
                <w:szCs w:val="21"/>
                <w:highlight w:val="none"/>
                <w:lang w:val="zh-CN"/>
              </w:rPr>
            </w:pPr>
            <w:r>
              <w:rPr>
                <w:rFonts w:hint="eastAsia" w:ascii="仿宋" w:hAnsi="仿宋" w:eastAsia="仿宋" w:cs="仿宋"/>
                <w:snapToGrid w:val="0"/>
                <w:kern w:val="0"/>
                <w:szCs w:val="21"/>
                <w:highlight w:val="none"/>
                <w:lang w:val="zh-CN"/>
              </w:rPr>
              <w:t>不允许</w:t>
            </w:r>
          </w:p>
        </w:tc>
      </w:tr>
      <w:tr w14:paraId="2E8522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tcBorders>
              <w:right w:val="single" w:color="auto" w:sz="4" w:space="0"/>
            </w:tcBorders>
            <w:noWrap w:val="0"/>
            <w:vAlign w:val="center"/>
          </w:tcPr>
          <w:p w14:paraId="40377176">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10</w:t>
            </w:r>
          </w:p>
        </w:tc>
        <w:tc>
          <w:tcPr>
            <w:tcW w:w="850" w:type="dxa"/>
            <w:tcBorders>
              <w:left w:val="single" w:color="auto" w:sz="4" w:space="0"/>
            </w:tcBorders>
            <w:noWrap w:val="0"/>
            <w:vAlign w:val="center"/>
          </w:tcPr>
          <w:p w14:paraId="0A4BF40F">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15.1</w:t>
            </w:r>
          </w:p>
        </w:tc>
        <w:tc>
          <w:tcPr>
            <w:tcW w:w="2488" w:type="dxa"/>
            <w:noWrap w:val="0"/>
            <w:vAlign w:val="center"/>
          </w:tcPr>
          <w:p w14:paraId="1973D835">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投标有效期</w:t>
            </w:r>
          </w:p>
        </w:tc>
        <w:tc>
          <w:tcPr>
            <w:tcW w:w="5691" w:type="dxa"/>
            <w:noWrap w:val="0"/>
            <w:vAlign w:val="center"/>
          </w:tcPr>
          <w:p w14:paraId="1960B113">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120个日历天（从投标截止之日算起）</w:t>
            </w:r>
          </w:p>
        </w:tc>
      </w:tr>
      <w:tr w14:paraId="613067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tcBorders>
              <w:right w:val="single" w:color="auto" w:sz="4" w:space="0"/>
            </w:tcBorders>
            <w:noWrap w:val="0"/>
            <w:vAlign w:val="center"/>
          </w:tcPr>
          <w:p w14:paraId="7E51D820">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11</w:t>
            </w:r>
          </w:p>
        </w:tc>
        <w:tc>
          <w:tcPr>
            <w:tcW w:w="850" w:type="dxa"/>
            <w:tcBorders>
              <w:left w:val="single" w:color="auto" w:sz="4" w:space="0"/>
            </w:tcBorders>
            <w:noWrap w:val="0"/>
            <w:vAlign w:val="center"/>
          </w:tcPr>
          <w:p w14:paraId="6786CDF5">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16</w:t>
            </w:r>
          </w:p>
        </w:tc>
        <w:tc>
          <w:tcPr>
            <w:tcW w:w="2488" w:type="dxa"/>
            <w:noWrap w:val="0"/>
            <w:vAlign w:val="center"/>
          </w:tcPr>
          <w:p w14:paraId="7CAD62C4">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投标人的替代方案</w:t>
            </w:r>
          </w:p>
        </w:tc>
        <w:tc>
          <w:tcPr>
            <w:tcW w:w="5691" w:type="dxa"/>
            <w:noWrap w:val="0"/>
            <w:vAlign w:val="center"/>
          </w:tcPr>
          <w:p w14:paraId="551B3F26">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不允许</w:t>
            </w:r>
          </w:p>
        </w:tc>
      </w:tr>
      <w:tr w14:paraId="172333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tcBorders>
              <w:right w:val="single" w:color="auto" w:sz="4" w:space="0"/>
            </w:tcBorders>
            <w:noWrap w:val="0"/>
            <w:vAlign w:val="center"/>
          </w:tcPr>
          <w:p w14:paraId="258AF4D9">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12</w:t>
            </w:r>
          </w:p>
        </w:tc>
        <w:tc>
          <w:tcPr>
            <w:tcW w:w="850" w:type="dxa"/>
            <w:tcBorders>
              <w:left w:val="single" w:color="auto" w:sz="4" w:space="0"/>
            </w:tcBorders>
            <w:noWrap w:val="0"/>
            <w:vAlign w:val="center"/>
          </w:tcPr>
          <w:p w14:paraId="4FA1D15B">
            <w:pPr>
              <w:keepNext w:val="0"/>
              <w:keepLines w:val="0"/>
              <w:suppressLineNumbers w:val="0"/>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14</w:t>
            </w:r>
          </w:p>
        </w:tc>
        <w:tc>
          <w:tcPr>
            <w:tcW w:w="2488" w:type="dxa"/>
            <w:noWrap w:val="0"/>
            <w:vAlign w:val="center"/>
          </w:tcPr>
          <w:p w14:paraId="1491154D">
            <w:pPr>
              <w:keepNext w:val="0"/>
              <w:keepLines w:val="0"/>
              <w:suppressLineNumbers w:val="0"/>
              <w:spacing w:before="0" w:beforeAutospacing="0" w:after="0" w:afterAutospacing="0"/>
              <w:ind w:left="0" w:right="0"/>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投标保证金</w:t>
            </w:r>
          </w:p>
        </w:tc>
        <w:tc>
          <w:tcPr>
            <w:tcW w:w="5691" w:type="dxa"/>
            <w:noWrap w:val="0"/>
            <w:vAlign w:val="center"/>
          </w:tcPr>
          <w:p w14:paraId="066ADA72">
            <w:pPr>
              <w:keepNext w:val="0"/>
              <w:keepLines w:val="0"/>
              <w:suppressLineNumbers w:val="0"/>
              <w:spacing w:before="0" w:beforeAutospacing="0" w:after="0" w:afterAutospacing="0"/>
              <w:ind w:left="0" w:right="0"/>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本项目不适用</w:t>
            </w:r>
          </w:p>
        </w:tc>
      </w:tr>
      <w:tr w14:paraId="4FD917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0" w:hRule="atLeast"/>
        </w:trPr>
        <w:tc>
          <w:tcPr>
            <w:tcW w:w="450" w:type="dxa"/>
            <w:tcBorders>
              <w:right w:val="single" w:color="auto" w:sz="4" w:space="0"/>
            </w:tcBorders>
            <w:noWrap w:val="0"/>
            <w:vAlign w:val="center"/>
          </w:tcPr>
          <w:p w14:paraId="1235A36B">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13</w:t>
            </w:r>
          </w:p>
        </w:tc>
        <w:tc>
          <w:tcPr>
            <w:tcW w:w="850" w:type="dxa"/>
            <w:tcBorders>
              <w:left w:val="single" w:color="auto" w:sz="4" w:space="0"/>
            </w:tcBorders>
            <w:noWrap w:val="0"/>
            <w:vAlign w:val="center"/>
          </w:tcPr>
          <w:p w14:paraId="0D6FF719">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6.1</w:t>
            </w:r>
          </w:p>
        </w:tc>
        <w:tc>
          <w:tcPr>
            <w:tcW w:w="2488" w:type="dxa"/>
            <w:noWrap w:val="0"/>
            <w:vAlign w:val="center"/>
          </w:tcPr>
          <w:p w14:paraId="3B40997B">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现场踏勘</w:t>
            </w:r>
          </w:p>
        </w:tc>
        <w:tc>
          <w:tcPr>
            <w:tcW w:w="5691" w:type="dxa"/>
            <w:noWrap w:val="0"/>
            <w:vAlign w:val="center"/>
          </w:tcPr>
          <w:p w14:paraId="5DA24BCA">
            <w:pPr>
              <w:pStyle w:val="90"/>
              <w:keepNext w:val="0"/>
              <w:keepLines w:val="0"/>
              <w:suppressLineNumbers w:val="0"/>
              <w:tabs>
                <w:tab w:val="left" w:pos="1260"/>
              </w:tabs>
              <w:spacing w:before="0" w:beforeAutospacing="0" w:after="0" w:afterAutospacing="0" w:line="240" w:lineRule="auto"/>
              <w:ind w:left="0" w:right="0"/>
              <w:jc w:val="both"/>
              <w:rPr>
                <w:rFonts w:hint="eastAsia" w:ascii="仿宋" w:hAnsi="仿宋" w:eastAsia="仿宋" w:cs="仿宋"/>
                <w:b w:val="0"/>
                <w:sz w:val="21"/>
                <w:szCs w:val="21"/>
                <w:highlight w:val="none"/>
              </w:rPr>
            </w:pPr>
            <w:r>
              <w:rPr>
                <w:rFonts w:hint="eastAsia" w:ascii="仿宋" w:hAnsi="仿宋" w:eastAsia="仿宋" w:cs="仿宋"/>
                <w:b w:val="0"/>
                <w:sz w:val="21"/>
                <w:szCs w:val="21"/>
                <w:highlight w:val="none"/>
              </w:rPr>
              <w:t>本项目是否组织供应商进行现场踏勘： 口是 ■否</w:t>
            </w:r>
          </w:p>
          <w:p w14:paraId="59B0430A">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时间、地址、联系人、联系方式等</w:t>
            </w:r>
          </w:p>
        </w:tc>
      </w:tr>
      <w:tr w14:paraId="5B0E0E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450" w:type="dxa"/>
            <w:tcBorders>
              <w:right w:val="single" w:color="auto" w:sz="4" w:space="0"/>
            </w:tcBorders>
            <w:noWrap w:val="0"/>
            <w:vAlign w:val="center"/>
          </w:tcPr>
          <w:p w14:paraId="3B6D3EC6">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14</w:t>
            </w:r>
          </w:p>
        </w:tc>
        <w:tc>
          <w:tcPr>
            <w:tcW w:w="850" w:type="dxa"/>
            <w:tcBorders>
              <w:left w:val="single" w:color="auto" w:sz="4" w:space="0"/>
            </w:tcBorders>
            <w:noWrap w:val="0"/>
            <w:vAlign w:val="center"/>
          </w:tcPr>
          <w:p w14:paraId="7CEF8249">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7.1</w:t>
            </w:r>
          </w:p>
        </w:tc>
        <w:tc>
          <w:tcPr>
            <w:tcW w:w="2488" w:type="dxa"/>
            <w:noWrap w:val="0"/>
            <w:vAlign w:val="center"/>
          </w:tcPr>
          <w:p w14:paraId="2E29DF93">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现场答疑会</w:t>
            </w:r>
          </w:p>
        </w:tc>
        <w:tc>
          <w:tcPr>
            <w:tcW w:w="5691" w:type="dxa"/>
            <w:noWrap w:val="0"/>
            <w:vAlign w:val="center"/>
          </w:tcPr>
          <w:p w14:paraId="1B865DC4">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本项目不安排现场答疑</w:t>
            </w:r>
          </w:p>
        </w:tc>
      </w:tr>
      <w:tr w14:paraId="7CA2D3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tcBorders>
              <w:right w:val="single" w:color="auto" w:sz="4" w:space="0"/>
            </w:tcBorders>
            <w:noWrap w:val="0"/>
            <w:vAlign w:val="center"/>
          </w:tcPr>
          <w:p w14:paraId="27381776">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15</w:t>
            </w:r>
          </w:p>
        </w:tc>
        <w:tc>
          <w:tcPr>
            <w:tcW w:w="850" w:type="dxa"/>
            <w:tcBorders>
              <w:left w:val="single" w:color="auto" w:sz="4" w:space="0"/>
            </w:tcBorders>
            <w:noWrap w:val="0"/>
            <w:vAlign w:val="center"/>
          </w:tcPr>
          <w:p w14:paraId="1B26CA51">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7.1</w:t>
            </w:r>
          </w:p>
        </w:tc>
        <w:tc>
          <w:tcPr>
            <w:tcW w:w="2488" w:type="dxa"/>
            <w:noWrap w:val="0"/>
            <w:vAlign w:val="center"/>
          </w:tcPr>
          <w:p w14:paraId="275A03EE">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采购人对招标文件的澄清或修改、答疑的期限</w:t>
            </w:r>
          </w:p>
        </w:tc>
        <w:tc>
          <w:tcPr>
            <w:tcW w:w="5691" w:type="dxa"/>
            <w:noWrap w:val="0"/>
            <w:vAlign w:val="center"/>
          </w:tcPr>
          <w:p w14:paraId="723B4FD2">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投标人有义务在招标期间上网浏览有关本项目的补充公告等信息</w:t>
            </w:r>
          </w:p>
        </w:tc>
      </w:tr>
      <w:tr w14:paraId="5AE5CC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tcBorders>
              <w:right w:val="single" w:color="auto" w:sz="4" w:space="0"/>
            </w:tcBorders>
            <w:noWrap w:val="0"/>
            <w:vAlign w:val="center"/>
          </w:tcPr>
          <w:p w14:paraId="22FCFD96">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16</w:t>
            </w:r>
          </w:p>
        </w:tc>
        <w:tc>
          <w:tcPr>
            <w:tcW w:w="850" w:type="dxa"/>
            <w:tcBorders>
              <w:left w:val="single" w:color="auto" w:sz="4" w:space="0"/>
            </w:tcBorders>
            <w:noWrap w:val="0"/>
            <w:vAlign w:val="center"/>
          </w:tcPr>
          <w:p w14:paraId="53812059">
            <w:pPr>
              <w:keepNext w:val="0"/>
              <w:keepLines w:val="0"/>
              <w:suppressLineNumbers w:val="0"/>
              <w:spacing w:before="0" w:beforeAutospacing="0" w:after="0" w:afterAutospacing="0"/>
              <w:ind w:left="0" w:right="0"/>
              <w:jc w:val="center"/>
              <w:rPr>
                <w:rFonts w:hint="eastAsia" w:ascii="仿宋" w:hAnsi="仿宋" w:eastAsia="仿宋" w:cs="仿宋"/>
                <w:szCs w:val="21"/>
                <w:highlight w:val="none"/>
                <w:lang w:eastAsia="zh-CN"/>
              </w:rPr>
            </w:pPr>
            <w:r>
              <w:rPr>
                <w:rFonts w:hint="eastAsia" w:ascii="仿宋" w:hAnsi="仿宋" w:eastAsia="仿宋" w:cs="仿宋"/>
                <w:szCs w:val="21"/>
                <w:highlight w:val="none"/>
              </w:rPr>
              <w:t>18.</w:t>
            </w:r>
            <w:r>
              <w:rPr>
                <w:rFonts w:hint="eastAsia" w:ascii="仿宋" w:hAnsi="仿宋" w:eastAsia="仿宋" w:cs="仿宋"/>
                <w:szCs w:val="21"/>
                <w:highlight w:val="none"/>
                <w:lang w:val="en-US" w:eastAsia="zh-CN"/>
              </w:rPr>
              <w:t>3</w:t>
            </w:r>
          </w:p>
        </w:tc>
        <w:tc>
          <w:tcPr>
            <w:tcW w:w="2488" w:type="dxa"/>
            <w:noWrap w:val="0"/>
            <w:vAlign w:val="center"/>
          </w:tcPr>
          <w:p w14:paraId="2DAC9079">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投标文件的投递地址</w:t>
            </w:r>
          </w:p>
        </w:tc>
        <w:tc>
          <w:tcPr>
            <w:tcW w:w="5691" w:type="dxa"/>
            <w:noWrap w:val="0"/>
            <w:vAlign w:val="center"/>
          </w:tcPr>
          <w:p w14:paraId="73B1039B">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深圳市福田区福田体育公园西北角友和招标代理服务中心（靠近北门）会议室</w:t>
            </w:r>
          </w:p>
        </w:tc>
      </w:tr>
      <w:tr w14:paraId="3571B0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tcBorders>
              <w:right w:val="single" w:color="auto" w:sz="4" w:space="0"/>
            </w:tcBorders>
            <w:noWrap w:val="0"/>
            <w:vAlign w:val="center"/>
          </w:tcPr>
          <w:p w14:paraId="15E7D7D8">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17</w:t>
            </w:r>
          </w:p>
        </w:tc>
        <w:tc>
          <w:tcPr>
            <w:tcW w:w="850" w:type="dxa"/>
            <w:tcBorders>
              <w:left w:val="single" w:color="auto" w:sz="4" w:space="0"/>
            </w:tcBorders>
            <w:noWrap w:val="0"/>
            <w:vAlign w:val="center"/>
          </w:tcPr>
          <w:p w14:paraId="3B13BA20">
            <w:pPr>
              <w:keepNext w:val="0"/>
              <w:keepLines w:val="0"/>
              <w:suppressLineNumbers w:val="0"/>
              <w:spacing w:before="0" w:beforeAutospacing="0" w:after="0" w:afterAutospacing="0"/>
              <w:ind w:left="0" w:right="0"/>
              <w:jc w:val="center"/>
              <w:rPr>
                <w:rFonts w:hint="eastAsia" w:ascii="仿宋" w:hAnsi="仿宋" w:eastAsia="仿宋" w:cs="仿宋"/>
                <w:szCs w:val="21"/>
                <w:highlight w:val="none"/>
                <w:lang w:eastAsia="zh-CN"/>
              </w:rPr>
            </w:pPr>
            <w:r>
              <w:rPr>
                <w:rFonts w:hint="eastAsia" w:ascii="仿宋" w:hAnsi="仿宋" w:eastAsia="仿宋" w:cs="仿宋"/>
                <w:szCs w:val="21"/>
                <w:highlight w:val="none"/>
              </w:rPr>
              <w:t>18.</w:t>
            </w:r>
            <w:r>
              <w:rPr>
                <w:rFonts w:hint="eastAsia" w:ascii="仿宋" w:hAnsi="仿宋" w:eastAsia="仿宋" w:cs="仿宋"/>
                <w:szCs w:val="21"/>
                <w:highlight w:val="none"/>
                <w:lang w:val="en-US" w:eastAsia="zh-CN"/>
              </w:rPr>
              <w:t>4</w:t>
            </w:r>
          </w:p>
        </w:tc>
        <w:tc>
          <w:tcPr>
            <w:tcW w:w="2488" w:type="dxa"/>
            <w:noWrap w:val="0"/>
            <w:vAlign w:val="center"/>
          </w:tcPr>
          <w:p w14:paraId="32B85E29">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投标截止时间</w:t>
            </w:r>
          </w:p>
        </w:tc>
        <w:tc>
          <w:tcPr>
            <w:tcW w:w="5691" w:type="dxa"/>
            <w:noWrap w:val="0"/>
            <w:vAlign w:val="center"/>
          </w:tcPr>
          <w:p w14:paraId="4681A017">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详见招标公告中相关内容</w:t>
            </w:r>
          </w:p>
        </w:tc>
      </w:tr>
      <w:tr w14:paraId="4C9FA2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tcBorders>
              <w:right w:val="single" w:color="auto" w:sz="4" w:space="0"/>
            </w:tcBorders>
            <w:noWrap w:val="0"/>
            <w:vAlign w:val="center"/>
          </w:tcPr>
          <w:p w14:paraId="5AC86B68">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18</w:t>
            </w:r>
          </w:p>
        </w:tc>
        <w:tc>
          <w:tcPr>
            <w:tcW w:w="850" w:type="dxa"/>
            <w:tcBorders>
              <w:left w:val="single" w:color="auto" w:sz="4" w:space="0"/>
            </w:tcBorders>
            <w:noWrap w:val="0"/>
            <w:vAlign w:val="center"/>
          </w:tcPr>
          <w:p w14:paraId="44AE92C5">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20.1</w:t>
            </w:r>
          </w:p>
        </w:tc>
        <w:tc>
          <w:tcPr>
            <w:tcW w:w="2488" w:type="dxa"/>
            <w:noWrap w:val="0"/>
            <w:vAlign w:val="center"/>
          </w:tcPr>
          <w:p w14:paraId="415ACED3">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开标时间和地点</w:t>
            </w:r>
          </w:p>
        </w:tc>
        <w:tc>
          <w:tcPr>
            <w:tcW w:w="5691" w:type="dxa"/>
            <w:noWrap w:val="0"/>
            <w:vAlign w:val="center"/>
          </w:tcPr>
          <w:p w14:paraId="2B9D8AC7">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详见招标公告中相关内容</w:t>
            </w:r>
          </w:p>
        </w:tc>
      </w:tr>
      <w:tr w14:paraId="017363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tcBorders>
              <w:right w:val="single" w:color="auto" w:sz="4" w:space="0"/>
            </w:tcBorders>
            <w:noWrap w:val="0"/>
            <w:vAlign w:val="center"/>
          </w:tcPr>
          <w:p w14:paraId="6AED69AA">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19</w:t>
            </w:r>
          </w:p>
        </w:tc>
        <w:tc>
          <w:tcPr>
            <w:tcW w:w="850" w:type="dxa"/>
            <w:tcBorders>
              <w:left w:val="single" w:color="auto" w:sz="4" w:space="0"/>
            </w:tcBorders>
            <w:noWrap w:val="0"/>
            <w:vAlign w:val="center"/>
          </w:tcPr>
          <w:p w14:paraId="7DB8FCFD">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39</w:t>
            </w:r>
          </w:p>
        </w:tc>
        <w:tc>
          <w:tcPr>
            <w:tcW w:w="2488" w:type="dxa"/>
            <w:noWrap w:val="0"/>
            <w:vAlign w:val="center"/>
          </w:tcPr>
          <w:p w14:paraId="0A1153ED">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履约担保金额</w:t>
            </w:r>
          </w:p>
        </w:tc>
        <w:tc>
          <w:tcPr>
            <w:tcW w:w="5691" w:type="dxa"/>
            <w:noWrap w:val="0"/>
            <w:vAlign w:val="center"/>
          </w:tcPr>
          <w:p w14:paraId="4ED329B6">
            <w:pPr>
              <w:keepNext w:val="0"/>
              <w:keepLines w:val="0"/>
              <w:suppressLineNumbers w:val="0"/>
              <w:spacing w:before="0" w:beforeAutospacing="0" w:after="0" w:afterAutospacing="0"/>
              <w:ind w:left="0" w:right="0"/>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无</w:t>
            </w:r>
          </w:p>
        </w:tc>
      </w:tr>
      <w:tr w14:paraId="1B3ADA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450" w:type="dxa"/>
            <w:tcBorders>
              <w:right w:val="single" w:color="auto" w:sz="4" w:space="0"/>
            </w:tcBorders>
            <w:noWrap w:val="0"/>
            <w:vAlign w:val="center"/>
          </w:tcPr>
          <w:p w14:paraId="616D8C1D">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color w:val="000000"/>
                <w:szCs w:val="21"/>
                <w:highlight w:val="none"/>
              </w:rPr>
              <w:t>20</w:t>
            </w:r>
          </w:p>
        </w:tc>
        <w:tc>
          <w:tcPr>
            <w:tcW w:w="850" w:type="dxa"/>
            <w:tcBorders>
              <w:left w:val="single" w:color="auto" w:sz="4" w:space="0"/>
            </w:tcBorders>
            <w:noWrap w:val="0"/>
            <w:vAlign w:val="center"/>
          </w:tcPr>
          <w:p w14:paraId="6C2F5540">
            <w:pPr>
              <w:keepNext w:val="0"/>
              <w:keepLines w:val="0"/>
              <w:suppressLineNumbers w:val="0"/>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29</w:t>
            </w:r>
          </w:p>
        </w:tc>
        <w:tc>
          <w:tcPr>
            <w:tcW w:w="2488" w:type="dxa"/>
            <w:noWrap w:val="0"/>
            <w:vAlign w:val="center"/>
          </w:tcPr>
          <w:p w14:paraId="206DC177">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highlight w:val="none"/>
              </w:rPr>
              <w:t>中标候选人</w:t>
            </w:r>
          </w:p>
        </w:tc>
        <w:tc>
          <w:tcPr>
            <w:tcW w:w="5691" w:type="dxa"/>
            <w:noWrap w:val="0"/>
            <w:vAlign w:val="center"/>
          </w:tcPr>
          <w:p w14:paraId="25B931A1">
            <w:pPr>
              <w:keepNext w:val="0"/>
              <w:keepLines w:val="0"/>
              <w:suppressLineNumbers w:val="0"/>
              <w:spacing w:before="0" w:beforeAutospacing="0" w:after="0" w:afterAutospacing="0"/>
              <w:ind w:left="0" w:right="0"/>
              <w:rPr>
                <w:rFonts w:hint="eastAsia" w:ascii="仿宋" w:hAnsi="仿宋" w:eastAsia="仿宋" w:cs="仿宋"/>
                <w:szCs w:val="21"/>
                <w:highlight w:val="none"/>
                <w:lang w:eastAsia="zh-CN"/>
              </w:rPr>
            </w:pPr>
            <w:r>
              <w:rPr>
                <w:rFonts w:hint="eastAsia" w:ascii="仿宋" w:hAnsi="仿宋" w:eastAsia="仿宋" w:cs="仿宋"/>
                <w:szCs w:val="21"/>
                <w:highlight w:val="none"/>
              </w:rPr>
              <w:t>评标委员会推荐排名</w:t>
            </w:r>
            <w:r>
              <w:rPr>
                <w:rFonts w:hint="eastAsia" w:ascii="仿宋" w:hAnsi="仿宋" w:eastAsia="仿宋" w:cs="仿宋"/>
                <w:szCs w:val="21"/>
                <w:highlight w:val="none"/>
                <w:lang w:eastAsia="zh-CN"/>
              </w:rPr>
              <w:t>第一的</w:t>
            </w:r>
            <w:r>
              <w:rPr>
                <w:rFonts w:hint="eastAsia" w:ascii="仿宋" w:hAnsi="仿宋" w:eastAsia="仿宋" w:cs="仿宋"/>
                <w:szCs w:val="21"/>
                <w:highlight w:val="none"/>
              </w:rPr>
              <w:t>投标人为</w:t>
            </w:r>
            <w:r>
              <w:rPr>
                <w:rFonts w:hint="eastAsia" w:ascii="仿宋" w:hAnsi="仿宋" w:eastAsia="仿宋" w:cs="仿宋"/>
                <w:szCs w:val="21"/>
                <w:highlight w:val="none"/>
                <w:lang w:eastAsia="zh-CN"/>
              </w:rPr>
              <w:t>第一</w:t>
            </w:r>
            <w:r>
              <w:rPr>
                <w:rFonts w:hint="eastAsia" w:ascii="仿宋" w:hAnsi="仿宋" w:eastAsia="仿宋" w:cs="仿宋"/>
                <w:szCs w:val="21"/>
                <w:highlight w:val="none"/>
              </w:rPr>
              <w:t>候选中标供应商</w:t>
            </w:r>
            <w:r>
              <w:rPr>
                <w:rFonts w:hint="eastAsia" w:ascii="仿宋" w:hAnsi="仿宋" w:eastAsia="仿宋" w:cs="仿宋"/>
                <w:szCs w:val="21"/>
                <w:highlight w:val="none"/>
                <w:lang w:eastAsia="zh-CN"/>
              </w:rPr>
              <w:t>，</w:t>
            </w:r>
            <w:r>
              <w:rPr>
                <w:rFonts w:hint="eastAsia" w:ascii="仿宋" w:hAnsi="仿宋" w:eastAsia="仿宋" w:cs="仿宋"/>
                <w:szCs w:val="21"/>
                <w:highlight w:val="none"/>
              </w:rPr>
              <w:t>排名第二的投标人为第二候选中标供应商</w:t>
            </w:r>
            <w:r>
              <w:rPr>
                <w:rFonts w:hint="eastAsia" w:ascii="仿宋" w:hAnsi="仿宋" w:eastAsia="仿宋" w:cs="仿宋"/>
                <w:szCs w:val="21"/>
                <w:highlight w:val="none"/>
                <w:lang w:eastAsia="zh-CN"/>
              </w:rPr>
              <w:t>，</w:t>
            </w:r>
            <w:r>
              <w:rPr>
                <w:rFonts w:hint="eastAsia" w:ascii="仿宋" w:hAnsi="仿宋" w:eastAsia="仿宋" w:cs="仿宋"/>
                <w:szCs w:val="21"/>
                <w:highlight w:val="none"/>
              </w:rPr>
              <w:t>排名第三的投标人为第三候选中标供应商</w:t>
            </w:r>
            <w:r>
              <w:rPr>
                <w:rFonts w:hint="eastAsia" w:ascii="仿宋" w:hAnsi="仿宋" w:eastAsia="仿宋" w:cs="仿宋"/>
                <w:szCs w:val="21"/>
                <w:highlight w:val="none"/>
                <w:lang w:eastAsia="zh-CN"/>
              </w:rPr>
              <w:t>。</w:t>
            </w:r>
          </w:p>
          <w:p w14:paraId="114347D4">
            <w:pPr>
              <w:keepNext w:val="0"/>
              <w:keepLines w:val="0"/>
              <w:suppressLineNumbers w:val="0"/>
              <w:spacing w:before="0" w:beforeAutospacing="0" w:after="0" w:afterAutospacing="0"/>
              <w:ind w:left="0" w:right="0"/>
              <w:rPr>
                <w:rFonts w:hint="eastAsia" w:ascii="仿宋" w:hAnsi="仿宋" w:eastAsia="仿宋" w:cs="仿宋"/>
                <w:highlight w:val="none"/>
              </w:rPr>
            </w:pPr>
            <w:r>
              <w:rPr>
                <w:rFonts w:hint="eastAsia" w:ascii="仿宋" w:hAnsi="仿宋" w:eastAsia="仿宋" w:cs="仿宋"/>
                <w:szCs w:val="21"/>
                <w:highlight w:val="none"/>
              </w:rPr>
              <w:t>中标供应商放弃中标资格的</w:t>
            </w:r>
            <w:r>
              <w:rPr>
                <w:rFonts w:hint="eastAsia" w:ascii="仿宋" w:hAnsi="仿宋" w:eastAsia="仿宋" w:cs="仿宋"/>
                <w:szCs w:val="21"/>
                <w:highlight w:val="none"/>
                <w:lang w:eastAsia="zh-CN"/>
              </w:rPr>
              <w:t>或</w:t>
            </w:r>
            <w:r>
              <w:rPr>
                <w:rFonts w:hint="eastAsia" w:ascii="仿宋" w:hAnsi="仿宋" w:eastAsia="仿宋" w:cs="仿宋"/>
                <w:szCs w:val="21"/>
                <w:highlight w:val="none"/>
              </w:rPr>
              <w:t>中标资格被依法确认无效的</w:t>
            </w:r>
            <w:r>
              <w:rPr>
                <w:rFonts w:hint="eastAsia" w:ascii="仿宋" w:hAnsi="仿宋" w:eastAsia="仿宋" w:cs="仿宋"/>
                <w:szCs w:val="21"/>
                <w:highlight w:val="none"/>
                <w:lang w:eastAsia="zh-CN"/>
              </w:rPr>
              <w:t>，</w:t>
            </w:r>
            <w:r>
              <w:rPr>
                <w:rFonts w:hint="eastAsia" w:ascii="仿宋" w:hAnsi="仿宋" w:eastAsia="仿宋" w:cs="仿宋"/>
                <w:szCs w:val="21"/>
                <w:highlight w:val="none"/>
              </w:rPr>
              <w:t>因情况紧急，重新组织采购不能</w:t>
            </w:r>
            <w:r>
              <w:rPr>
                <w:rFonts w:hint="eastAsia" w:ascii="仿宋" w:hAnsi="仿宋" w:eastAsia="仿宋" w:cs="仿宋"/>
                <w:highlight w:val="none"/>
              </w:rPr>
              <w:t>满足采购人要求</w:t>
            </w:r>
            <w:r>
              <w:rPr>
                <w:rFonts w:hint="eastAsia" w:ascii="仿宋" w:hAnsi="仿宋" w:eastAsia="仿宋" w:cs="仿宋"/>
                <w:highlight w:val="none"/>
                <w:lang w:eastAsia="zh-CN"/>
              </w:rPr>
              <w:t>时</w:t>
            </w:r>
            <w:r>
              <w:rPr>
                <w:rFonts w:hint="eastAsia" w:ascii="仿宋" w:hAnsi="仿宋" w:eastAsia="仿宋" w:cs="仿宋"/>
                <w:highlight w:val="none"/>
              </w:rPr>
              <w:t>，可</w:t>
            </w:r>
            <w:r>
              <w:rPr>
                <w:rFonts w:hint="eastAsia" w:ascii="仿宋" w:hAnsi="仿宋" w:eastAsia="仿宋" w:cs="仿宋"/>
                <w:highlight w:val="none"/>
                <w:lang w:eastAsia="zh-CN"/>
              </w:rPr>
              <w:t>依法</w:t>
            </w:r>
            <w:r>
              <w:rPr>
                <w:rFonts w:hint="eastAsia" w:ascii="仿宋" w:hAnsi="仿宋" w:eastAsia="仿宋" w:cs="仿宋"/>
                <w:highlight w:val="none"/>
              </w:rPr>
              <w:t>从其他候选中标供应商中确定替补中标供应商</w:t>
            </w:r>
            <w:r>
              <w:rPr>
                <w:rFonts w:hint="eastAsia" w:ascii="仿宋" w:hAnsi="仿宋" w:eastAsia="仿宋" w:cs="仿宋"/>
                <w:highlight w:val="none"/>
                <w:lang w:eastAsia="zh-CN"/>
              </w:rPr>
              <w:t>。</w:t>
            </w:r>
          </w:p>
        </w:tc>
      </w:tr>
      <w:tr w14:paraId="215EA6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479" w:type="dxa"/>
            <w:gridSpan w:val="4"/>
            <w:noWrap w:val="0"/>
            <w:vAlign w:val="center"/>
          </w:tcPr>
          <w:p w14:paraId="51807EAD">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注：如“第一册 通用条款”与“第二册第三章 招标项目需求”的内容不一致的，以第二册第三章所述内容为准。</w:t>
            </w:r>
          </w:p>
        </w:tc>
      </w:tr>
    </w:tbl>
    <w:p w14:paraId="1195BF01">
      <w:pPr>
        <w:pStyle w:val="4"/>
        <w:jc w:val="center"/>
        <w:rPr>
          <w:rFonts w:hint="eastAsia" w:ascii="仿宋" w:hAnsi="仿宋" w:eastAsia="仿宋" w:cs="仿宋"/>
          <w:b/>
          <w:bCs/>
          <w:sz w:val="28"/>
          <w:szCs w:val="28"/>
          <w:highlight w:val="none"/>
        </w:rPr>
      </w:pPr>
      <w:bookmarkStart w:id="222" w:name="bt总则"/>
      <w:bookmarkEnd w:id="222"/>
      <w:bookmarkStart w:id="223" w:name="_Toc1349"/>
      <w:r>
        <w:rPr>
          <w:rFonts w:hint="eastAsia" w:ascii="仿宋" w:hAnsi="仿宋" w:eastAsia="仿宋" w:cs="仿宋"/>
          <w:b/>
          <w:bCs/>
          <w:sz w:val="28"/>
          <w:szCs w:val="28"/>
          <w:highlight w:val="none"/>
        </w:rPr>
        <w:t>表二、投标文件初审表</w:t>
      </w:r>
      <w:bookmarkEnd w:id="223"/>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7543"/>
      </w:tblGrid>
      <w:tr w14:paraId="56A5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center"/>
          </w:tcPr>
          <w:p w14:paraId="22C3A1DD">
            <w:pPr>
              <w:keepNext w:val="0"/>
              <w:keepLines w:val="0"/>
              <w:suppressLineNumbers w:val="0"/>
              <w:spacing w:before="0" w:beforeAutospacing="0" w:after="0" w:afterAutospacing="0"/>
              <w:ind w:left="0" w:right="0"/>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资格性检查表</w:t>
            </w:r>
          </w:p>
        </w:tc>
      </w:tr>
      <w:tr w14:paraId="13E1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noWrap w:val="0"/>
            <w:vAlign w:val="center"/>
          </w:tcPr>
          <w:p w14:paraId="6CA9FCEF">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7543" w:type="dxa"/>
            <w:tcBorders>
              <w:top w:val="single" w:color="auto" w:sz="4" w:space="0"/>
              <w:left w:val="single" w:color="auto" w:sz="4" w:space="0"/>
              <w:bottom w:val="single" w:color="auto" w:sz="4" w:space="0"/>
              <w:right w:val="single" w:color="auto" w:sz="4" w:space="0"/>
            </w:tcBorders>
            <w:noWrap w:val="0"/>
            <w:vAlign w:val="center"/>
          </w:tcPr>
          <w:p w14:paraId="3BF85517">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检查内容</w:t>
            </w:r>
          </w:p>
        </w:tc>
      </w:tr>
      <w:tr w14:paraId="00B3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noWrap w:val="0"/>
            <w:vAlign w:val="center"/>
          </w:tcPr>
          <w:p w14:paraId="6C6153AD">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7543" w:type="dxa"/>
            <w:tcBorders>
              <w:top w:val="single" w:color="auto" w:sz="4" w:space="0"/>
              <w:left w:val="single" w:color="auto" w:sz="4" w:space="0"/>
              <w:bottom w:val="single" w:color="auto" w:sz="4" w:space="0"/>
              <w:right w:val="single" w:color="auto" w:sz="4" w:space="0"/>
            </w:tcBorders>
            <w:noWrap w:val="0"/>
            <w:vAlign w:val="center"/>
          </w:tcPr>
          <w:p w14:paraId="589E3181">
            <w:pPr>
              <w:keepNext w:val="0"/>
              <w:keepLines w:val="0"/>
              <w:suppressLineNumbers w:val="0"/>
              <w:spacing w:before="0" w:beforeAutospacing="0" w:after="0" w:afterAutospacing="0"/>
              <w:ind w:left="0" w:right="0"/>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投标人不具备招标资质要求，或未提交相应资格证明材料(详见招标公告投标人资质要求，其中未列示的资质要求不得导致投标无效)</w:t>
            </w:r>
          </w:p>
        </w:tc>
      </w:tr>
      <w:tr w14:paraId="0705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noWrap w:val="0"/>
            <w:vAlign w:val="center"/>
          </w:tcPr>
          <w:p w14:paraId="01C06379">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7543" w:type="dxa"/>
            <w:tcBorders>
              <w:top w:val="single" w:color="auto" w:sz="4" w:space="0"/>
              <w:left w:val="single" w:color="auto" w:sz="4" w:space="0"/>
              <w:bottom w:val="single" w:color="auto" w:sz="4" w:space="0"/>
              <w:right w:val="single" w:color="auto" w:sz="4" w:space="0"/>
            </w:tcBorders>
            <w:noWrap w:val="0"/>
            <w:vAlign w:val="center"/>
          </w:tcPr>
          <w:p w14:paraId="2541D4F1">
            <w:pPr>
              <w:keepNext w:val="0"/>
              <w:keepLines w:val="0"/>
              <w:suppressLineNumbers w:val="0"/>
              <w:spacing w:before="0" w:beforeAutospacing="0" w:after="0" w:afterAutospacing="0"/>
              <w:ind w:left="0" w:right="0"/>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投标人未按招标公告要求完成投标报名的</w:t>
            </w:r>
          </w:p>
        </w:tc>
      </w:tr>
      <w:tr w14:paraId="6D1F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center"/>
          </w:tcPr>
          <w:p w14:paraId="0348F275">
            <w:pPr>
              <w:keepNext w:val="0"/>
              <w:keepLines w:val="0"/>
              <w:suppressLineNumbers w:val="0"/>
              <w:spacing w:before="0" w:beforeAutospacing="0" w:after="0" w:afterAutospacing="0"/>
              <w:ind w:left="0" w:right="0"/>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符合性检查表</w:t>
            </w:r>
          </w:p>
        </w:tc>
      </w:tr>
      <w:tr w14:paraId="557B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noWrap w:val="0"/>
            <w:vAlign w:val="center"/>
          </w:tcPr>
          <w:p w14:paraId="0AE2F11A">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7543" w:type="dxa"/>
            <w:tcBorders>
              <w:top w:val="single" w:color="auto" w:sz="4" w:space="0"/>
              <w:left w:val="single" w:color="auto" w:sz="4" w:space="0"/>
              <w:bottom w:val="single" w:color="auto" w:sz="4" w:space="0"/>
              <w:right w:val="single" w:color="auto" w:sz="4" w:space="0"/>
            </w:tcBorders>
            <w:noWrap w:val="0"/>
            <w:vAlign w:val="center"/>
          </w:tcPr>
          <w:p w14:paraId="076F0250">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检查内容</w:t>
            </w:r>
          </w:p>
        </w:tc>
      </w:tr>
      <w:tr w14:paraId="4D88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noWrap w:val="0"/>
            <w:vAlign w:val="center"/>
          </w:tcPr>
          <w:p w14:paraId="491ABCD3">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7543" w:type="dxa"/>
            <w:tcBorders>
              <w:top w:val="single" w:color="auto" w:sz="4" w:space="0"/>
              <w:left w:val="single" w:color="auto" w:sz="4" w:space="0"/>
              <w:bottom w:val="single" w:color="auto" w:sz="4" w:space="0"/>
              <w:right w:val="single" w:color="auto" w:sz="4" w:space="0"/>
            </w:tcBorders>
            <w:noWrap w:val="0"/>
            <w:vAlign w:val="center"/>
          </w:tcPr>
          <w:p w14:paraId="404B12AF">
            <w:pPr>
              <w:keepNext w:val="0"/>
              <w:keepLines w:val="0"/>
              <w:suppressLineNumbers w:val="0"/>
              <w:spacing w:before="0" w:beforeAutospacing="0" w:after="0" w:afterAutospacing="0"/>
              <w:ind w:left="0" w:right="0"/>
              <w:rPr>
                <w:rFonts w:hint="eastAsia" w:ascii="仿宋" w:hAnsi="仿宋" w:eastAsia="仿宋" w:cs="仿宋"/>
                <w:sz w:val="32"/>
                <w:szCs w:val="32"/>
                <w:highlight w:val="none"/>
              </w:rPr>
            </w:pPr>
            <w:r>
              <w:rPr>
                <w:rFonts w:hint="eastAsia" w:ascii="仿宋" w:hAnsi="仿宋" w:eastAsia="仿宋" w:cs="仿宋"/>
                <w:sz w:val="24"/>
                <w:szCs w:val="32"/>
                <w:highlight w:val="none"/>
              </w:rPr>
              <w:t>将一个包中的内容拆开投标</w:t>
            </w:r>
          </w:p>
        </w:tc>
      </w:tr>
      <w:tr w14:paraId="247E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noWrap w:val="0"/>
            <w:vAlign w:val="center"/>
          </w:tcPr>
          <w:p w14:paraId="025F999E">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7543" w:type="dxa"/>
            <w:tcBorders>
              <w:top w:val="single" w:color="auto" w:sz="4" w:space="0"/>
              <w:left w:val="single" w:color="auto" w:sz="4" w:space="0"/>
              <w:bottom w:val="single" w:color="auto" w:sz="4" w:space="0"/>
              <w:right w:val="single" w:color="auto" w:sz="4" w:space="0"/>
            </w:tcBorders>
            <w:noWrap w:val="0"/>
            <w:vAlign w:val="center"/>
          </w:tcPr>
          <w:p w14:paraId="78DF9EE1">
            <w:pPr>
              <w:keepNext w:val="0"/>
              <w:keepLines w:val="0"/>
              <w:suppressLineNumbers w:val="0"/>
              <w:spacing w:before="0" w:beforeAutospacing="0" w:after="0" w:afterAutospacing="0"/>
              <w:ind w:left="0" w:right="0"/>
              <w:rPr>
                <w:rFonts w:hint="eastAsia" w:ascii="仿宋" w:hAnsi="仿宋" w:eastAsia="仿宋" w:cs="仿宋"/>
                <w:sz w:val="32"/>
                <w:szCs w:val="32"/>
                <w:highlight w:val="none"/>
              </w:rPr>
            </w:pPr>
            <w:r>
              <w:rPr>
                <w:rFonts w:hint="eastAsia" w:ascii="仿宋" w:hAnsi="仿宋" w:eastAsia="仿宋" w:cs="仿宋"/>
                <w:sz w:val="24"/>
                <w:szCs w:val="32"/>
                <w:highlight w:val="none"/>
              </w:rPr>
              <w:t>投标文件及开标一览表未按规定密封、签字、盖章</w:t>
            </w:r>
          </w:p>
        </w:tc>
      </w:tr>
      <w:tr w14:paraId="1490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noWrap w:val="0"/>
            <w:vAlign w:val="center"/>
          </w:tcPr>
          <w:p w14:paraId="3DB0A6E0">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7543" w:type="dxa"/>
            <w:tcBorders>
              <w:top w:val="single" w:color="auto" w:sz="4" w:space="0"/>
              <w:left w:val="single" w:color="auto" w:sz="4" w:space="0"/>
              <w:bottom w:val="single" w:color="auto" w:sz="4" w:space="0"/>
              <w:right w:val="single" w:color="auto" w:sz="4" w:space="0"/>
            </w:tcBorders>
            <w:noWrap w:val="0"/>
            <w:vAlign w:val="center"/>
          </w:tcPr>
          <w:p w14:paraId="189B3029">
            <w:pPr>
              <w:keepNext w:val="0"/>
              <w:keepLines w:val="0"/>
              <w:suppressLineNumbers w:val="0"/>
              <w:spacing w:before="0" w:beforeAutospacing="0" w:after="0" w:afterAutospacing="0"/>
              <w:ind w:left="0" w:right="0"/>
              <w:rPr>
                <w:rFonts w:hint="eastAsia" w:ascii="仿宋" w:hAnsi="仿宋" w:eastAsia="仿宋" w:cs="仿宋"/>
                <w:sz w:val="32"/>
                <w:szCs w:val="32"/>
                <w:highlight w:val="none"/>
              </w:rPr>
            </w:pPr>
            <w:r>
              <w:rPr>
                <w:rFonts w:hint="eastAsia" w:ascii="仿宋" w:hAnsi="仿宋" w:eastAsia="仿宋" w:cs="仿宋"/>
                <w:sz w:val="24"/>
                <w:szCs w:val="32"/>
                <w:highlight w:val="none"/>
              </w:rPr>
              <w:t>招标文件未规定允许有替代方案时，对同一项目投标时，同时提供两套或两套以上的投标方案</w:t>
            </w:r>
          </w:p>
        </w:tc>
      </w:tr>
      <w:tr w14:paraId="74D1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noWrap w:val="0"/>
            <w:vAlign w:val="center"/>
          </w:tcPr>
          <w:p w14:paraId="16DFE586">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7543" w:type="dxa"/>
            <w:tcBorders>
              <w:top w:val="single" w:color="auto" w:sz="4" w:space="0"/>
              <w:left w:val="single" w:color="auto" w:sz="4" w:space="0"/>
              <w:bottom w:val="single" w:color="auto" w:sz="4" w:space="0"/>
              <w:right w:val="single" w:color="auto" w:sz="4" w:space="0"/>
            </w:tcBorders>
            <w:noWrap w:val="0"/>
            <w:vAlign w:val="center"/>
          </w:tcPr>
          <w:p w14:paraId="69273510">
            <w:pPr>
              <w:keepNext w:val="0"/>
              <w:keepLines w:val="0"/>
              <w:suppressLineNumbers w:val="0"/>
              <w:spacing w:before="0" w:beforeAutospacing="0" w:after="0" w:afterAutospacing="0"/>
              <w:ind w:left="0" w:right="0"/>
              <w:rPr>
                <w:rFonts w:hint="eastAsia" w:ascii="仿宋" w:hAnsi="仿宋" w:eastAsia="仿宋" w:cs="仿宋"/>
                <w:sz w:val="32"/>
                <w:szCs w:val="32"/>
                <w:highlight w:val="none"/>
                <w:lang w:val="en-US" w:eastAsia="zh-CN"/>
              </w:rPr>
            </w:pPr>
            <w:r>
              <w:rPr>
                <w:rFonts w:hint="eastAsia" w:ascii="仿宋" w:hAnsi="仿宋" w:eastAsia="仿宋" w:cs="仿宋"/>
                <w:sz w:val="24"/>
                <w:highlight w:val="none"/>
                <w:lang w:eastAsia="zh-CN"/>
              </w:rPr>
              <w:t>填报的“折扣率”不满足"0＜折扣率≤1"公式要求的；“折扣率”缺填、漏填或填报了两个或以上“折扣率”</w:t>
            </w:r>
          </w:p>
        </w:tc>
      </w:tr>
      <w:tr w14:paraId="55340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noWrap w:val="0"/>
            <w:vAlign w:val="center"/>
          </w:tcPr>
          <w:p w14:paraId="31BD5EA1">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7543" w:type="dxa"/>
            <w:tcBorders>
              <w:top w:val="single" w:color="auto" w:sz="4" w:space="0"/>
              <w:left w:val="single" w:color="auto" w:sz="4" w:space="0"/>
              <w:bottom w:val="single" w:color="auto" w:sz="4" w:space="0"/>
              <w:right w:val="single" w:color="auto" w:sz="4" w:space="0"/>
            </w:tcBorders>
            <w:noWrap w:val="0"/>
            <w:vAlign w:val="center"/>
          </w:tcPr>
          <w:p w14:paraId="3BF7E288">
            <w:pPr>
              <w:keepNext w:val="0"/>
              <w:keepLines w:val="0"/>
              <w:suppressLineNumbers w:val="0"/>
              <w:spacing w:before="0" w:beforeAutospacing="0" w:after="0" w:afterAutospacing="0"/>
              <w:ind w:left="0" w:right="0"/>
              <w:rPr>
                <w:rFonts w:hint="eastAsia" w:ascii="仿宋" w:hAnsi="仿宋" w:eastAsia="仿宋" w:cs="仿宋"/>
                <w:sz w:val="32"/>
                <w:szCs w:val="32"/>
                <w:highlight w:val="none"/>
              </w:rPr>
            </w:pPr>
            <w:r>
              <w:rPr>
                <w:rFonts w:hint="eastAsia" w:ascii="仿宋" w:hAnsi="仿宋" w:eastAsia="仿宋" w:cs="仿宋"/>
                <w:sz w:val="24"/>
                <w:szCs w:val="32"/>
                <w:highlight w:val="none"/>
              </w:rPr>
              <w:t>同一项目出现两个及以上报价，按规定又无法确定哪个是有效报价</w:t>
            </w:r>
          </w:p>
        </w:tc>
      </w:tr>
      <w:tr w14:paraId="7D36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noWrap w:val="0"/>
            <w:vAlign w:val="center"/>
          </w:tcPr>
          <w:p w14:paraId="127E8D77">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6</w:t>
            </w:r>
          </w:p>
        </w:tc>
        <w:tc>
          <w:tcPr>
            <w:tcW w:w="7543" w:type="dxa"/>
            <w:tcBorders>
              <w:top w:val="single" w:color="auto" w:sz="4" w:space="0"/>
              <w:left w:val="single" w:color="auto" w:sz="4" w:space="0"/>
              <w:bottom w:val="single" w:color="auto" w:sz="4" w:space="0"/>
              <w:right w:val="single" w:color="auto" w:sz="4" w:space="0"/>
            </w:tcBorders>
            <w:noWrap w:val="0"/>
            <w:vAlign w:val="center"/>
          </w:tcPr>
          <w:p w14:paraId="7BF96F1B">
            <w:pPr>
              <w:keepNext w:val="0"/>
              <w:keepLines w:val="0"/>
              <w:suppressLineNumbers w:val="0"/>
              <w:spacing w:before="0" w:beforeAutospacing="0" w:after="0" w:afterAutospacing="0"/>
              <w:ind w:left="0" w:right="0"/>
              <w:rPr>
                <w:rFonts w:hint="eastAsia" w:ascii="仿宋" w:hAnsi="仿宋" w:eastAsia="仿宋" w:cs="仿宋"/>
                <w:sz w:val="32"/>
                <w:szCs w:val="32"/>
                <w:highlight w:val="none"/>
              </w:rPr>
            </w:pPr>
            <w:r>
              <w:rPr>
                <w:rFonts w:hint="eastAsia" w:ascii="仿宋" w:hAnsi="仿宋" w:eastAsia="仿宋" w:cs="仿宋"/>
                <w:sz w:val="24"/>
                <w:highlight w:val="none"/>
              </w:rPr>
              <w:t>评审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r>
              <w:rPr>
                <w:rFonts w:hint="eastAsia" w:ascii="仿宋" w:hAnsi="仿宋" w:eastAsia="仿宋" w:cs="仿宋"/>
                <w:color w:val="FF0000"/>
                <w:sz w:val="24"/>
                <w:highlight w:val="none"/>
              </w:rPr>
              <w:t>，投标文件的轻微瑕疵、非关键内容不得作为认定投标无效的依据</w:t>
            </w:r>
            <w:r>
              <w:rPr>
                <w:rFonts w:hint="eastAsia" w:ascii="仿宋" w:hAnsi="仿宋" w:eastAsia="仿宋" w:cs="仿宋"/>
                <w:sz w:val="24"/>
                <w:highlight w:val="none"/>
              </w:rPr>
              <w:t>）</w:t>
            </w:r>
          </w:p>
        </w:tc>
      </w:tr>
      <w:tr w14:paraId="233F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noWrap w:val="0"/>
            <w:vAlign w:val="center"/>
          </w:tcPr>
          <w:p w14:paraId="508B5CD1">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7</w:t>
            </w:r>
          </w:p>
        </w:tc>
        <w:tc>
          <w:tcPr>
            <w:tcW w:w="7543" w:type="dxa"/>
            <w:tcBorders>
              <w:top w:val="single" w:color="auto" w:sz="4" w:space="0"/>
              <w:left w:val="single" w:color="auto" w:sz="4" w:space="0"/>
              <w:bottom w:val="single" w:color="auto" w:sz="4" w:space="0"/>
              <w:right w:val="single" w:color="auto" w:sz="4" w:space="0"/>
            </w:tcBorders>
            <w:noWrap w:val="0"/>
            <w:vAlign w:val="center"/>
          </w:tcPr>
          <w:p w14:paraId="14D9E81B">
            <w:pPr>
              <w:keepNext w:val="0"/>
              <w:keepLines w:val="0"/>
              <w:suppressLineNumbers w:val="0"/>
              <w:spacing w:before="0" w:beforeAutospacing="0" w:after="0" w:afterAutospacing="0"/>
              <w:ind w:left="0" w:right="0"/>
              <w:rPr>
                <w:rFonts w:hint="eastAsia" w:ascii="仿宋" w:hAnsi="仿宋" w:eastAsia="仿宋" w:cs="仿宋"/>
                <w:sz w:val="32"/>
                <w:szCs w:val="32"/>
                <w:highlight w:val="none"/>
              </w:rPr>
            </w:pPr>
            <w:r>
              <w:rPr>
                <w:rFonts w:hint="eastAsia" w:ascii="仿宋" w:hAnsi="仿宋" w:eastAsia="仿宋" w:cs="仿宋"/>
                <w:sz w:val="24"/>
                <w:highlight w:val="none"/>
              </w:rPr>
              <w:t>所投货物、服务在技术、商务等方面没有实质性满足招标文件要求的（是否实质性满足招标文件要求，由评审委员会根据《实质性条款响应情况表》做出评判）</w:t>
            </w:r>
          </w:p>
        </w:tc>
      </w:tr>
      <w:tr w14:paraId="0DB2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9" w:type="dxa"/>
            <w:tcBorders>
              <w:top w:val="single" w:color="auto" w:sz="4" w:space="0"/>
              <w:left w:val="single" w:color="auto" w:sz="4" w:space="0"/>
              <w:bottom w:val="single" w:color="auto" w:sz="4" w:space="0"/>
              <w:right w:val="single" w:color="auto" w:sz="4" w:space="0"/>
            </w:tcBorders>
            <w:noWrap w:val="0"/>
            <w:vAlign w:val="center"/>
          </w:tcPr>
          <w:p w14:paraId="3A0D9F46">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8</w:t>
            </w:r>
          </w:p>
        </w:tc>
        <w:tc>
          <w:tcPr>
            <w:tcW w:w="7543" w:type="dxa"/>
            <w:tcBorders>
              <w:top w:val="single" w:color="auto" w:sz="4" w:space="0"/>
              <w:left w:val="single" w:color="auto" w:sz="4" w:space="0"/>
              <w:bottom w:val="single" w:color="auto" w:sz="4" w:space="0"/>
              <w:right w:val="single" w:color="auto" w:sz="4" w:space="0"/>
            </w:tcBorders>
            <w:noWrap w:val="0"/>
            <w:vAlign w:val="center"/>
          </w:tcPr>
          <w:p w14:paraId="280F0C36">
            <w:pPr>
              <w:keepNext w:val="0"/>
              <w:keepLines w:val="0"/>
              <w:suppressLineNumbers w:val="0"/>
              <w:spacing w:before="0" w:beforeAutospacing="0" w:after="0" w:afterAutospacing="0"/>
              <w:ind w:left="0" w:right="0"/>
              <w:rPr>
                <w:rFonts w:hint="eastAsia" w:ascii="仿宋" w:hAnsi="仿宋" w:eastAsia="仿宋" w:cs="仿宋"/>
                <w:sz w:val="32"/>
                <w:szCs w:val="32"/>
                <w:highlight w:val="none"/>
              </w:rPr>
            </w:pPr>
            <w:r>
              <w:rPr>
                <w:rFonts w:hint="eastAsia" w:ascii="仿宋" w:hAnsi="仿宋" w:eastAsia="仿宋" w:cs="仿宋"/>
                <w:sz w:val="24"/>
                <w:szCs w:val="24"/>
                <w:highlight w:val="none"/>
              </w:rPr>
              <w:t>未按招标文件附件所提供的样式和要求完整填写</w:t>
            </w:r>
            <w:r>
              <w:rPr>
                <w:rFonts w:hint="eastAsia" w:ascii="仿宋" w:hAnsi="仿宋" w:eastAsia="仿宋" w:cs="仿宋"/>
                <w:sz w:val="24"/>
                <w:szCs w:val="24"/>
                <w:highlight w:val="none"/>
                <w:lang w:eastAsia="zh-CN"/>
              </w:rPr>
              <w:t>“投标函及承诺函”，</w:t>
            </w:r>
            <w:r>
              <w:rPr>
                <w:rFonts w:hint="eastAsia" w:ascii="仿宋" w:hAnsi="仿宋" w:eastAsia="仿宋" w:cs="仿宋"/>
                <w:sz w:val="24"/>
                <w:szCs w:val="24"/>
                <w:highlight w:val="none"/>
              </w:rPr>
              <w:t>或投标文件组成部分不符合通用条款第18.1款规定的</w:t>
            </w:r>
          </w:p>
        </w:tc>
      </w:tr>
      <w:tr w14:paraId="38D1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noWrap w:val="0"/>
            <w:vAlign w:val="center"/>
          </w:tcPr>
          <w:p w14:paraId="272B7797">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9</w:t>
            </w:r>
          </w:p>
        </w:tc>
        <w:tc>
          <w:tcPr>
            <w:tcW w:w="7543" w:type="dxa"/>
            <w:tcBorders>
              <w:top w:val="single" w:color="auto" w:sz="4" w:space="0"/>
              <w:left w:val="single" w:color="auto" w:sz="4" w:space="0"/>
              <w:bottom w:val="single" w:color="auto" w:sz="4" w:space="0"/>
              <w:right w:val="single" w:color="auto" w:sz="4" w:space="0"/>
            </w:tcBorders>
            <w:noWrap w:val="0"/>
            <w:vAlign w:val="center"/>
          </w:tcPr>
          <w:p w14:paraId="7E1576AF">
            <w:pPr>
              <w:keepNext w:val="0"/>
              <w:keepLines w:val="0"/>
              <w:suppressLineNumbers w:val="0"/>
              <w:spacing w:before="0" w:beforeAutospacing="0" w:after="0" w:afterAutospacing="0"/>
              <w:ind w:left="0" w:right="0"/>
              <w:rPr>
                <w:rFonts w:hint="eastAsia" w:ascii="仿宋" w:hAnsi="仿宋" w:eastAsia="仿宋" w:cs="仿宋"/>
                <w:sz w:val="32"/>
                <w:szCs w:val="32"/>
                <w:highlight w:val="none"/>
              </w:rPr>
            </w:pPr>
            <w:r>
              <w:rPr>
                <w:rFonts w:hint="eastAsia" w:ascii="仿宋" w:hAnsi="仿宋" w:eastAsia="仿宋" w:cs="仿宋"/>
                <w:sz w:val="24"/>
                <w:highlight w:val="none"/>
              </w:rPr>
              <w:t>投标文件对采购标的响应不全（响应不全情形包括：投标报价有缺漏项，对招标文件规定的项目需求内容或者需求数量进行修改），由评审委员会根据《分项报价</w:t>
            </w:r>
            <w:r>
              <w:rPr>
                <w:rFonts w:hint="eastAsia" w:ascii="仿宋" w:hAnsi="仿宋" w:eastAsia="仿宋" w:cs="仿宋"/>
                <w:sz w:val="24"/>
                <w:highlight w:val="none"/>
                <w:lang w:eastAsia="zh-CN"/>
              </w:rPr>
              <w:t>清单表</w:t>
            </w:r>
            <w:r>
              <w:rPr>
                <w:rFonts w:hint="eastAsia" w:ascii="仿宋" w:hAnsi="仿宋" w:eastAsia="仿宋" w:cs="仿宋"/>
                <w:sz w:val="24"/>
                <w:highlight w:val="none"/>
              </w:rPr>
              <w:t>》做出评判）</w:t>
            </w:r>
          </w:p>
        </w:tc>
      </w:tr>
      <w:tr w14:paraId="4FEC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79" w:type="dxa"/>
            <w:tcBorders>
              <w:top w:val="single" w:color="auto" w:sz="4" w:space="0"/>
              <w:left w:val="single" w:color="auto" w:sz="4" w:space="0"/>
              <w:bottom w:val="single" w:color="auto" w:sz="4" w:space="0"/>
              <w:right w:val="single" w:color="auto" w:sz="4" w:space="0"/>
            </w:tcBorders>
            <w:noWrap w:val="0"/>
            <w:vAlign w:val="center"/>
          </w:tcPr>
          <w:p w14:paraId="70DB1654">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10</w:t>
            </w:r>
          </w:p>
        </w:tc>
        <w:tc>
          <w:tcPr>
            <w:tcW w:w="7543" w:type="dxa"/>
            <w:tcBorders>
              <w:top w:val="single" w:color="auto" w:sz="4" w:space="0"/>
              <w:left w:val="single" w:color="auto" w:sz="4" w:space="0"/>
              <w:bottom w:val="single" w:color="auto" w:sz="4" w:space="0"/>
              <w:right w:val="single" w:color="auto" w:sz="4" w:space="0"/>
            </w:tcBorders>
            <w:noWrap w:val="0"/>
            <w:vAlign w:val="center"/>
          </w:tcPr>
          <w:p w14:paraId="3791373B">
            <w:pPr>
              <w:keepNext w:val="0"/>
              <w:keepLines w:val="0"/>
              <w:suppressLineNumbers w:val="0"/>
              <w:spacing w:before="0" w:beforeAutospacing="0" w:after="0" w:afterAutospacing="0"/>
              <w:ind w:left="0" w:right="0"/>
              <w:rPr>
                <w:rFonts w:hint="eastAsia" w:ascii="仿宋" w:hAnsi="仿宋" w:eastAsia="仿宋" w:cs="仿宋"/>
                <w:sz w:val="24"/>
                <w:szCs w:val="32"/>
                <w:highlight w:val="none"/>
                <w:lang w:eastAsia="zh-CN"/>
              </w:rPr>
            </w:pPr>
            <w:r>
              <w:rPr>
                <w:rFonts w:hint="eastAsia" w:ascii="仿宋" w:hAnsi="仿宋" w:eastAsia="仿宋" w:cs="仿宋"/>
                <w:sz w:val="24"/>
                <w:szCs w:val="32"/>
                <w:highlight w:val="none"/>
                <w:lang w:eastAsia="zh-CN"/>
              </w:rPr>
              <w:t>法律法规规定的其他情形</w:t>
            </w:r>
          </w:p>
        </w:tc>
      </w:tr>
    </w:tbl>
    <w:p w14:paraId="1DF4F4E3">
      <w:pPr>
        <w:rPr>
          <w:rFonts w:hint="eastAsia" w:ascii="仿宋" w:hAnsi="仿宋" w:eastAsia="仿宋" w:cs="仿宋"/>
          <w:b/>
          <w:bCs/>
          <w:color w:val="000000"/>
          <w:kern w:val="0"/>
          <w:sz w:val="28"/>
          <w:szCs w:val="28"/>
          <w:highlight w:val="none"/>
        </w:rPr>
      </w:pPr>
      <w:bookmarkStart w:id="224" w:name="_Toc1467"/>
      <w:bookmarkStart w:id="225" w:name="_Toc4633"/>
      <w:bookmarkStart w:id="226" w:name="_Toc5700"/>
      <w:bookmarkStart w:id="227" w:name="_Toc26140"/>
      <w:r>
        <w:rPr>
          <w:rFonts w:hint="eastAsia" w:ascii="仿宋" w:hAnsi="仿宋" w:eastAsia="仿宋" w:cs="仿宋"/>
          <w:b/>
          <w:bCs/>
          <w:color w:val="000000"/>
          <w:kern w:val="0"/>
          <w:sz w:val="28"/>
          <w:szCs w:val="28"/>
          <w:highlight w:val="none"/>
        </w:rPr>
        <w:br w:type="page"/>
      </w:r>
    </w:p>
    <w:p w14:paraId="7C6F0348">
      <w:pPr>
        <w:jc w:val="center"/>
        <w:outlineLvl w:val="2"/>
        <w:rPr>
          <w:rFonts w:hint="eastAsia" w:ascii="仿宋" w:hAnsi="仿宋" w:eastAsia="仿宋" w:cs="仿宋"/>
          <w:highlight w:val="none"/>
        </w:rPr>
      </w:pPr>
      <w:bookmarkStart w:id="228" w:name="_Toc2417"/>
      <w:r>
        <w:rPr>
          <w:rFonts w:hint="eastAsia" w:ascii="仿宋" w:hAnsi="仿宋" w:eastAsia="仿宋" w:cs="仿宋"/>
          <w:b/>
          <w:bCs/>
          <w:color w:val="000000"/>
          <w:kern w:val="0"/>
          <w:sz w:val="28"/>
          <w:szCs w:val="28"/>
          <w:highlight w:val="none"/>
        </w:rPr>
        <w:t>实质性响应条款</w:t>
      </w:r>
      <w:bookmarkEnd w:id="224"/>
      <w:bookmarkEnd w:id="225"/>
      <w:bookmarkEnd w:id="226"/>
      <w:bookmarkEnd w:id="227"/>
      <w:bookmarkEnd w:id="228"/>
    </w:p>
    <w:tbl>
      <w:tblPr>
        <w:tblStyle w:val="43"/>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7290"/>
      </w:tblGrid>
      <w:tr w14:paraId="677E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0549EA3B">
            <w:pPr>
              <w:keepNext w:val="0"/>
              <w:keepLines w:val="0"/>
              <w:suppressLineNumbers w:val="0"/>
              <w:spacing w:before="0" w:beforeAutospacing="0" w:after="0" w:afterAutospacing="0"/>
              <w:ind w:left="0" w:right="0"/>
              <w:jc w:val="center"/>
              <w:rPr>
                <w:rFonts w:hint="eastAsia" w:ascii="仿宋" w:hAnsi="仿宋" w:eastAsia="仿宋" w:cs="仿宋"/>
                <w:sz w:val="24"/>
                <w:szCs w:val="32"/>
                <w:highlight w:val="none"/>
              </w:rPr>
            </w:pPr>
            <w:r>
              <w:rPr>
                <w:rFonts w:hint="eastAsia" w:ascii="仿宋" w:hAnsi="仿宋" w:eastAsia="仿宋" w:cs="仿宋"/>
                <w:sz w:val="24"/>
                <w:szCs w:val="32"/>
                <w:highlight w:val="none"/>
              </w:rPr>
              <w:t>序号</w:t>
            </w:r>
          </w:p>
        </w:tc>
        <w:tc>
          <w:tcPr>
            <w:tcW w:w="7290" w:type="dxa"/>
            <w:noWrap w:val="0"/>
            <w:vAlign w:val="center"/>
          </w:tcPr>
          <w:p w14:paraId="0238D6CF">
            <w:pPr>
              <w:keepNext w:val="0"/>
              <w:keepLines w:val="0"/>
              <w:suppressLineNumbers w:val="0"/>
              <w:spacing w:before="0" w:beforeAutospacing="0" w:after="0" w:afterAutospacing="0"/>
              <w:ind w:left="0" w:right="0"/>
              <w:jc w:val="center"/>
              <w:rPr>
                <w:rFonts w:hint="eastAsia" w:ascii="仿宋" w:hAnsi="仿宋" w:eastAsia="仿宋" w:cs="仿宋"/>
                <w:sz w:val="24"/>
                <w:szCs w:val="32"/>
                <w:highlight w:val="none"/>
              </w:rPr>
            </w:pPr>
            <w:r>
              <w:rPr>
                <w:rFonts w:hint="eastAsia" w:ascii="仿宋" w:hAnsi="仿宋" w:eastAsia="仿宋" w:cs="仿宋"/>
                <w:sz w:val="24"/>
                <w:szCs w:val="32"/>
                <w:highlight w:val="none"/>
              </w:rPr>
              <w:t>具体内容</w:t>
            </w:r>
          </w:p>
        </w:tc>
      </w:tr>
      <w:tr w14:paraId="11B1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712BC16F">
            <w:pPr>
              <w:keepNext w:val="0"/>
              <w:keepLines w:val="0"/>
              <w:suppressLineNumbers w:val="0"/>
              <w:spacing w:before="0" w:beforeAutospacing="0" w:after="0" w:afterAutospacing="0"/>
              <w:ind w:left="0" w:right="0"/>
              <w:jc w:val="center"/>
              <w:rPr>
                <w:rFonts w:hint="eastAsia" w:ascii="仿宋" w:hAnsi="仿宋" w:eastAsia="仿宋" w:cs="仿宋"/>
                <w:sz w:val="24"/>
                <w:szCs w:val="32"/>
                <w:highlight w:val="none"/>
              </w:rPr>
            </w:pPr>
            <w:r>
              <w:rPr>
                <w:rFonts w:hint="eastAsia" w:ascii="仿宋" w:hAnsi="仿宋" w:eastAsia="仿宋" w:cs="仿宋"/>
                <w:sz w:val="24"/>
                <w:szCs w:val="32"/>
                <w:highlight w:val="none"/>
              </w:rPr>
              <w:t>1</w:t>
            </w:r>
          </w:p>
        </w:tc>
        <w:tc>
          <w:tcPr>
            <w:tcW w:w="7290" w:type="dxa"/>
            <w:noWrap w:val="0"/>
            <w:vAlign w:val="center"/>
          </w:tcPr>
          <w:p w14:paraId="071A3AE9">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sz w:val="24"/>
                <w:szCs w:val="32"/>
                <w:highlight w:val="none"/>
                <w:lang w:eastAsia="zh-CN"/>
              </w:rPr>
            </w:pPr>
            <w:r>
              <w:rPr>
                <w:rFonts w:hint="eastAsia" w:ascii="仿宋" w:hAnsi="仿宋" w:eastAsia="仿宋" w:cs="仿宋"/>
                <w:color w:val="000000"/>
                <w:kern w:val="2"/>
                <w:sz w:val="21"/>
                <w:szCs w:val="21"/>
                <w:lang w:val="en-US" w:eastAsia="zh-CN" w:bidi="ar"/>
              </w:rPr>
              <w:t>★1.自中标人接收待修复标本之日起 30 个日历日内完成采购人指定的至少50件标本的修复， 60个日历日内完成采购人指定的至少100件标本的修复，剩余标本在120个日历日内完成修复。</w:t>
            </w:r>
          </w:p>
        </w:tc>
      </w:tr>
      <w:tr w14:paraId="5D37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5DC61190">
            <w:pPr>
              <w:keepNext w:val="0"/>
              <w:keepLines w:val="0"/>
              <w:suppressLineNumbers w:val="0"/>
              <w:spacing w:before="0" w:beforeAutospacing="0" w:after="0" w:afterAutospacing="0"/>
              <w:ind w:left="0" w:right="0"/>
              <w:jc w:val="center"/>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2</w:t>
            </w:r>
          </w:p>
        </w:tc>
        <w:tc>
          <w:tcPr>
            <w:tcW w:w="7290" w:type="dxa"/>
            <w:noWrap w:val="0"/>
            <w:vAlign w:val="center"/>
          </w:tcPr>
          <w:p w14:paraId="0756F461">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sz w:val="24"/>
                <w:szCs w:val="32"/>
                <w:highlight w:val="none"/>
                <w:lang w:eastAsia="zh-CN"/>
              </w:rPr>
            </w:pPr>
            <w:r>
              <w:rPr>
                <w:rFonts w:hint="eastAsia" w:ascii="仿宋" w:hAnsi="仿宋" w:eastAsia="仿宋" w:cs="仿宋"/>
                <w:kern w:val="2"/>
                <w:sz w:val="21"/>
                <w:szCs w:val="21"/>
                <w:lang w:val="en-US" w:eastAsia="zh-CN" w:bidi="ar"/>
              </w:rPr>
              <w:t>★1.中标人负责将修复后的标本实物运抵采购人指定的地点，并负责提供标本实物的包装，以及保证包装应适合于运输距离、防潮、防震、防腐蚀和防粗暴装卸，确保标本实物安全无损运抵交货地点。在标本实物运抵采购人并验收合格前产生的一切不利后果，包括但不限于运输毁损、被盗或遗失等突发情形，均由中标人承担，并提供应对措施，以保障采购人权益。</w:t>
            </w:r>
          </w:p>
        </w:tc>
      </w:tr>
      <w:tr w14:paraId="5733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350066B9">
            <w:pPr>
              <w:keepNext w:val="0"/>
              <w:keepLines w:val="0"/>
              <w:suppressLineNumbers w:val="0"/>
              <w:spacing w:before="0" w:beforeAutospacing="0" w:after="0" w:afterAutospacing="0"/>
              <w:ind w:left="0" w:right="0"/>
              <w:jc w:val="center"/>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3</w:t>
            </w:r>
          </w:p>
        </w:tc>
        <w:tc>
          <w:tcPr>
            <w:tcW w:w="7290" w:type="dxa"/>
            <w:noWrap w:val="0"/>
            <w:vAlign w:val="center"/>
          </w:tcPr>
          <w:p w14:paraId="5692BCB0">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sz w:val="24"/>
                <w:szCs w:val="32"/>
                <w:highlight w:val="none"/>
                <w:lang w:eastAsia="zh-CN"/>
              </w:rPr>
            </w:pPr>
            <w:r>
              <w:rPr>
                <w:rFonts w:hint="eastAsia" w:ascii="仿宋" w:hAnsi="仿宋" w:eastAsia="仿宋" w:cs="仿宋"/>
                <w:kern w:val="2"/>
                <w:sz w:val="21"/>
                <w:szCs w:val="21"/>
                <w:lang w:val="en-US" w:eastAsia="zh-CN" w:bidi="ar"/>
              </w:rPr>
              <w:t>★2.标本运费、安全保障费、装卸摆放费等因交货产生的所有费用已包含在本项目总体费用中，采购人不再另行支付其他任何费用。</w:t>
            </w:r>
          </w:p>
        </w:tc>
      </w:tr>
      <w:tr w14:paraId="5D88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0F4A4B44">
            <w:pPr>
              <w:keepNext w:val="0"/>
              <w:keepLines w:val="0"/>
              <w:suppressLineNumbers w:val="0"/>
              <w:spacing w:before="0" w:beforeAutospacing="0" w:after="0" w:afterAutospacing="0"/>
              <w:ind w:left="0" w:right="0"/>
              <w:jc w:val="center"/>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4</w:t>
            </w:r>
          </w:p>
        </w:tc>
        <w:tc>
          <w:tcPr>
            <w:tcW w:w="7290" w:type="dxa"/>
            <w:noWrap w:val="0"/>
            <w:vAlign w:val="center"/>
          </w:tcPr>
          <w:p w14:paraId="39827327">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★（六）保密要求</w:t>
            </w:r>
          </w:p>
          <w:p w14:paraId="787FE804">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sz w:val="24"/>
                <w:szCs w:val="32"/>
                <w:highlight w:val="none"/>
                <w:lang w:eastAsia="zh-CN"/>
              </w:rPr>
            </w:pPr>
            <w:r>
              <w:rPr>
                <w:rFonts w:hint="eastAsia" w:ascii="仿宋" w:hAnsi="仿宋" w:eastAsia="仿宋" w:cs="仿宋"/>
                <w:kern w:val="2"/>
                <w:sz w:val="21"/>
                <w:szCs w:val="21"/>
                <w:lang w:val="en-US" w:eastAsia="zh-CN" w:bidi="ar"/>
              </w:rPr>
              <w:t xml:space="preserve">中标人须严格遵守保密义务，不得擅自研究、翻制或泄露化石相关信息。 </w:t>
            </w:r>
          </w:p>
        </w:tc>
      </w:tr>
    </w:tbl>
    <w:p w14:paraId="46D99D62">
      <w:pPr>
        <w:rPr>
          <w:rFonts w:hint="eastAsia" w:ascii="仿宋" w:hAnsi="仿宋" w:eastAsia="仿宋" w:cs="仿宋"/>
          <w:color w:val="000000"/>
          <w:highlight w:val="none"/>
        </w:rPr>
      </w:pPr>
      <w:r>
        <w:rPr>
          <w:rFonts w:hint="eastAsia" w:ascii="仿宋" w:hAnsi="仿宋" w:eastAsia="仿宋" w:cs="仿宋"/>
          <w:color w:val="000000"/>
          <w:sz w:val="24"/>
          <w:highlight w:val="none"/>
        </w:rPr>
        <w:t>注：上表所列内容为不可负偏离的实质性条款。</w:t>
      </w:r>
    </w:p>
    <w:p w14:paraId="5749144C">
      <w:pPr>
        <w:widowControl/>
        <w:jc w:val="center"/>
        <w:rPr>
          <w:rFonts w:hint="eastAsia" w:ascii="仿宋" w:hAnsi="仿宋" w:eastAsia="仿宋" w:cs="仿宋"/>
          <w:b/>
          <w:sz w:val="30"/>
          <w:szCs w:val="30"/>
          <w:highlight w:val="none"/>
        </w:rPr>
      </w:pPr>
    </w:p>
    <w:p w14:paraId="5A69B987">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163FE9A8">
      <w:pPr>
        <w:pStyle w:val="4"/>
        <w:jc w:val="center"/>
        <w:rPr>
          <w:rFonts w:hint="eastAsia" w:ascii="仿宋" w:hAnsi="仿宋" w:eastAsia="仿宋" w:cs="仿宋"/>
          <w:b/>
          <w:bCs/>
          <w:sz w:val="28"/>
          <w:szCs w:val="28"/>
          <w:highlight w:val="none"/>
        </w:rPr>
      </w:pPr>
      <w:bookmarkStart w:id="229" w:name="_Toc23359"/>
      <w:r>
        <w:rPr>
          <w:rFonts w:hint="eastAsia" w:ascii="仿宋" w:hAnsi="仿宋" w:eastAsia="仿宋" w:cs="仿宋"/>
          <w:b/>
          <w:bCs/>
          <w:sz w:val="28"/>
          <w:szCs w:val="28"/>
          <w:highlight w:val="none"/>
        </w:rPr>
        <w:t>表三、评标信息</w:t>
      </w:r>
      <w:bookmarkEnd w:id="229"/>
    </w:p>
    <w:p w14:paraId="7171225C">
      <w:pPr>
        <w:ind w:firstLine="480" w:firstLineChars="200"/>
        <w:rPr>
          <w:rFonts w:hint="eastAsia" w:ascii="仿宋" w:hAnsi="仿宋" w:eastAsia="仿宋" w:cs="仿宋"/>
          <w:color w:val="00B050"/>
          <w:sz w:val="24"/>
          <w:highlight w:val="none"/>
        </w:rPr>
      </w:pPr>
      <w:r>
        <w:rPr>
          <w:rFonts w:hint="eastAsia" w:ascii="仿宋" w:hAnsi="仿宋" w:eastAsia="仿宋" w:cs="仿宋"/>
          <w:color w:val="00B050"/>
          <w:sz w:val="24"/>
          <w:highlight w:val="none"/>
        </w:rPr>
        <w:t>本次评标采用综合评分法，投标文件满足招标文件全部实质性要求，且按照招标文件中规定的各项评审因素进行量化打分，评标结果按评审后得分由高到低顺序排列。得分相同的，按投标报价由低到高顺序排列。得分且投标报价相同的，按技术/服务部分得分由高到低排列。得分、投标报价和技术/服务部分得分均相同的并列，出现并列情况采取随机抽取的方式确定，具体操作办法及流程由评审委员会确定，以评审总得分最高的投标人为中标供应商（排名第二的投标人为第一替补中标候选人、排名第三的投标人为第二替补中标候选人）。</w:t>
      </w:r>
    </w:p>
    <w:p w14:paraId="0E6575C9">
      <w:pPr>
        <w:ind w:firstLine="480" w:firstLineChars="200"/>
        <w:rPr>
          <w:rFonts w:hint="eastAsia" w:ascii="仿宋" w:hAnsi="仿宋" w:eastAsia="仿宋" w:cs="仿宋"/>
          <w:color w:val="00B050"/>
          <w:sz w:val="24"/>
          <w:highlight w:val="none"/>
        </w:rPr>
      </w:pPr>
      <w:r>
        <w:rPr>
          <w:rFonts w:hint="eastAsia" w:ascii="仿宋" w:hAnsi="仿宋" w:eastAsia="仿宋" w:cs="仿宋"/>
          <w:color w:val="00B050"/>
          <w:sz w:val="24"/>
          <w:highlight w:val="none"/>
        </w:rPr>
        <w:t>评审委员会对每个通过资格性检查和符合性检查且报价不超过最高限价的投标人进行评审、打分，然后汇总每个投标人每项评分因素的评分。</w:t>
      </w:r>
    </w:p>
    <w:p w14:paraId="1191D833">
      <w:pPr>
        <w:ind w:firstLine="480" w:firstLineChars="200"/>
        <w:rPr>
          <w:rFonts w:hint="eastAsia" w:ascii="仿宋" w:hAnsi="仿宋" w:eastAsia="仿宋" w:cs="仿宋"/>
          <w:color w:val="00B050"/>
          <w:sz w:val="24"/>
          <w:highlight w:val="none"/>
        </w:rPr>
      </w:pPr>
      <w:r>
        <w:rPr>
          <w:rFonts w:hint="eastAsia" w:ascii="仿宋" w:hAnsi="仿宋" w:eastAsia="仿宋" w:cs="仿宋"/>
          <w:color w:val="00B050"/>
          <w:sz w:val="24"/>
          <w:highlight w:val="none"/>
        </w:rPr>
        <w:t>评委会在评审时，按照以下量化的评审因素，对进入该阶段评审的各投标文件进行分析和比较：详见《评分细则表》</w:t>
      </w:r>
    </w:p>
    <w:p w14:paraId="6873376D">
      <w:pPr>
        <w:spacing w:before="156" w:beforeLines="50" w:after="156" w:afterLines="50"/>
        <w:ind w:firstLine="472" w:firstLineChars="196"/>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评分细则表</w:t>
      </w:r>
    </w:p>
    <w:tbl>
      <w:tblPr>
        <w:tblStyle w:val="43"/>
        <w:tblW w:w="9347" w:type="dxa"/>
        <w:jc w:val="center"/>
        <w:tblCellSpacing w:w="0" w:type="dxa"/>
        <w:tblLayout w:type="autofit"/>
        <w:tblCellMar>
          <w:top w:w="45" w:type="dxa"/>
          <w:left w:w="45" w:type="dxa"/>
          <w:bottom w:w="45" w:type="dxa"/>
          <w:right w:w="45" w:type="dxa"/>
        </w:tblCellMar>
      </w:tblPr>
      <w:tblGrid>
        <w:gridCol w:w="9098"/>
        <w:gridCol w:w="249"/>
      </w:tblGrid>
      <w:tr w14:paraId="345394BA">
        <w:tblPrEx>
          <w:tblCellMar>
            <w:top w:w="45" w:type="dxa"/>
            <w:left w:w="45" w:type="dxa"/>
            <w:bottom w:w="45" w:type="dxa"/>
            <w:right w:w="45" w:type="dxa"/>
          </w:tblCellMar>
        </w:tblPrEx>
        <w:trPr>
          <w:tblCellSpacing w:w="0" w:type="dxa"/>
          <w:jc w:val="center"/>
        </w:trPr>
        <w:tc>
          <w:tcPr>
            <w:tcW w:w="8830" w:type="dxa"/>
            <w:tcBorders>
              <w:top w:val="nil"/>
              <w:left w:val="nil"/>
              <w:bottom w:val="nil"/>
              <w:right w:val="nil"/>
            </w:tcBorders>
            <w:noWrap w:val="0"/>
            <w:vAlign w:val="center"/>
          </w:tcPr>
          <w:p w14:paraId="6C45B0D4">
            <w:pPr>
              <w:keepNext w:val="0"/>
              <w:keepLines w:val="0"/>
              <w:suppressLineNumbers w:val="0"/>
              <w:spacing w:before="0" w:beforeAutospacing="0" w:after="0" w:afterAutospacing="0"/>
              <w:ind w:left="0" w:right="0"/>
              <w:rPr>
                <w:rFonts w:hint="eastAsia" w:ascii="仿宋" w:hAnsi="仿宋" w:eastAsia="仿宋" w:cs="仿宋"/>
                <w:b/>
                <w:bCs/>
                <w:sz w:val="24"/>
                <w:highlight w:val="none"/>
              </w:rPr>
            </w:pPr>
            <w:r>
              <w:rPr>
                <w:rFonts w:hint="eastAsia" w:ascii="仿宋" w:hAnsi="仿宋" w:eastAsia="仿宋" w:cs="仿宋"/>
                <w:b/>
                <w:bCs/>
                <w:sz w:val="24"/>
                <w:szCs w:val="32"/>
                <w:highlight w:val="none"/>
              </w:rPr>
              <w:t>评标方法：综合评分法（新价格分算法）</w:t>
            </w:r>
          </w:p>
        </w:tc>
        <w:tc>
          <w:tcPr>
            <w:tcW w:w="242" w:type="dxa"/>
            <w:tcBorders>
              <w:top w:val="nil"/>
              <w:left w:val="nil"/>
              <w:bottom w:val="nil"/>
              <w:right w:val="nil"/>
            </w:tcBorders>
            <w:noWrap w:val="0"/>
            <w:vAlign w:val="center"/>
          </w:tcPr>
          <w:p w14:paraId="3AF98F28">
            <w:pPr>
              <w:keepNext w:val="0"/>
              <w:keepLines w:val="0"/>
              <w:suppressLineNumbers w:val="0"/>
              <w:spacing w:before="0" w:beforeAutospacing="0" w:after="0" w:afterAutospacing="0"/>
              <w:ind w:left="0" w:right="0"/>
              <w:jc w:val="right"/>
              <w:rPr>
                <w:rFonts w:hint="eastAsia" w:ascii="仿宋" w:hAnsi="仿宋" w:eastAsia="仿宋" w:cs="仿宋"/>
                <w:b/>
                <w:bCs/>
                <w:sz w:val="24"/>
                <w:highlight w:val="none"/>
              </w:rPr>
            </w:pPr>
          </w:p>
        </w:tc>
      </w:tr>
      <w:tr w14:paraId="39BB35E3">
        <w:tblPrEx>
          <w:tblCellMar>
            <w:top w:w="45" w:type="dxa"/>
            <w:left w:w="45" w:type="dxa"/>
            <w:bottom w:w="45" w:type="dxa"/>
            <w:right w:w="45" w:type="dxa"/>
          </w:tblCellMar>
        </w:tblPrEx>
        <w:trPr>
          <w:tblCellSpacing w:w="0" w:type="dxa"/>
          <w:jc w:val="center"/>
        </w:trPr>
        <w:tc>
          <w:tcPr>
            <w:tcW w:w="9072" w:type="dxa"/>
            <w:gridSpan w:val="2"/>
            <w:tcBorders>
              <w:top w:val="nil"/>
              <w:left w:val="nil"/>
              <w:bottom w:val="nil"/>
              <w:right w:val="nil"/>
            </w:tcBorders>
            <w:noWrap w:val="0"/>
            <w:vAlign w:val="center"/>
          </w:tcPr>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762"/>
              <w:gridCol w:w="1407"/>
              <w:gridCol w:w="769"/>
              <w:gridCol w:w="5578"/>
            </w:tblGrid>
            <w:tr w14:paraId="6219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2" w:type="pct"/>
                  <w:tcBorders>
                    <w:top w:val="single" w:color="auto" w:sz="4" w:space="0"/>
                    <w:left w:val="single" w:color="auto" w:sz="4" w:space="0"/>
                    <w:bottom w:val="single" w:color="auto" w:sz="4" w:space="0"/>
                    <w:right w:val="single" w:color="auto" w:sz="4" w:space="0"/>
                  </w:tcBorders>
                </w:tcPr>
                <w:p w14:paraId="66A5CE00">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1589" w:type="pct"/>
                  <w:gridSpan w:val="3"/>
                  <w:tcBorders>
                    <w:top w:val="single" w:color="auto" w:sz="4" w:space="0"/>
                    <w:left w:val="single" w:color="auto" w:sz="4" w:space="0"/>
                    <w:bottom w:val="single" w:color="auto" w:sz="4" w:space="0"/>
                    <w:right w:val="single" w:color="auto" w:sz="4" w:space="0"/>
                  </w:tcBorders>
                  <w:vAlign w:val="center"/>
                </w:tcPr>
                <w:p w14:paraId="13A0D4B6">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评分项</w:t>
                  </w:r>
                </w:p>
              </w:tc>
              <w:tc>
                <w:tcPr>
                  <w:tcW w:w="3018" w:type="pct"/>
                  <w:tcBorders>
                    <w:top w:val="single" w:color="auto" w:sz="4" w:space="0"/>
                    <w:left w:val="single" w:color="auto" w:sz="4" w:space="0"/>
                    <w:bottom w:val="single" w:color="auto" w:sz="4" w:space="0"/>
                    <w:right w:val="single" w:color="auto" w:sz="4" w:space="0"/>
                  </w:tcBorders>
                  <w:vAlign w:val="center"/>
                </w:tcPr>
                <w:p w14:paraId="586066B4">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权重</w:t>
                  </w:r>
                </w:p>
              </w:tc>
            </w:tr>
            <w:tr w14:paraId="43CE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Merge w:val="restart"/>
                  <w:tcBorders>
                    <w:top w:val="single" w:color="auto" w:sz="4" w:space="0"/>
                    <w:left w:val="single" w:color="auto" w:sz="4" w:space="0"/>
                    <w:right w:val="single" w:color="auto" w:sz="4" w:space="0"/>
                  </w:tcBorders>
                </w:tcPr>
                <w:p w14:paraId="162A8847">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w:t>
                  </w:r>
                </w:p>
              </w:tc>
              <w:tc>
                <w:tcPr>
                  <w:tcW w:w="1589" w:type="pct"/>
                  <w:gridSpan w:val="3"/>
                  <w:tcBorders>
                    <w:top w:val="single" w:color="auto" w:sz="4" w:space="0"/>
                    <w:left w:val="single" w:color="auto" w:sz="4" w:space="0"/>
                    <w:bottom w:val="single" w:color="auto" w:sz="4" w:space="0"/>
                    <w:right w:val="single" w:color="auto" w:sz="4" w:space="0"/>
                  </w:tcBorders>
                </w:tcPr>
                <w:p w14:paraId="2C06C4FF">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价格</w:t>
                  </w:r>
                </w:p>
              </w:tc>
              <w:tc>
                <w:tcPr>
                  <w:tcW w:w="3018" w:type="pct"/>
                  <w:tcBorders>
                    <w:top w:val="single" w:color="auto" w:sz="4" w:space="0"/>
                    <w:left w:val="single" w:color="auto" w:sz="4" w:space="0"/>
                    <w:bottom w:val="single" w:color="auto" w:sz="4" w:space="0"/>
                    <w:right w:val="single" w:color="auto" w:sz="4" w:space="0"/>
                  </w:tcBorders>
                </w:tcPr>
                <w:p w14:paraId="78214391">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10</w:t>
                  </w:r>
                </w:p>
              </w:tc>
            </w:tr>
            <w:tr w14:paraId="4400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Merge w:val="continue"/>
                  <w:tcBorders>
                    <w:left w:val="single" w:color="auto" w:sz="4" w:space="0"/>
                    <w:bottom w:val="single" w:color="auto" w:sz="4" w:space="0"/>
                    <w:right w:val="single" w:color="auto" w:sz="4" w:space="0"/>
                  </w:tcBorders>
                </w:tcPr>
                <w:p w14:paraId="7243C2CC">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b/>
                      <w:bCs/>
                      <w:color w:val="auto"/>
                      <w:sz w:val="21"/>
                      <w:szCs w:val="21"/>
                      <w:highlight w:val="none"/>
                    </w:rPr>
                  </w:pPr>
                </w:p>
              </w:tc>
              <w:tc>
                <w:tcPr>
                  <w:tcW w:w="4607" w:type="pct"/>
                  <w:gridSpan w:val="4"/>
                  <w:tcBorders>
                    <w:top w:val="single" w:color="auto" w:sz="4" w:space="0"/>
                    <w:left w:val="single" w:color="auto" w:sz="4" w:space="0"/>
                    <w:bottom w:val="single" w:color="auto" w:sz="4" w:space="0"/>
                    <w:right w:val="single" w:color="auto" w:sz="4" w:space="0"/>
                  </w:tcBorders>
                </w:tcPr>
                <w:p w14:paraId="4FE9725D">
                  <w:pPr>
                    <w:keepNext w:val="0"/>
                    <w:keepLines w:val="0"/>
                    <w:pageBreakBefore w:val="0"/>
                    <w:suppressLineNumbers w:val="0"/>
                    <w:kinsoku/>
                    <w:wordWrap w:val="0"/>
                    <w:overflowPunct/>
                    <w:topLinePunct w:val="0"/>
                    <w:bidi w:val="0"/>
                    <w:spacing w:before="0" w:beforeAutospacing="0" w:after="0" w:afterAutospacing="0" w:line="240" w:lineRule="auto"/>
                    <w:ind w:left="0" w:right="0" w:righ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综合评分法，是指投标文件满足招标文件全部实质性要求，且按照评审因素的量化指标评审得分最高的投标人为中标候选人的评标方法。 </w:t>
                  </w:r>
                </w:p>
                <w:p w14:paraId="7D42366C">
                  <w:pPr>
                    <w:keepNext w:val="0"/>
                    <w:keepLines w:val="0"/>
                    <w:pageBreakBefore w:val="0"/>
                    <w:suppressLineNumbers w:val="0"/>
                    <w:kinsoku/>
                    <w:wordWrap w:val="0"/>
                    <w:overflowPunct/>
                    <w:topLinePunct w:val="0"/>
                    <w:bidi w:val="0"/>
                    <w:spacing w:before="0" w:beforeAutospacing="0" w:after="0" w:afterAutospacing="0" w:line="240" w:lineRule="auto"/>
                    <w:ind w:left="0" w:right="0" w:righ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价格分计算方法：</w:t>
                  </w:r>
                </w:p>
                <w:p w14:paraId="05D6EBB5">
                  <w:pPr>
                    <w:keepNext w:val="0"/>
                    <w:keepLines w:val="0"/>
                    <w:pageBreakBefore w:val="0"/>
                    <w:suppressLineNumbers w:val="0"/>
                    <w:kinsoku/>
                    <w:wordWrap w:val="0"/>
                    <w:overflowPunct/>
                    <w:topLinePunct w:val="0"/>
                    <w:bidi w:val="0"/>
                    <w:spacing w:before="0" w:beforeAutospacing="0" w:after="0" w:afterAutospacing="0" w:line="240" w:lineRule="auto"/>
                    <w:ind w:left="0" w:right="0" w:righ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采用低价优先法计算，即满足招标文件要求且投标价格最低的投标报价为评标基准价，其价格分为满分。其他投标人的价格分统一按照下列公式计算： </w:t>
                  </w:r>
                </w:p>
                <w:p w14:paraId="69CB350D">
                  <w:pPr>
                    <w:keepNext w:val="0"/>
                    <w:keepLines w:val="0"/>
                    <w:pageBreakBefore w:val="0"/>
                    <w:suppressLineNumbers w:val="0"/>
                    <w:kinsoku/>
                    <w:wordWrap w:val="0"/>
                    <w:overflowPunct/>
                    <w:topLinePunct w:val="0"/>
                    <w:bidi w:val="0"/>
                    <w:spacing w:before="0" w:beforeAutospacing="0" w:after="0" w:afterAutospacing="0" w:line="240" w:lineRule="auto"/>
                    <w:ind w:left="0" w:right="0" w:righ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投标报价得分=(评标基准价／投标报价)×价格分值</w:t>
                  </w:r>
                </w:p>
                <w:p w14:paraId="7AA8FCBB">
                  <w:pPr>
                    <w:keepNext w:val="0"/>
                    <w:keepLines w:val="0"/>
                    <w:pageBreakBefore w:val="0"/>
                    <w:suppressLineNumbers w:val="0"/>
                    <w:kinsoku/>
                    <w:wordWrap w:val="0"/>
                    <w:overflowPunct/>
                    <w:topLinePunct w:val="0"/>
                    <w:bidi w:val="0"/>
                    <w:spacing w:before="0" w:beforeAutospacing="0" w:after="0" w:afterAutospacing="0" w:line="240" w:lineRule="auto"/>
                    <w:ind w:left="0" w:right="0" w:righ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评标过程中，不得去掉报价中的最高报价和最低报价。 </w:t>
                  </w:r>
                </w:p>
                <w:p w14:paraId="1713E260">
                  <w:pPr>
                    <w:keepNext w:val="0"/>
                    <w:keepLines w:val="0"/>
                    <w:pageBreakBefore w:val="0"/>
                    <w:suppressLineNumbers w:val="0"/>
                    <w:kinsoku/>
                    <w:wordWrap w:val="0"/>
                    <w:overflowPunct/>
                    <w:topLinePunct w:val="0"/>
                    <w:bidi w:val="0"/>
                    <w:spacing w:before="0" w:beforeAutospacing="0" w:after="0" w:afterAutospacing="0" w:line="240" w:lineRule="auto"/>
                    <w:ind w:left="0" w:right="0" w:rightChars="0"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若本项目为专门面向中小企业的项目，则不参与价格扣除。</w:t>
                  </w:r>
                </w:p>
                <w:p w14:paraId="3755B56B">
                  <w:pPr>
                    <w:keepNext w:val="0"/>
                    <w:keepLines w:val="0"/>
                    <w:pageBreakBefore w:val="0"/>
                    <w:suppressLineNumbers w:val="0"/>
                    <w:kinsoku/>
                    <w:wordWrap w:val="0"/>
                    <w:overflowPunct/>
                    <w:topLinePunct w:val="0"/>
                    <w:bidi w:val="0"/>
                    <w:spacing w:before="0" w:beforeAutospacing="0" w:after="0" w:afterAutospacing="0" w:line="240" w:lineRule="auto"/>
                    <w:ind w:left="0" w:right="0" w:righ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若</w:t>
                  </w:r>
                  <w:r>
                    <w:rPr>
                      <w:rFonts w:hint="eastAsia" w:ascii="仿宋" w:hAnsi="仿宋" w:eastAsia="仿宋" w:cs="仿宋"/>
                      <w:color w:val="auto"/>
                      <w:sz w:val="21"/>
                      <w:szCs w:val="21"/>
                      <w:highlight w:val="none"/>
                    </w:rPr>
                    <w:t>本项目为非专门面向中小企业的项目，用扣除后的价格参与评审，本项目的扣除比例为：</w:t>
                  </w:r>
                </w:p>
                <w:p w14:paraId="558F7E94">
                  <w:pPr>
                    <w:keepNext w:val="0"/>
                    <w:keepLines w:val="0"/>
                    <w:pageBreakBefore w:val="0"/>
                    <w:suppressLineNumbers w:val="0"/>
                    <w:kinsoku/>
                    <w:wordWrap w:val="0"/>
                    <w:overflowPunct/>
                    <w:topLinePunct w:val="0"/>
                    <w:bidi w:val="0"/>
                    <w:spacing w:before="0" w:beforeAutospacing="0" w:after="0" w:afterAutospacing="0" w:line="240" w:lineRule="auto"/>
                    <w:ind w:left="0" w:right="0" w:righ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1.小型企业、微型企业、监狱企业和残疾人福利性单位均给予1</w:t>
                  </w:r>
                  <w:r>
                    <w:rPr>
                      <w:rFonts w:hint="eastAsia" w:ascii="仿宋" w:hAnsi="仿宋" w:eastAsia="仿宋" w:cs="仿宋"/>
                      <w:color w:val="auto"/>
                      <w:sz w:val="21"/>
                      <w:szCs w:val="21"/>
                      <w:highlight w:val="none"/>
                      <w:lang w:val="en-US" w:eastAsia="zh-CN"/>
                    </w:rPr>
                    <w:t>0</w:t>
                  </w:r>
                  <w:r>
                    <w:rPr>
                      <w:rFonts w:hint="eastAsia" w:ascii="仿宋" w:hAnsi="仿宋" w:eastAsia="仿宋" w:cs="仿宋"/>
                      <w:color w:val="auto"/>
                      <w:sz w:val="21"/>
                      <w:szCs w:val="21"/>
                      <w:highlight w:val="none"/>
                    </w:rPr>
                    <w:t>%的扣除。</w:t>
                  </w:r>
                </w:p>
                <w:p w14:paraId="5F768F8F">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left"/>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2.相关证明文件详见投标文件格式要求，投标人同时为小型、微型企业、监狱企业和残疾人福利性单位的，评审中只享受一次价格扣除，不重复进行价格扣除。</w:t>
                  </w:r>
                </w:p>
              </w:tc>
            </w:tr>
            <w:tr w14:paraId="72A5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tcBorders>
                    <w:top w:val="single" w:color="auto" w:sz="4" w:space="0"/>
                    <w:left w:val="single" w:color="auto" w:sz="4" w:space="0"/>
                    <w:bottom w:val="single" w:color="auto" w:sz="4" w:space="0"/>
                    <w:right w:val="single" w:color="auto" w:sz="4" w:space="0"/>
                  </w:tcBorders>
                </w:tcPr>
                <w:p w14:paraId="0F7FAFE3">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w:t>
                  </w:r>
                </w:p>
              </w:tc>
              <w:tc>
                <w:tcPr>
                  <w:tcW w:w="1589" w:type="pct"/>
                  <w:gridSpan w:val="3"/>
                  <w:tcBorders>
                    <w:top w:val="single" w:color="auto" w:sz="4" w:space="0"/>
                    <w:left w:val="single" w:color="auto" w:sz="4" w:space="0"/>
                    <w:bottom w:val="single" w:color="auto" w:sz="4" w:space="0"/>
                    <w:right w:val="single" w:color="auto" w:sz="4" w:space="0"/>
                  </w:tcBorders>
                </w:tcPr>
                <w:p w14:paraId="03A7DB72">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技术部分</w:t>
                  </w:r>
                </w:p>
              </w:tc>
              <w:tc>
                <w:tcPr>
                  <w:tcW w:w="3018" w:type="pct"/>
                  <w:tcBorders>
                    <w:top w:val="single" w:color="auto" w:sz="4" w:space="0"/>
                    <w:left w:val="single" w:color="auto" w:sz="4" w:space="0"/>
                    <w:bottom w:val="single" w:color="auto" w:sz="4" w:space="0"/>
                    <w:right w:val="single" w:color="auto" w:sz="4" w:space="0"/>
                  </w:tcBorders>
                </w:tcPr>
                <w:p w14:paraId="59B3785C">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45</w:t>
                  </w:r>
                </w:p>
              </w:tc>
            </w:tr>
            <w:tr w14:paraId="7E8F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392" w:type="pct"/>
                  <w:vMerge w:val="restart"/>
                  <w:tcBorders>
                    <w:top w:val="single" w:color="auto" w:sz="4" w:space="0"/>
                    <w:left w:val="single" w:color="auto" w:sz="4" w:space="0"/>
                    <w:right w:val="single" w:color="auto" w:sz="4" w:space="0"/>
                  </w:tcBorders>
                </w:tcPr>
                <w:p w14:paraId="2DFE1DF1">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tcPr>
                <w:p w14:paraId="14373BA6">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行号</w:t>
                  </w:r>
                </w:p>
              </w:tc>
              <w:tc>
                <w:tcPr>
                  <w:tcW w:w="761" w:type="pct"/>
                  <w:tcBorders>
                    <w:top w:val="single" w:color="auto" w:sz="4" w:space="0"/>
                    <w:left w:val="single" w:color="auto" w:sz="4" w:space="0"/>
                    <w:bottom w:val="single" w:color="auto" w:sz="4" w:space="0"/>
                    <w:right w:val="single" w:color="auto" w:sz="4" w:space="0"/>
                  </w:tcBorders>
                </w:tcPr>
                <w:p w14:paraId="34D7C27F">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内容</w:t>
                  </w:r>
                </w:p>
              </w:tc>
              <w:tc>
                <w:tcPr>
                  <w:tcW w:w="415" w:type="pct"/>
                  <w:tcBorders>
                    <w:top w:val="single" w:color="auto" w:sz="4" w:space="0"/>
                    <w:left w:val="single" w:color="auto" w:sz="4" w:space="0"/>
                    <w:bottom w:val="single" w:color="auto" w:sz="4" w:space="0"/>
                    <w:right w:val="single" w:color="auto" w:sz="4" w:space="0"/>
                  </w:tcBorders>
                </w:tcPr>
                <w:p w14:paraId="1DE1484E">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权重</w:t>
                  </w:r>
                </w:p>
              </w:tc>
              <w:tc>
                <w:tcPr>
                  <w:tcW w:w="3018" w:type="pct"/>
                  <w:tcBorders>
                    <w:top w:val="single" w:color="auto" w:sz="4" w:space="0"/>
                    <w:left w:val="single" w:color="auto" w:sz="4" w:space="0"/>
                    <w:bottom w:val="single" w:color="auto" w:sz="4" w:space="0"/>
                    <w:right w:val="single" w:color="auto" w:sz="4" w:space="0"/>
                  </w:tcBorders>
                </w:tcPr>
                <w:p w14:paraId="23D2CC12">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评分准则</w:t>
                  </w:r>
                </w:p>
              </w:tc>
            </w:tr>
            <w:tr w14:paraId="0373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392" w:type="pct"/>
                  <w:vMerge w:val="continue"/>
                  <w:tcBorders>
                    <w:left w:val="single" w:color="auto" w:sz="4" w:space="0"/>
                    <w:right w:val="single" w:color="auto" w:sz="4" w:space="0"/>
                  </w:tcBorders>
                  <w:vAlign w:val="center"/>
                </w:tcPr>
                <w:p w14:paraId="45D9C013">
                  <w:pPr>
                    <w:keepNext w:val="0"/>
                    <w:keepLines w:val="0"/>
                    <w:pageBreakBefore w:val="0"/>
                    <w:widowControl/>
                    <w:suppressLineNumbers w:val="0"/>
                    <w:kinsoku/>
                    <w:overflowPunct/>
                    <w:topLinePunct w:val="0"/>
                    <w:bidi w:val="0"/>
                    <w:spacing w:before="0" w:beforeAutospacing="0" w:after="0" w:afterAutospacing="0" w:line="240" w:lineRule="auto"/>
                    <w:ind w:left="0" w:right="0" w:rightChars="0" w:firstLine="0" w:firstLineChars="0"/>
                    <w:jc w:val="left"/>
                    <w:rPr>
                      <w:rFonts w:hint="eastAsia" w:ascii="仿宋" w:hAnsi="仿宋" w:eastAsia="仿宋" w:cs="仿宋"/>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36FCB49A">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761" w:type="pct"/>
                  <w:tcBorders>
                    <w:top w:val="single" w:color="auto" w:sz="4" w:space="0"/>
                    <w:left w:val="single" w:color="auto" w:sz="4" w:space="0"/>
                    <w:bottom w:val="single" w:color="auto" w:sz="4" w:space="0"/>
                    <w:right w:val="single" w:color="auto" w:sz="4" w:space="0"/>
                  </w:tcBorders>
                  <w:vAlign w:val="center"/>
                </w:tcPr>
                <w:p w14:paraId="3607CF23">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lang w:val="en-US" w:eastAsia="zh-CN" w:bidi="ar"/>
                    </w:rPr>
                  </w:pPr>
                </w:p>
                <w:p w14:paraId="30E12735">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修复及保护方案</w:t>
                  </w:r>
                </w:p>
                <w:p w14:paraId="591095B4">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lang w:val="en-US" w:eastAsia="zh-CN" w:bidi="ar"/>
                    </w:rPr>
                  </w:pPr>
                </w:p>
              </w:tc>
              <w:tc>
                <w:tcPr>
                  <w:tcW w:w="415" w:type="pct"/>
                  <w:tcBorders>
                    <w:top w:val="single" w:color="auto" w:sz="4" w:space="0"/>
                    <w:left w:val="single" w:color="auto" w:sz="4" w:space="0"/>
                    <w:bottom w:val="single" w:color="auto" w:sz="4" w:space="0"/>
                    <w:right w:val="single" w:color="auto" w:sz="4" w:space="0"/>
                  </w:tcBorders>
                  <w:vAlign w:val="center"/>
                </w:tcPr>
                <w:p w14:paraId="7F869390">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15</w:t>
                  </w:r>
                </w:p>
              </w:tc>
              <w:tc>
                <w:tcPr>
                  <w:tcW w:w="3018" w:type="pct"/>
                  <w:tcBorders>
                    <w:top w:val="single" w:color="auto" w:sz="4" w:space="0"/>
                    <w:left w:val="single" w:color="auto" w:sz="4" w:space="0"/>
                    <w:bottom w:val="single" w:color="auto" w:sz="4" w:space="0"/>
                    <w:right w:val="single" w:color="auto" w:sz="4" w:space="0"/>
                  </w:tcBorders>
                  <w:vAlign w:val="center"/>
                </w:tcPr>
                <w:p w14:paraId="71376BAC">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bCs/>
                      <w:kern w:val="2"/>
                      <w:sz w:val="21"/>
                      <w:szCs w:val="21"/>
                      <w:lang w:val="en-US" w:eastAsia="zh-CN" w:bidi="ar"/>
                    </w:rPr>
                    <w:t>（一）评分内容：</w:t>
                  </w:r>
                </w:p>
                <w:p w14:paraId="5F9C7263">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根据采购文件给定的本次化石保护性修复目标提供《修复及保护方案》，内容包括但不限于：</w:t>
                  </w:r>
                </w:p>
                <w:p w14:paraId="6B76CF1C">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1.针对古生物化石个体差异针对性采用修复措施、工艺流程介绍。</w:t>
                  </w:r>
                </w:p>
                <w:p w14:paraId="5C651125">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2.计划采用的修复技术、工艺、材料；</w:t>
                  </w:r>
                </w:p>
                <w:p w14:paraId="0FB742AF">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3.保护措施。</w:t>
                  </w:r>
                </w:p>
                <w:p w14:paraId="209077A9">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bCs/>
                      <w:kern w:val="2"/>
                      <w:sz w:val="21"/>
                      <w:szCs w:val="21"/>
                      <w:lang w:val="en-US" w:eastAsia="zh-CN" w:bidi="ar"/>
                    </w:rPr>
                    <w:t>（二）评分标准：</w:t>
                  </w:r>
                </w:p>
                <w:p w14:paraId="42A530C8">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 xml:space="preserve">满足三点得9分，满足任意两点得6分，满足任意一点得3分，未满足不得分。 </w:t>
                  </w:r>
                </w:p>
                <w:p w14:paraId="15382A48">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在此基础上，专家根据各供应商的具体响应内容按照量化的评审因素指标进一步评审；</w:t>
                  </w:r>
                </w:p>
                <w:p w14:paraId="7C50657F">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 xml:space="preserve">1.方案内容清晰详实，特点突出、方案科学合理；能根据项目需求进行详细分析，完全满足项目服务要求，配套措施完善，方案合理，可操作性强的，加6分； </w:t>
                  </w:r>
                </w:p>
                <w:p w14:paraId="6353D17E">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 xml:space="preserve">2.方案内容有一定特点、分析合理；切合项目需求实际情况，比较满足项目服务要求，配套措施比较完善，方案比较合理，可操作性较强的，加4分； </w:t>
                  </w:r>
                </w:p>
                <w:p w14:paraId="46C24B98">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 xml:space="preserve">3.方案内容无突出特点、分析合理性一般、内容基本满足本项目服务需求；配套措施一般，方案一般，可操作性一般的，加2分； </w:t>
                  </w:r>
                </w:p>
                <w:p w14:paraId="6A418389">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4.方案整体不合理、无针对性;配套措施较差，方案较差，与本项目需求不匹配，无可操作性的，不加分。</w:t>
                  </w:r>
                </w:p>
                <w:p w14:paraId="46223D7F">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val="0"/>
                      <w:bCs w:val="0"/>
                      <w:kern w:val="2"/>
                      <w:sz w:val="21"/>
                      <w:szCs w:val="21"/>
                      <w:lang w:val="en-US" w:eastAsia="zh-CN" w:bidi="ar"/>
                    </w:rPr>
                    <w:t>注：如果评审为差，要求评委书面说明理由，并记录在档。</w:t>
                  </w:r>
                </w:p>
              </w:tc>
            </w:tr>
            <w:tr w14:paraId="10BE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392" w:type="pct"/>
                  <w:vMerge w:val="continue"/>
                  <w:tcBorders>
                    <w:left w:val="single" w:color="auto" w:sz="4" w:space="0"/>
                    <w:right w:val="single" w:color="auto" w:sz="4" w:space="0"/>
                  </w:tcBorders>
                  <w:vAlign w:val="center"/>
                </w:tcPr>
                <w:p w14:paraId="166F6604">
                  <w:pPr>
                    <w:keepNext w:val="0"/>
                    <w:keepLines w:val="0"/>
                    <w:pageBreakBefore w:val="0"/>
                    <w:widowControl/>
                    <w:suppressLineNumbers w:val="0"/>
                    <w:kinsoku/>
                    <w:overflowPunct/>
                    <w:topLinePunct w:val="0"/>
                    <w:bidi w:val="0"/>
                    <w:spacing w:before="0" w:beforeAutospacing="0" w:after="0" w:afterAutospacing="0" w:line="240" w:lineRule="auto"/>
                    <w:ind w:left="0" w:right="0" w:rightChars="0" w:firstLine="0" w:firstLineChars="0"/>
                    <w:jc w:val="left"/>
                    <w:rPr>
                      <w:rFonts w:hint="eastAsia" w:ascii="仿宋" w:hAnsi="仿宋" w:eastAsia="仿宋" w:cs="仿宋"/>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51B0234A">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761" w:type="pct"/>
                  <w:tcBorders>
                    <w:top w:val="single" w:color="auto" w:sz="4" w:space="0"/>
                    <w:left w:val="single" w:color="auto" w:sz="4" w:space="0"/>
                    <w:bottom w:val="single" w:color="auto" w:sz="4" w:space="0"/>
                    <w:right w:val="single" w:color="auto" w:sz="4" w:space="0"/>
                  </w:tcBorders>
                  <w:vAlign w:val="center"/>
                </w:tcPr>
                <w:p w14:paraId="271ED016">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风险防范预案</w:t>
                  </w:r>
                </w:p>
              </w:tc>
              <w:tc>
                <w:tcPr>
                  <w:tcW w:w="415" w:type="pct"/>
                  <w:tcBorders>
                    <w:top w:val="single" w:color="auto" w:sz="4" w:space="0"/>
                    <w:left w:val="single" w:color="auto" w:sz="4" w:space="0"/>
                    <w:bottom w:val="single" w:color="auto" w:sz="4" w:space="0"/>
                    <w:right w:val="single" w:color="auto" w:sz="4" w:space="0"/>
                  </w:tcBorders>
                  <w:vAlign w:val="center"/>
                </w:tcPr>
                <w:p w14:paraId="0A21020F">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15</w:t>
                  </w:r>
                </w:p>
              </w:tc>
              <w:tc>
                <w:tcPr>
                  <w:tcW w:w="3018" w:type="pct"/>
                  <w:tcBorders>
                    <w:top w:val="single" w:color="auto" w:sz="4" w:space="0"/>
                    <w:left w:val="single" w:color="auto" w:sz="4" w:space="0"/>
                    <w:bottom w:val="single" w:color="auto" w:sz="4" w:space="0"/>
                    <w:right w:val="single" w:color="auto" w:sz="4" w:space="0"/>
                  </w:tcBorders>
                  <w:vAlign w:val="top"/>
                </w:tcPr>
                <w:p w14:paraId="63F32890">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bCs/>
                      <w:kern w:val="2"/>
                      <w:sz w:val="21"/>
                      <w:szCs w:val="21"/>
                      <w:lang w:val="en-US" w:eastAsia="zh-CN" w:bidi="ar"/>
                    </w:rPr>
                    <w:t>（一）评分内容：</w:t>
                  </w:r>
                </w:p>
                <w:p w14:paraId="44270E1A">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根据本次古生物化石修复工作提供《风险防范预案》，内容包括但不限于：</w:t>
                  </w:r>
                </w:p>
                <w:p w14:paraId="4E7AC9A5">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1.结合项目所在地自然、气候条件提供风险防范预案；</w:t>
                  </w:r>
                </w:p>
                <w:p w14:paraId="766AC17B">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2.结合古生物化石标本状态提供风险防范预案。</w:t>
                  </w:r>
                </w:p>
                <w:p w14:paraId="77E3DC3A">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3.修复全过程风险防范预案。</w:t>
                  </w:r>
                </w:p>
                <w:p w14:paraId="1694A5CF">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bCs/>
                      <w:kern w:val="2"/>
                      <w:sz w:val="21"/>
                      <w:szCs w:val="21"/>
                      <w:lang w:val="en-US" w:eastAsia="zh-CN" w:bidi="ar"/>
                    </w:rPr>
                    <w:t>（二）评分标准：</w:t>
                  </w:r>
                </w:p>
                <w:p w14:paraId="0D6D06FE">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 xml:space="preserve">满足三点得9分，满足任意两点得6分，满足任意一点得3分，未满足不得分。 </w:t>
                  </w:r>
                </w:p>
                <w:p w14:paraId="552B460E">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在此基础上，专家根据各供应商的具体响应内容按照量化的评审因素指标进一步评审；</w:t>
                  </w:r>
                </w:p>
                <w:p w14:paraId="1817CF57">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 xml:space="preserve">1.风险防范预案内容清晰详实，特点突出、风险防范预案科学合理；能根据项目需求进行详细分析，完全满足项目服务要求，配套措施完善，风险防范预案合理，可操作性强的，加6分； </w:t>
                  </w:r>
                </w:p>
                <w:p w14:paraId="151C166A">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 xml:space="preserve">2风险防范预案内容有一定特点、分析合理；切合项目需求实际情况，比较满足项目服务要求，配套措施比较完善，风险防范预案比较合理，可操作性较强的，加4分； </w:t>
                  </w:r>
                </w:p>
                <w:p w14:paraId="47EF1500">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 xml:space="preserve">3.风险防范预案内容无突出特点、分析合理性一般、内容基本满足本项目服务需求；配套措施一般，风险防范预案一般，可操作性一般的，加2分； </w:t>
                  </w:r>
                </w:p>
                <w:p w14:paraId="2C12DFF8">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4.风险防范预案整体不合理、无针对性;配套措施较差，风险防范预案较差，与本项目需求不匹配，无可操作性的，不加分。</w:t>
                  </w:r>
                </w:p>
                <w:p w14:paraId="4F4B14BC">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val="0"/>
                      <w:bCs w:val="0"/>
                      <w:kern w:val="2"/>
                      <w:sz w:val="21"/>
                      <w:szCs w:val="21"/>
                      <w:lang w:val="en-US" w:eastAsia="zh-CN" w:bidi="ar"/>
                    </w:rPr>
                    <w:t>注：如果评审为差，要求评委书面说明理由，并记录在档。</w:t>
                  </w:r>
                </w:p>
              </w:tc>
            </w:tr>
            <w:tr w14:paraId="092D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392" w:type="pct"/>
                  <w:vMerge w:val="continue"/>
                  <w:tcBorders>
                    <w:left w:val="single" w:color="auto" w:sz="4" w:space="0"/>
                    <w:right w:val="single" w:color="auto" w:sz="4" w:space="0"/>
                  </w:tcBorders>
                  <w:vAlign w:val="center"/>
                </w:tcPr>
                <w:p w14:paraId="67F3FD6A">
                  <w:pPr>
                    <w:keepNext w:val="0"/>
                    <w:keepLines w:val="0"/>
                    <w:pageBreakBefore w:val="0"/>
                    <w:widowControl/>
                    <w:suppressLineNumbers w:val="0"/>
                    <w:kinsoku/>
                    <w:overflowPunct/>
                    <w:topLinePunct w:val="0"/>
                    <w:bidi w:val="0"/>
                    <w:spacing w:before="0" w:beforeAutospacing="0" w:after="0" w:afterAutospacing="0" w:line="240" w:lineRule="auto"/>
                    <w:ind w:left="0" w:right="0" w:rightChars="0" w:firstLine="0" w:firstLineChars="0"/>
                    <w:jc w:val="left"/>
                    <w:rPr>
                      <w:rFonts w:hint="eastAsia" w:ascii="仿宋" w:hAnsi="仿宋" w:eastAsia="仿宋" w:cs="仿宋"/>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3EAE7E86">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761" w:type="pct"/>
                  <w:tcBorders>
                    <w:top w:val="single" w:color="auto" w:sz="4" w:space="0"/>
                    <w:left w:val="single" w:color="auto" w:sz="4" w:space="0"/>
                    <w:bottom w:val="single" w:color="auto" w:sz="4" w:space="0"/>
                    <w:right w:val="single" w:color="auto" w:sz="4" w:space="0"/>
                  </w:tcBorders>
                  <w:vAlign w:val="center"/>
                </w:tcPr>
                <w:p w14:paraId="3A046C47">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应急处置方案</w:t>
                  </w:r>
                </w:p>
              </w:tc>
              <w:tc>
                <w:tcPr>
                  <w:tcW w:w="415" w:type="pct"/>
                  <w:tcBorders>
                    <w:top w:val="single" w:color="auto" w:sz="4" w:space="0"/>
                    <w:left w:val="single" w:color="auto" w:sz="4" w:space="0"/>
                    <w:bottom w:val="single" w:color="auto" w:sz="4" w:space="0"/>
                    <w:right w:val="single" w:color="auto" w:sz="4" w:space="0"/>
                  </w:tcBorders>
                  <w:vAlign w:val="center"/>
                </w:tcPr>
                <w:p w14:paraId="22E59AA7">
                  <w:pPr>
                    <w:keepNext w:val="0"/>
                    <w:keepLines w:val="0"/>
                    <w:widowControl w:val="0"/>
                    <w:suppressLineNumbers w:val="0"/>
                    <w:spacing w:before="0" w:beforeAutospacing="0" w:after="0" w:afterAutospacing="0"/>
                    <w:ind w:left="0" w:leftChars="0" w:right="0" w:rightChars="0" w:firstLine="0" w:firstLineChars="0"/>
                    <w:jc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10</w:t>
                  </w:r>
                </w:p>
              </w:tc>
              <w:tc>
                <w:tcPr>
                  <w:tcW w:w="3018" w:type="pct"/>
                  <w:tcBorders>
                    <w:top w:val="single" w:color="auto" w:sz="4" w:space="0"/>
                    <w:left w:val="single" w:color="auto" w:sz="4" w:space="0"/>
                    <w:bottom w:val="single" w:color="auto" w:sz="4" w:space="0"/>
                    <w:right w:val="single" w:color="auto" w:sz="4" w:space="0"/>
                  </w:tcBorders>
                  <w:vAlign w:val="center"/>
                </w:tcPr>
                <w:p w14:paraId="65E9FA4C">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bCs/>
                      <w:kern w:val="2"/>
                      <w:sz w:val="21"/>
                      <w:szCs w:val="21"/>
                      <w:lang w:val="en-US" w:eastAsia="zh-CN" w:bidi="ar"/>
                    </w:rPr>
                    <w:t>（一）评分内容：</w:t>
                  </w:r>
                </w:p>
                <w:p w14:paraId="51A253ED">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考察投标人提供的应急处置方案，包含以下内容：</w:t>
                  </w:r>
                </w:p>
                <w:p w14:paraId="5E09ACC9">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1.标本出现损毁的处理办法；</w:t>
                  </w:r>
                </w:p>
                <w:p w14:paraId="10CBB4C0">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2.修复时间的响应情况；</w:t>
                  </w:r>
                </w:p>
                <w:p w14:paraId="438E127B">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3.意外突发事件的处理办法。</w:t>
                  </w:r>
                </w:p>
                <w:p w14:paraId="67FB03CD">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bCs/>
                      <w:kern w:val="2"/>
                      <w:sz w:val="21"/>
                      <w:szCs w:val="21"/>
                      <w:lang w:val="en-US" w:eastAsia="zh-CN" w:bidi="ar"/>
                    </w:rPr>
                    <w:t>（二）评分标准：</w:t>
                  </w:r>
                </w:p>
                <w:p w14:paraId="5942A11D">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方案包含以上三项内容得6分；包含以上二项内容得4分；包含以上一项内容得2分；其他情况不得分。</w:t>
                  </w:r>
                </w:p>
                <w:p w14:paraId="4320CA1C">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在此基础上，根据方案响应情况进一步评审：</w:t>
                  </w:r>
                </w:p>
                <w:p w14:paraId="117B3C4B">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 xml:space="preserve">1.方案内容清晰详实，特点突出、方案科学合理；能根据项目需求进行详细分析，完全满足项目服务要求，配套措施完善，方案合理，可操作性强的，加4分； </w:t>
                  </w:r>
                </w:p>
                <w:p w14:paraId="0BEE747C">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 xml:space="preserve">2.方案内容有一定特点、分析合理；切合项目需求实际情况，比较满足项目服务要求，配套措施比较完善，方案比较合理，可操作性较强的，加2分； </w:t>
                  </w:r>
                </w:p>
                <w:p w14:paraId="7FCB0DED">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 xml:space="preserve">3.方案内容无突出特点、分析合理性一般、内容基本满足本项目服务需求；配套措施一般，方案一般，可操作性一般的，加1分； </w:t>
                  </w:r>
                </w:p>
                <w:p w14:paraId="32BD6234">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4.方案整体不合理、无针对性;配套措施较差，方案较差，与本项目需求不匹配，无可操作性的，不加分。</w:t>
                  </w:r>
                </w:p>
                <w:p w14:paraId="67E79A05">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val="0"/>
                      <w:bCs w:val="0"/>
                      <w:kern w:val="2"/>
                      <w:sz w:val="21"/>
                      <w:szCs w:val="21"/>
                      <w:lang w:val="en-US" w:eastAsia="zh-CN" w:bidi="ar"/>
                    </w:rPr>
                    <w:t>注：如果评审为差，要求评委书面说明理由，并记录在档。</w:t>
                  </w:r>
                </w:p>
              </w:tc>
            </w:tr>
            <w:tr w14:paraId="201A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392" w:type="pct"/>
                  <w:vMerge w:val="continue"/>
                  <w:tcBorders>
                    <w:left w:val="single" w:color="auto" w:sz="4" w:space="0"/>
                    <w:right w:val="single" w:color="auto" w:sz="4" w:space="0"/>
                  </w:tcBorders>
                  <w:vAlign w:val="center"/>
                </w:tcPr>
                <w:p w14:paraId="79D7A54D">
                  <w:pPr>
                    <w:keepNext w:val="0"/>
                    <w:keepLines w:val="0"/>
                    <w:pageBreakBefore w:val="0"/>
                    <w:widowControl/>
                    <w:suppressLineNumbers w:val="0"/>
                    <w:kinsoku/>
                    <w:overflowPunct/>
                    <w:topLinePunct w:val="0"/>
                    <w:bidi w:val="0"/>
                    <w:spacing w:before="0" w:beforeAutospacing="0" w:after="0" w:afterAutospacing="0" w:line="240" w:lineRule="auto"/>
                    <w:ind w:left="0" w:right="0" w:rightChars="0" w:firstLine="0" w:firstLineChars="0"/>
                    <w:jc w:val="left"/>
                    <w:rPr>
                      <w:rFonts w:hint="eastAsia" w:ascii="仿宋" w:hAnsi="仿宋" w:eastAsia="仿宋" w:cs="仿宋"/>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1F3223F5">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761" w:type="pct"/>
                  <w:tcBorders>
                    <w:top w:val="single" w:color="auto" w:sz="4" w:space="0"/>
                    <w:left w:val="single" w:color="auto" w:sz="4" w:space="0"/>
                    <w:bottom w:val="single" w:color="auto" w:sz="4" w:space="0"/>
                    <w:right w:val="single" w:color="auto" w:sz="4" w:space="0"/>
                  </w:tcBorders>
                  <w:vAlign w:val="center"/>
                </w:tcPr>
                <w:p w14:paraId="40321DE3">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违约承诺</w:t>
                  </w:r>
                </w:p>
              </w:tc>
              <w:tc>
                <w:tcPr>
                  <w:tcW w:w="415" w:type="pct"/>
                  <w:tcBorders>
                    <w:top w:val="single" w:color="auto" w:sz="4" w:space="0"/>
                    <w:left w:val="single" w:color="auto" w:sz="4" w:space="0"/>
                    <w:bottom w:val="single" w:color="auto" w:sz="4" w:space="0"/>
                    <w:right w:val="single" w:color="auto" w:sz="4" w:space="0"/>
                  </w:tcBorders>
                  <w:vAlign w:val="center"/>
                </w:tcPr>
                <w:p w14:paraId="7C57AA4C">
                  <w:pPr>
                    <w:keepNext w:val="0"/>
                    <w:keepLines w:val="0"/>
                    <w:widowControl w:val="0"/>
                    <w:suppressLineNumbers w:val="0"/>
                    <w:spacing w:before="0" w:beforeAutospacing="0" w:after="0" w:afterAutospacing="0"/>
                    <w:ind w:left="0" w:leftChars="0" w:right="0" w:rightChars="0" w:firstLine="0" w:firstLineChars="0"/>
                    <w:jc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5</w:t>
                  </w:r>
                </w:p>
              </w:tc>
              <w:tc>
                <w:tcPr>
                  <w:tcW w:w="3018" w:type="pct"/>
                  <w:tcBorders>
                    <w:top w:val="single" w:color="auto" w:sz="4" w:space="0"/>
                    <w:left w:val="single" w:color="auto" w:sz="4" w:space="0"/>
                    <w:bottom w:val="single" w:color="auto" w:sz="4" w:space="0"/>
                    <w:right w:val="single" w:color="auto" w:sz="4" w:space="0"/>
                  </w:tcBorders>
                  <w:vAlign w:val="top"/>
                </w:tcPr>
                <w:p w14:paraId="259E16DD">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bCs/>
                      <w:kern w:val="2"/>
                      <w:sz w:val="21"/>
                      <w:szCs w:val="21"/>
                      <w:lang w:val="en-US" w:eastAsia="zh-CN" w:bidi="ar"/>
                    </w:rPr>
                    <w:t>（一）评分内容：</w:t>
                  </w:r>
                </w:p>
                <w:p w14:paraId="581856FC">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考察投标人提供的违约承诺，包含以下内容：</w:t>
                  </w:r>
                </w:p>
                <w:p w14:paraId="17BC6F29">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1.人员未严格按照投标承诺配置的违约承诺；</w:t>
                  </w:r>
                </w:p>
                <w:p w14:paraId="61D51CC2">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2.标本质量未达标的违约承诺。</w:t>
                  </w:r>
                </w:p>
                <w:p w14:paraId="527376A8">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bCs/>
                      <w:kern w:val="2"/>
                      <w:sz w:val="21"/>
                      <w:szCs w:val="21"/>
                      <w:lang w:val="en-US" w:eastAsia="zh-CN" w:bidi="ar"/>
                    </w:rPr>
                    <w:t>（二）评分依据：</w:t>
                  </w:r>
                </w:p>
                <w:p w14:paraId="660E1DF8">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val="0"/>
                      <w:bCs w:val="0"/>
                      <w:kern w:val="2"/>
                      <w:sz w:val="21"/>
                      <w:szCs w:val="21"/>
                      <w:lang w:val="en-US" w:eastAsia="zh-CN" w:bidi="ar"/>
                    </w:rPr>
                    <w:t>满足以上全部两项内容的得5分，其他情况不得分。要求提供承诺函加盖投标人公章（格式自定）作为得分依据，未提供承诺或承诺内容不满足要求或提供的承诺不清晰导致评委无法判断的，均不得分。</w:t>
                  </w:r>
                </w:p>
              </w:tc>
            </w:tr>
            <w:tr w14:paraId="781D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Merge w:val="restart"/>
                  <w:tcBorders>
                    <w:top w:val="single" w:color="auto" w:sz="4" w:space="0"/>
                    <w:left w:val="single" w:color="auto" w:sz="4" w:space="0"/>
                    <w:right w:val="single" w:color="auto" w:sz="4" w:space="0"/>
                  </w:tcBorders>
                </w:tcPr>
                <w:p w14:paraId="59E937B4">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3</w:t>
                  </w:r>
                </w:p>
              </w:tc>
              <w:tc>
                <w:tcPr>
                  <w:tcW w:w="1589" w:type="pct"/>
                  <w:gridSpan w:val="3"/>
                  <w:tcBorders>
                    <w:top w:val="single" w:color="auto" w:sz="4" w:space="0"/>
                    <w:left w:val="single" w:color="auto" w:sz="4" w:space="0"/>
                    <w:bottom w:val="single" w:color="auto" w:sz="4" w:space="0"/>
                    <w:right w:val="single" w:color="auto" w:sz="4" w:space="0"/>
                  </w:tcBorders>
                </w:tcPr>
                <w:p w14:paraId="3FB680AC">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商务</w:t>
                  </w:r>
                  <w:r>
                    <w:rPr>
                      <w:rFonts w:hint="eastAsia" w:ascii="仿宋" w:hAnsi="仿宋" w:eastAsia="仿宋" w:cs="仿宋"/>
                      <w:b/>
                      <w:bCs/>
                      <w:color w:val="auto"/>
                      <w:sz w:val="21"/>
                      <w:szCs w:val="21"/>
                      <w:highlight w:val="none"/>
                    </w:rPr>
                    <w:t>部分</w:t>
                  </w:r>
                </w:p>
              </w:tc>
              <w:tc>
                <w:tcPr>
                  <w:tcW w:w="3018" w:type="pct"/>
                  <w:tcBorders>
                    <w:top w:val="single" w:color="auto" w:sz="4" w:space="0"/>
                    <w:left w:val="single" w:color="auto" w:sz="4" w:space="0"/>
                    <w:bottom w:val="single" w:color="auto" w:sz="4" w:space="0"/>
                    <w:right w:val="single" w:color="auto" w:sz="4" w:space="0"/>
                  </w:tcBorders>
                </w:tcPr>
                <w:p w14:paraId="107771E0">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Cs w:val="21"/>
                      <w:highlight w:val="none"/>
                      <w:lang w:val="en-US" w:eastAsia="zh-CN"/>
                    </w:rPr>
                    <w:t>45</w:t>
                  </w:r>
                </w:p>
              </w:tc>
            </w:tr>
            <w:tr w14:paraId="2CB6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392" w:type="pct"/>
                  <w:vMerge w:val="continue"/>
                  <w:tcBorders>
                    <w:left w:val="single" w:color="auto" w:sz="4" w:space="0"/>
                    <w:right w:val="single" w:color="auto" w:sz="4" w:space="0"/>
                  </w:tcBorders>
                </w:tcPr>
                <w:p w14:paraId="08162266">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tcPr>
                <w:p w14:paraId="2E4CE3FA">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行号</w:t>
                  </w:r>
                </w:p>
              </w:tc>
              <w:tc>
                <w:tcPr>
                  <w:tcW w:w="761" w:type="pct"/>
                  <w:tcBorders>
                    <w:top w:val="single" w:color="auto" w:sz="4" w:space="0"/>
                    <w:left w:val="single" w:color="auto" w:sz="4" w:space="0"/>
                    <w:bottom w:val="single" w:color="auto" w:sz="4" w:space="0"/>
                    <w:right w:val="single" w:color="auto" w:sz="4" w:space="0"/>
                  </w:tcBorders>
                </w:tcPr>
                <w:p w14:paraId="004B3E55">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评分因素</w:t>
                  </w:r>
                </w:p>
              </w:tc>
              <w:tc>
                <w:tcPr>
                  <w:tcW w:w="415" w:type="pct"/>
                  <w:tcBorders>
                    <w:top w:val="single" w:color="auto" w:sz="4" w:space="0"/>
                    <w:left w:val="single" w:color="auto" w:sz="4" w:space="0"/>
                    <w:bottom w:val="single" w:color="auto" w:sz="4" w:space="0"/>
                    <w:right w:val="single" w:color="auto" w:sz="4" w:space="0"/>
                  </w:tcBorders>
                </w:tcPr>
                <w:p w14:paraId="79C95DC5">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权重</w:t>
                  </w:r>
                </w:p>
              </w:tc>
              <w:tc>
                <w:tcPr>
                  <w:tcW w:w="3018" w:type="pct"/>
                  <w:tcBorders>
                    <w:top w:val="single" w:color="auto" w:sz="4" w:space="0"/>
                    <w:left w:val="single" w:color="auto" w:sz="4" w:space="0"/>
                    <w:bottom w:val="single" w:color="auto" w:sz="4" w:space="0"/>
                    <w:right w:val="single" w:color="auto" w:sz="4" w:space="0"/>
                  </w:tcBorders>
                </w:tcPr>
                <w:p w14:paraId="79907135">
                  <w:pPr>
                    <w:keepNext w:val="0"/>
                    <w:keepLines w:val="0"/>
                    <w:pageBreakBefore w:val="0"/>
                    <w:suppressLineNumbers w:val="0"/>
                    <w:kinsoku/>
                    <w:overflowPunct/>
                    <w:topLinePunct w:val="0"/>
                    <w:bidi w:val="0"/>
                    <w:spacing w:before="0" w:beforeAutospacing="0" w:after="0" w:afterAutospacing="0" w:line="240" w:lineRule="auto"/>
                    <w:ind w:left="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评分准则</w:t>
                  </w:r>
                </w:p>
              </w:tc>
            </w:tr>
            <w:tr w14:paraId="0C5BF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392" w:type="pct"/>
                  <w:vMerge w:val="continue"/>
                  <w:tcBorders>
                    <w:left w:val="single" w:color="auto" w:sz="4" w:space="0"/>
                    <w:right w:val="single" w:color="auto" w:sz="4" w:space="0"/>
                  </w:tcBorders>
                  <w:vAlign w:val="center"/>
                </w:tcPr>
                <w:p w14:paraId="1A3D945B">
                  <w:pPr>
                    <w:keepNext w:val="0"/>
                    <w:keepLines w:val="0"/>
                    <w:pageBreakBefore w:val="0"/>
                    <w:widowControl/>
                    <w:suppressLineNumbers w:val="0"/>
                    <w:kinsoku/>
                    <w:overflowPunct/>
                    <w:topLinePunct w:val="0"/>
                    <w:bidi w:val="0"/>
                    <w:spacing w:before="0" w:beforeAutospacing="0" w:after="0" w:afterAutospacing="0" w:line="240" w:lineRule="auto"/>
                    <w:ind w:left="0" w:right="0" w:rightChars="0" w:firstLine="0" w:firstLineChars="0"/>
                    <w:jc w:val="left"/>
                    <w:rPr>
                      <w:rFonts w:hint="eastAsia" w:ascii="仿宋" w:hAnsi="仿宋" w:eastAsia="仿宋" w:cs="仿宋"/>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5D3363E0">
                  <w:pPr>
                    <w:keepNext w:val="0"/>
                    <w:keepLines w:val="0"/>
                    <w:pageBreakBefore w:val="0"/>
                    <w:widowControl w:val="0"/>
                    <w:suppressLineNumbers w:val="0"/>
                    <w:kinsoku/>
                    <w:overflowPunct/>
                    <w:topLinePunct w:val="0"/>
                    <w:bidi w:val="0"/>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1</w:t>
                  </w:r>
                </w:p>
              </w:tc>
              <w:tc>
                <w:tcPr>
                  <w:tcW w:w="761" w:type="pct"/>
                  <w:tcBorders>
                    <w:top w:val="single" w:color="auto" w:sz="4" w:space="0"/>
                    <w:left w:val="single" w:color="auto" w:sz="4" w:space="0"/>
                    <w:bottom w:val="single" w:color="auto" w:sz="4" w:space="0"/>
                    <w:right w:val="single" w:color="auto" w:sz="4" w:space="0"/>
                  </w:tcBorders>
                  <w:vAlign w:val="center"/>
                </w:tcPr>
                <w:p w14:paraId="0BB244BA">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投标人同类项目业绩情况</w:t>
                  </w:r>
                </w:p>
              </w:tc>
              <w:tc>
                <w:tcPr>
                  <w:tcW w:w="415" w:type="pct"/>
                  <w:tcBorders>
                    <w:top w:val="single" w:color="auto" w:sz="4" w:space="0"/>
                    <w:left w:val="single" w:color="auto" w:sz="4" w:space="0"/>
                    <w:bottom w:val="single" w:color="auto" w:sz="4" w:space="0"/>
                    <w:right w:val="single" w:color="auto" w:sz="4" w:space="0"/>
                  </w:tcBorders>
                  <w:vAlign w:val="center"/>
                </w:tcPr>
                <w:p w14:paraId="3D2A031E">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15</w:t>
                  </w:r>
                </w:p>
              </w:tc>
              <w:tc>
                <w:tcPr>
                  <w:tcW w:w="3018" w:type="pct"/>
                  <w:tcBorders>
                    <w:top w:val="single" w:color="auto" w:sz="4" w:space="0"/>
                    <w:left w:val="single" w:color="auto" w:sz="4" w:space="0"/>
                    <w:bottom w:val="single" w:color="auto" w:sz="4" w:space="0"/>
                    <w:right w:val="single" w:color="auto" w:sz="4" w:space="0"/>
                  </w:tcBorders>
                  <w:vAlign w:val="center"/>
                </w:tcPr>
                <w:p w14:paraId="769C425B">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bCs/>
                      <w:kern w:val="2"/>
                      <w:sz w:val="21"/>
                      <w:szCs w:val="21"/>
                      <w:lang w:val="en-US" w:eastAsia="zh-CN" w:bidi="ar"/>
                    </w:rPr>
                    <w:t>（一）评审内容：</w:t>
                  </w:r>
                </w:p>
                <w:p w14:paraId="3EFC96F6">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1.考察投标人自2020年11月1日至本项目投标截止时间（以合同签订日为准），承担过国家行政机关或事业单位的古生物化石修复项目情况。提供相关业绩合同的证明文件。每提供一个有效业绩的得5分，累计最高得15分。同一单位的合同可累计得分，同一项目续签合同的不可重复得分。</w:t>
                  </w:r>
                </w:p>
                <w:p w14:paraId="68F719FE">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bCs/>
                      <w:kern w:val="2"/>
                      <w:sz w:val="21"/>
                      <w:szCs w:val="21"/>
                      <w:lang w:val="en-US" w:eastAsia="zh-CN" w:bidi="ar"/>
                    </w:rPr>
                    <w:t>（二）评分依据：</w:t>
                  </w:r>
                </w:p>
                <w:p w14:paraId="6599335F">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1.提供合同关键信息（包含合同的项目名称、服务内容、甲乙双方签字盖章页、合同签订时间等）作为得分依据。</w:t>
                  </w:r>
                </w:p>
                <w:p w14:paraId="79DFB132">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val="0"/>
                      <w:bCs w:val="0"/>
                      <w:kern w:val="2"/>
                      <w:sz w:val="21"/>
                      <w:szCs w:val="21"/>
                      <w:lang w:val="en-US" w:eastAsia="zh-CN" w:bidi="ar"/>
                    </w:rPr>
                    <w:t>2.以上证明材料均须提供复印件或扫描件</w:t>
                  </w:r>
                  <w:r>
                    <w:rPr>
                      <w:rFonts w:hint="eastAsia" w:ascii="仿宋" w:hAnsi="仿宋" w:eastAsia="仿宋" w:cs="仿宋"/>
                      <w:b/>
                      <w:bCs/>
                      <w:color w:val="FF0000"/>
                      <w:kern w:val="2"/>
                      <w:sz w:val="21"/>
                      <w:szCs w:val="21"/>
                      <w:lang w:val="en-US" w:eastAsia="zh-CN" w:bidi="ar"/>
                    </w:rPr>
                    <w:t>并加盖投标人公章</w:t>
                  </w:r>
                  <w:r>
                    <w:rPr>
                      <w:rFonts w:hint="eastAsia" w:ascii="仿宋" w:hAnsi="仿宋" w:eastAsia="仿宋" w:cs="仿宋"/>
                      <w:b w:val="0"/>
                      <w:bCs w:val="0"/>
                      <w:kern w:val="2"/>
                      <w:sz w:val="21"/>
                      <w:szCs w:val="21"/>
                      <w:lang w:val="en-US" w:eastAsia="zh-CN" w:bidi="ar"/>
                    </w:rPr>
                    <w:t>，评分中出现无证明材料或未按要求提供相关证明材料或评委无法凭所提供的相关证明材料判断是否得分的情况，一律作不得分处理。</w:t>
                  </w:r>
                </w:p>
              </w:tc>
            </w:tr>
            <w:tr w14:paraId="71AC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392" w:type="pct"/>
                  <w:vMerge w:val="continue"/>
                  <w:tcBorders>
                    <w:left w:val="single" w:color="auto" w:sz="4" w:space="0"/>
                    <w:right w:val="single" w:color="auto" w:sz="4" w:space="0"/>
                  </w:tcBorders>
                  <w:vAlign w:val="center"/>
                </w:tcPr>
                <w:p w14:paraId="5CE02579">
                  <w:pPr>
                    <w:keepNext w:val="0"/>
                    <w:keepLines w:val="0"/>
                    <w:pageBreakBefore w:val="0"/>
                    <w:widowControl/>
                    <w:suppressLineNumbers w:val="0"/>
                    <w:kinsoku/>
                    <w:overflowPunct/>
                    <w:topLinePunct w:val="0"/>
                    <w:bidi w:val="0"/>
                    <w:spacing w:before="0" w:beforeAutospacing="0" w:after="0" w:afterAutospacing="0" w:line="240" w:lineRule="auto"/>
                    <w:ind w:left="0" w:right="0" w:rightChars="0" w:firstLine="0" w:firstLineChars="0"/>
                    <w:jc w:val="left"/>
                    <w:rPr>
                      <w:rFonts w:hint="eastAsia" w:ascii="仿宋" w:hAnsi="仿宋" w:eastAsia="仿宋" w:cs="仿宋"/>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5B9ACB25">
                  <w:pPr>
                    <w:keepNext w:val="0"/>
                    <w:keepLines w:val="0"/>
                    <w:pageBreakBefore w:val="0"/>
                    <w:widowControl w:val="0"/>
                    <w:suppressLineNumbers w:val="0"/>
                    <w:kinsoku/>
                    <w:overflowPunct/>
                    <w:topLinePunct w:val="0"/>
                    <w:bidi w:val="0"/>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761" w:type="pct"/>
                  <w:tcBorders>
                    <w:top w:val="single" w:color="auto" w:sz="4" w:space="0"/>
                    <w:left w:val="single" w:color="auto" w:sz="4" w:space="0"/>
                    <w:bottom w:val="single" w:color="auto" w:sz="4" w:space="0"/>
                    <w:right w:val="single" w:color="auto" w:sz="4" w:space="0"/>
                  </w:tcBorders>
                  <w:vAlign w:val="center"/>
                </w:tcPr>
                <w:p w14:paraId="38A55919">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人员配备</w:t>
                  </w:r>
                </w:p>
              </w:tc>
              <w:tc>
                <w:tcPr>
                  <w:tcW w:w="415" w:type="pct"/>
                  <w:tcBorders>
                    <w:top w:val="single" w:color="auto" w:sz="4" w:space="0"/>
                    <w:left w:val="single" w:color="auto" w:sz="4" w:space="0"/>
                    <w:bottom w:val="single" w:color="auto" w:sz="4" w:space="0"/>
                    <w:right w:val="single" w:color="auto" w:sz="4" w:space="0"/>
                  </w:tcBorders>
                  <w:vAlign w:val="center"/>
                </w:tcPr>
                <w:p w14:paraId="1889F681">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15</w:t>
                  </w:r>
                </w:p>
              </w:tc>
              <w:tc>
                <w:tcPr>
                  <w:tcW w:w="3018" w:type="pct"/>
                  <w:tcBorders>
                    <w:top w:val="single" w:color="auto" w:sz="4" w:space="0"/>
                    <w:left w:val="single" w:color="auto" w:sz="4" w:space="0"/>
                    <w:bottom w:val="single" w:color="auto" w:sz="4" w:space="0"/>
                    <w:right w:val="single" w:color="auto" w:sz="4" w:space="0"/>
                  </w:tcBorders>
                  <w:vAlign w:val="center"/>
                </w:tcPr>
                <w:p w14:paraId="204DC7EE">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bCs/>
                      <w:kern w:val="2"/>
                      <w:sz w:val="21"/>
                      <w:szCs w:val="21"/>
                      <w:lang w:val="en-US" w:eastAsia="zh-CN" w:bidi="ar"/>
                    </w:rPr>
                    <w:t>（一）评审内容</w:t>
                  </w:r>
                </w:p>
                <w:p w14:paraId="46AA09CB">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拟安排的项目团队成员不少于6人，且为投标人自有员工，否则本项不得分，在此基础上按以下标准评分：</w:t>
                  </w:r>
                </w:p>
                <w:p w14:paraId="73712298">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1.项目团队成员具有古生物化石修复经历并具有中级或以上职称的，每人得2分，本小项累计最高得10分。</w:t>
                  </w:r>
                </w:p>
                <w:p w14:paraId="75765FA4">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2.自2020年11月1日至本项目投标截止时间（以合同签订日为准），投标人项目团队成员独立承担修复的化石标本发表在中科院一区期刊上的得1分，本小项累计最高得5分。</w:t>
                  </w:r>
                </w:p>
                <w:p w14:paraId="767C4AA3">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bCs/>
                      <w:kern w:val="2"/>
                      <w:sz w:val="21"/>
                      <w:szCs w:val="21"/>
                      <w:lang w:val="en-US" w:eastAsia="zh-CN" w:bidi="ar"/>
                    </w:rPr>
                    <w:t>（二）评分依据：</w:t>
                  </w:r>
                </w:p>
                <w:p w14:paraId="494278D4">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1.要求提供通过投标人缴纳的近三个月（含开标当月）的任意一个月的社保证明作为本单位员工的证明依据。如供应商成立不足一个月的，提供情况说明函（格式自拟），无需提供相关人员社保，亦可得分。</w:t>
                  </w:r>
                  <w:r>
                    <w:rPr>
                      <w:rFonts w:hint="eastAsia" w:ascii="仿宋" w:hAnsi="仿宋" w:eastAsia="仿宋" w:cs="仿宋"/>
                      <w:kern w:val="2"/>
                      <w:szCs w:val="21"/>
                      <w:lang w:bidi="ar"/>
                    </w:rPr>
                    <w:t>若为退休或返聘人员需提供说明函（格式自拟），无需提供相关人员社保亦可得分。</w:t>
                  </w:r>
                </w:p>
                <w:p w14:paraId="6D743F59">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2.涉及古生物化石修复经历的，</w:t>
                  </w:r>
                  <w:r>
                    <w:rPr>
                      <w:rFonts w:hint="eastAsia" w:ascii="仿宋" w:hAnsi="仿宋" w:eastAsia="仿宋" w:cs="仿宋"/>
                      <w:b/>
                      <w:bCs/>
                      <w:color w:val="FF0000"/>
                      <w:kern w:val="2"/>
                      <w:sz w:val="21"/>
                      <w:szCs w:val="21"/>
                      <w:lang w:val="en-US" w:eastAsia="zh-CN" w:bidi="ar"/>
                    </w:rPr>
                    <w:t>需投标人提供承诺函承诺该人员具备古生物化石修复经历（格式自拟，需加盖公章）。</w:t>
                  </w:r>
                </w:p>
                <w:p w14:paraId="34AD47FA">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3.涉及职称的，要求提供具有人力资源和社会保障部门或其他具备职称评定资格的单位或机构颁发的职称证明复印件或扫描件。</w:t>
                  </w:r>
                </w:p>
                <w:p w14:paraId="6C942108">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4.涉及修复的化石标本论文发表的，提供所修复的化石标本在中科院一区期刊上发表的论文，</w:t>
                  </w:r>
                  <w:r>
                    <w:rPr>
                      <w:rFonts w:hint="eastAsia" w:ascii="仿宋" w:hAnsi="仿宋" w:eastAsia="仿宋" w:cs="仿宋"/>
                      <w:b/>
                      <w:bCs/>
                      <w:color w:val="FF0000"/>
                      <w:kern w:val="2"/>
                      <w:sz w:val="21"/>
                      <w:szCs w:val="21"/>
                      <w:lang w:val="en-US" w:eastAsia="zh-CN" w:bidi="ar"/>
                    </w:rPr>
                    <w:t>以及论文第一作者或通讯作者所在单位的证明材料（需加盖公章），需证明论文所发表的相关化石标本是由投标人项目团队成员承担修复。</w:t>
                  </w:r>
                </w:p>
                <w:p w14:paraId="06C147FC">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val="0"/>
                      <w:bCs w:val="0"/>
                      <w:kern w:val="2"/>
                      <w:sz w:val="21"/>
                      <w:szCs w:val="21"/>
                      <w:lang w:val="en-US" w:eastAsia="zh-CN" w:bidi="ar"/>
                    </w:rPr>
                    <w:t>5.以上证明材料均须提供复印件或扫描件加盖投标人公章，评分中出现无证明资料或评委无法凭所提供资料判断是否得分的情况，一律作不得分处理。</w:t>
                  </w:r>
                </w:p>
              </w:tc>
            </w:tr>
            <w:tr w14:paraId="6531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392" w:type="pct"/>
                  <w:vMerge w:val="continue"/>
                  <w:tcBorders>
                    <w:left w:val="single" w:color="auto" w:sz="4" w:space="0"/>
                    <w:right w:val="single" w:color="auto" w:sz="4" w:space="0"/>
                  </w:tcBorders>
                  <w:vAlign w:val="center"/>
                </w:tcPr>
                <w:p w14:paraId="020ACBFF">
                  <w:pPr>
                    <w:keepNext w:val="0"/>
                    <w:keepLines w:val="0"/>
                    <w:pageBreakBefore w:val="0"/>
                    <w:widowControl/>
                    <w:suppressLineNumbers w:val="0"/>
                    <w:kinsoku/>
                    <w:overflowPunct/>
                    <w:topLinePunct w:val="0"/>
                    <w:bidi w:val="0"/>
                    <w:spacing w:before="0" w:beforeAutospacing="0" w:after="0" w:afterAutospacing="0" w:line="240" w:lineRule="auto"/>
                    <w:ind w:left="0" w:right="0" w:rightChars="0" w:firstLine="0" w:firstLineChars="0"/>
                    <w:jc w:val="left"/>
                    <w:rPr>
                      <w:rFonts w:hint="eastAsia" w:ascii="仿宋" w:hAnsi="仿宋" w:eastAsia="仿宋" w:cs="仿宋"/>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430113BD">
                  <w:pPr>
                    <w:keepNext w:val="0"/>
                    <w:keepLines w:val="0"/>
                    <w:pageBreakBefore w:val="0"/>
                    <w:widowControl w:val="0"/>
                    <w:suppressLineNumbers w:val="0"/>
                    <w:kinsoku/>
                    <w:overflowPunct/>
                    <w:topLinePunct w:val="0"/>
                    <w:bidi w:val="0"/>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p>
              </w:tc>
              <w:tc>
                <w:tcPr>
                  <w:tcW w:w="761" w:type="pct"/>
                  <w:tcBorders>
                    <w:top w:val="single" w:color="auto" w:sz="4" w:space="0"/>
                    <w:left w:val="single" w:color="auto" w:sz="4" w:space="0"/>
                    <w:bottom w:val="single" w:color="auto" w:sz="4" w:space="0"/>
                    <w:right w:val="single" w:color="auto" w:sz="4" w:space="0"/>
                  </w:tcBorders>
                  <w:vAlign w:val="center"/>
                </w:tcPr>
                <w:p w14:paraId="75A05E2D">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拟投入仪器、设备</w:t>
                  </w:r>
                </w:p>
                <w:p w14:paraId="59EA454B">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lang w:val="en-US" w:eastAsia="zh-CN" w:bidi="ar"/>
                    </w:rPr>
                  </w:pPr>
                </w:p>
              </w:tc>
              <w:tc>
                <w:tcPr>
                  <w:tcW w:w="415" w:type="pct"/>
                  <w:tcBorders>
                    <w:top w:val="single" w:color="auto" w:sz="4" w:space="0"/>
                    <w:left w:val="single" w:color="auto" w:sz="4" w:space="0"/>
                    <w:bottom w:val="single" w:color="auto" w:sz="4" w:space="0"/>
                    <w:right w:val="single" w:color="auto" w:sz="4" w:space="0"/>
                  </w:tcBorders>
                  <w:vAlign w:val="center"/>
                </w:tcPr>
                <w:p w14:paraId="4F53E5E4">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10</w:t>
                  </w:r>
                </w:p>
              </w:tc>
              <w:tc>
                <w:tcPr>
                  <w:tcW w:w="3018" w:type="pct"/>
                  <w:tcBorders>
                    <w:top w:val="single" w:color="auto" w:sz="4" w:space="0"/>
                    <w:left w:val="single" w:color="auto" w:sz="4" w:space="0"/>
                    <w:bottom w:val="single" w:color="auto" w:sz="4" w:space="0"/>
                    <w:right w:val="single" w:color="auto" w:sz="4" w:space="0"/>
                  </w:tcBorders>
                  <w:vAlign w:val="center"/>
                </w:tcPr>
                <w:p w14:paraId="5C80EBAB">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bCs/>
                      <w:kern w:val="2"/>
                      <w:sz w:val="21"/>
                      <w:szCs w:val="21"/>
                      <w:lang w:val="en-US" w:eastAsia="zh-CN" w:bidi="ar"/>
                    </w:rPr>
                    <w:t>（一）评分内容：</w:t>
                  </w:r>
                </w:p>
                <w:p w14:paraId="54008BF4">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投标人需有租赁或自有高精度计算机断层扫描（</w:t>
                  </w:r>
                  <w:r>
                    <w:rPr>
                      <w:rFonts w:hint="default" w:ascii="仿宋" w:hAnsi="仿宋" w:eastAsia="仿宋" w:cs="仿宋"/>
                      <w:b w:val="0"/>
                      <w:bCs w:val="0"/>
                      <w:kern w:val="2"/>
                      <w:sz w:val="21"/>
                      <w:szCs w:val="21"/>
                      <w:lang w:val="en-US" w:eastAsia="zh-CN" w:bidi="ar"/>
                    </w:rPr>
                    <w:t>CT</w:t>
                  </w:r>
                  <w:r>
                    <w:rPr>
                      <w:rFonts w:hint="eastAsia" w:ascii="仿宋" w:hAnsi="仿宋" w:eastAsia="仿宋" w:cs="仿宋"/>
                      <w:b w:val="0"/>
                      <w:bCs w:val="0"/>
                      <w:kern w:val="2"/>
                      <w:sz w:val="21"/>
                      <w:szCs w:val="21"/>
                      <w:lang w:val="en-US" w:eastAsia="zh-CN" w:bidi="ar"/>
                    </w:rPr>
                    <w:t>）设备，及提供该设备用于本项目的承诺函(格式自拟)，每提供1台得5 分，最高得10分。</w:t>
                  </w:r>
                </w:p>
                <w:p w14:paraId="65308564">
                  <w:pPr>
                    <w:keepNext w:val="0"/>
                    <w:keepLines w:val="0"/>
                    <w:widowControl w:val="0"/>
                    <w:suppressLineNumbers w:val="0"/>
                    <w:wordWrap w:val="0"/>
                    <w:spacing w:before="0" w:beforeAutospacing="0" w:after="0" w:afterAutospacing="0"/>
                    <w:ind w:left="0" w:right="0" w:rightChars="0" w:firstLine="0" w:firstLineChars="0"/>
                    <w:jc w:val="both"/>
                    <w:rPr>
                      <w:rFonts w:hint="default"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CT设备要求：精度不低于800nm（数值越低，精度越高）的CT。</w:t>
                  </w:r>
                </w:p>
                <w:p w14:paraId="55EABB2D">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bCs/>
                      <w:kern w:val="2"/>
                      <w:sz w:val="21"/>
                      <w:szCs w:val="21"/>
                      <w:lang w:val="en-US" w:eastAsia="zh-CN" w:bidi="ar"/>
                    </w:rPr>
                    <w:t>（二）评分依据：</w:t>
                  </w:r>
                </w:p>
                <w:p w14:paraId="1BD7D085">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val="0"/>
                      <w:bCs w:val="0"/>
                      <w:kern w:val="2"/>
                      <w:sz w:val="21"/>
                      <w:szCs w:val="21"/>
                      <w:lang w:val="en-US" w:eastAsia="zh-CN" w:bidi="ar"/>
                    </w:rPr>
                  </w:pPr>
                  <w:r>
                    <w:rPr>
                      <w:rFonts w:hint="eastAsia" w:ascii="仿宋" w:hAnsi="仿宋" w:eastAsia="仿宋" w:cs="仿宋"/>
                      <w:b w:val="0"/>
                      <w:bCs w:val="0"/>
                      <w:kern w:val="2"/>
                      <w:sz w:val="21"/>
                      <w:szCs w:val="21"/>
                      <w:lang w:val="en-US" w:eastAsia="zh-CN" w:bidi="ar"/>
                    </w:rPr>
                    <w:t>1.如自有的设备，需提供发票以及图片证明材料，如租赁的设备，需提供租赁合同、合同甲方购买发票以及图片证明材料。</w:t>
                  </w:r>
                  <w:r>
                    <w:rPr>
                      <w:rFonts w:hint="eastAsia" w:ascii="仿宋" w:hAnsi="仿宋" w:eastAsia="仿宋" w:cs="仿宋"/>
                      <w:b/>
                      <w:bCs/>
                      <w:color w:val="FF0000"/>
                      <w:kern w:val="2"/>
                      <w:sz w:val="21"/>
                      <w:szCs w:val="21"/>
                      <w:lang w:val="en-US" w:eastAsia="zh-CN" w:bidi="ar"/>
                    </w:rPr>
                    <w:t>同时提供将以上设备用于本项目的承诺函(格式自拟)。</w:t>
                  </w:r>
                </w:p>
                <w:p w14:paraId="49B24309">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lang w:val="en-US" w:eastAsia="zh-CN" w:bidi="ar"/>
                    </w:rPr>
                  </w:pPr>
                  <w:r>
                    <w:rPr>
                      <w:rFonts w:hint="eastAsia" w:ascii="仿宋" w:hAnsi="仿宋" w:eastAsia="仿宋" w:cs="仿宋"/>
                      <w:b w:val="0"/>
                      <w:bCs w:val="0"/>
                      <w:kern w:val="2"/>
                      <w:sz w:val="21"/>
                      <w:szCs w:val="21"/>
                      <w:lang w:val="en-US" w:eastAsia="zh-CN" w:bidi="ar"/>
                    </w:rPr>
                    <w:t>2.未提供相关证明材料或证明材料不满足要求或提供的证明材料不清晰的或未提供承诺函或承诺内容不满足要求的或承诺内容不清楚导致评委无法判断是否得分的，均不得分。</w:t>
                  </w:r>
                </w:p>
              </w:tc>
            </w:tr>
            <w:tr w14:paraId="0740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392" w:type="pct"/>
                  <w:vMerge w:val="continue"/>
                  <w:tcBorders>
                    <w:left w:val="single" w:color="auto" w:sz="4" w:space="0"/>
                    <w:right w:val="single" w:color="auto" w:sz="4" w:space="0"/>
                  </w:tcBorders>
                  <w:vAlign w:val="center"/>
                </w:tcPr>
                <w:p w14:paraId="7FE9932C">
                  <w:pPr>
                    <w:keepNext w:val="0"/>
                    <w:keepLines w:val="0"/>
                    <w:pageBreakBefore w:val="0"/>
                    <w:widowControl/>
                    <w:suppressLineNumbers w:val="0"/>
                    <w:kinsoku/>
                    <w:overflowPunct/>
                    <w:topLinePunct w:val="0"/>
                    <w:bidi w:val="0"/>
                    <w:spacing w:before="0" w:beforeAutospacing="0" w:after="0" w:afterAutospacing="0" w:line="240" w:lineRule="auto"/>
                    <w:ind w:left="0" w:right="0" w:rightChars="0" w:firstLine="0" w:firstLineChars="0"/>
                    <w:jc w:val="left"/>
                    <w:rPr>
                      <w:rFonts w:hint="eastAsia" w:ascii="仿宋" w:hAnsi="仿宋" w:eastAsia="仿宋" w:cs="仿宋"/>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32BE325E">
                  <w:pPr>
                    <w:keepNext w:val="0"/>
                    <w:keepLines w:val="0"/>
                    <w:pageBreakBefore w:val="0"/>
                    <w:widowControl w:val="0"/>
                    <w:suppressLineNumbers w:val="0"/>
                    <w:kinsoku/>
                    <w:overflowPunct/>
                    <w:topLinePunct w:val="0"/>
                    <w:bidi w:val="0"/>
                    <w:snapToGrid/>
                    <w:spacing w:before="0" w:beforeAutospacing="0" w:after="0" w:afterAutospacing="0" w:line="240" w:lineRule="auto"/>
                    <w:ind w:left="0" w:leftChars="0" w:right="0" w:rightChars="0"/>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761" w:type="pct"/>
                  <w:tcBorders>
                    <w:top w:val="single" w:color="auto" w:sz="4" w:space="0"/>
                    <w:left w:val="single" w:color="auto" w:sz="4" w:space="0"/>
                    <w:bottom w:val="single" w:color="auto" w:sz="4" w:space="0"/>
                    <w:right w:val="single" w:color="auto" w:sz="4" w:space="0"/>
                  </w:tcBorders>
                  <w:vAlign w:val="center"/>
                </w:tcPr>
                <w:p w14:paraId="64F9EC08">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kern w:val="2"/>
                      <w:sz w:val="21"/>
                      <w:szCs w:val="21"/>
                      <w:lang w:val="en-US" w:eastAsia="zh-CN" w:bidi="ar"/>
                    </w:rPr>
                    <w:t>诚信评价</w:t>
                  </w:r>
                </w:p>
              </w:tc>
              <w:tc>
                <w:tcPr>
                  <w:tcW w:w="415" w:type="pct"/>
                  <w:tcBorders>
                    <w:top w:val="single" w:color="auto" w:sz="4" w:space="0"/>
                    <w:left w:val="single" w:color="auto" w:sz="4" w:space="0"/>
                    <w:bottom w:val="single" w:color="auto" w:sz="4" w:space="0"/>
                    <w:right w:val="single" w:color="auto" w:sz="4" w:space="0"/>
                  </w:tcBorders>
                  <w:vAlign w:val="center"/>
                </w:tcPr>
                <w:p w14:paraId="4EFB9271">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kern w:val="2"/>
                      <w:sz w:val="21"/>
                      <w:szCs w:val="21"/>
                      <w:lang w:val="en-US" w:eastAsia="zh-CN" w:bidi="ar"/>
                    </w:rPr>
                  </w:pPr>
                  <w:r>
                    <w:rPr>
                      <w:rFonts w:hint="eastAsia" w:ascii="仿宋" w:hAnsi="仿宋" w:eastAsia="仿宋" w:cs="仿宋"/>
                      <w:kern w:val="2"/>
                      <w:sz w:val="21"/>
                      <w:szCs w:val="21"/>
                      <w:lang w:val="en-US" w:eastAsia="zh-CN" w:bidi="ar"/>
                    </w:rPr>
                    <w:t>5</w:t>
                  </w:r>
                </w:p>
              </w:tc>
              <w:tc>
                <w:tcPr>
                  <w:tcW w:w="3018" w:type="pct"/>
                  <w:tcBorders>
                    <w:top w:val="single" w:color="auto" w:sz="4" w:space="0"/>
                    <w:left w:val="single" w:color="auto" w:sz="4" w:space="0"/>
                    <w:bottom w:val="single" w:color="auto" w:sz="4" w:space="0"/>
                    <w:right w:val="single" w:color="auto" w:sz="4" w:space="0"/>
                  </w:tcBorders>
                  <w:vAlign w:val="top"/>
                </w:tcPr>
                <w:p w14:paraId="08682CD9">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（一）评分内容：</w:t>
                  </w:r>
                </w:p>
                <w:p w14:paraId="40F2AC8B">
                  <w:pPr>
                    <w:keepNext w:val="0"/>
                    <w:keepLines w:val="0"/>
                    <w:widowControl w:val="0"/>
                    <w:suppressLineNumbers w:val="0"/>
                    <w:spacing w:before="0" w:beforeAutospacing="0" w:after="0" w:afterAutospacing="0"/>
                    <w:ind w:left="0" w:right="0" w:rightChars="0" w:firstLine="0" w:firstLineChars="0"/>
                    <w:jc w:val="left"/>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集中采购活动中的一般违法失信行为记录信息，且在公示期内的，本项不得分，否则得满分。</w:t>
                  </w:r>
                </w:p>
                <w:p w14:paraId="3869F211">
                  <w:pPr>
                    <w:keepNext w:val="0"/>
                    <w:keepLines w:val="0"/>
                    <w:widowControl w:val="0"/>
                    <w:suppressLineNumbers w:val="0"/>
                    <w:wordWrap w:val="0"/>
                    <w:spacing w:before="0" w:beforeAutospacing="0" w:after="0" w:afterAutospacing="0"/>
                    <w:ind w:left="0" w:right="0" w:rightChars="0" w:firstLine="0" w:firstLineChars="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（二）评分依据:</w:t>
                  </w:r>
                </w:p>
                <w:p w14:paraId="2D278AEE">
                  <w:pPr>
                    <w:keepNext w:val="0"/>
                    <w:keepLines w:val="0"/>
                    <w:widowControl w:val="0"/>
                    <w:suppressLineNumbers w:val="0"/>
                    <w:spacing w:before="0" w:beforeAutospacing="0" w:after="0" w:afterAutospacing="0"/>
                    <w:ind w:left="0" w:leftChars="0" w:right="0" w:rightChars="0" w:firstLine="0" w:firstLineChars="0"/>
                    <w:jc w:val="left"/>
                    <w:rPr>
                      <w:rFonts w:hint="eastAsia" w:ascii="宋体" w:hAnsi="宋体" w:eastAsia="宋体" w:cs="宋体"/>
                      <w:kern w:val="2"/>
                      <w:sz w:val="21"/>
                      <w:szCs w:val="21"/>
                      <w:lang w:val="en-US" w:eastAsia="zh-CN" w:bidi="ar"/>
                    </w:rPr>
                  </w:pPr>
                  <w:r>
                    <w:rPr>
                      <w:rFonts w:hint="eastAsia" w:ascii="仿宋" w:hAnsi="仿宋" w:eastAsia="仿宋" w:cs="仿宋"/>
                      <w:kern w:val="2"/>
                      <w:sz w:val="21"/>
                      <w:szCs w:val="21"/>
                      <w:lang w:val="en-US" w:eastAsia="zh-CN" w:bidi="ar"/>
                    </w:rPr>
                    <w:t>采购代理机构通过“信用中国”“中国政府采购网”“深圳市政府采购监管网”以及市、区财政部门认定的其他渠道查询供应商信用信息，投标人无需提供证明材料。</w:t>
                  </w:r>
                </w:p>
              </w:tc>
            </w:tr>
          </w:tbl>
          <w:p w14:paraId="0DBF1C15">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b/>
                <w:sz w:val="24"/>
                <w:szCs w:val="24"/>
                <w:highlight w:val="none"/>
              </w:rPr>
            </w:pPr>
          </w:p>
        </w:tc>
      </w:tr>
    </w:tbl>
    <w:p w14:paraId="402F20E7">
      <w:pPr>
        <w:rPr>
          <w:rFonts w:hint="eastAsia" w:ascii="仿宋" w:hAnsi="仿宋" w:eastAsia="仿宋" w:cs="仿宋"/>
          <w:highlight w:val="none"/>
        </w:rPr>
      </w:pPr>
      <w:r>
        <w:rPr>
          <w:rFonts w:hint="eastAsia" w:ascii="仿宋" w:hAnsi="仿宋" w:eastAsia="仿宋" w:cs="仿宋"/>
          <w:highlight w:val="none"/>
        </w:rPr>
        <w:t>注：</w:t>
      </w:r>
    </w:p>
    <w:p w14:paraId="4955DB81">
      <w:pPr>
        <w:ind w:firstLine="420" w:firstLineChars="200"/>
        <w:rPr>
          <w:rFonts w:hint="eastAsia" w:ascii="仿宋" w:hAnsi="仿宋" w:eastAsia="仿宋" w:cs="仿宋"/>
          <w:highlight w:val="none"/>
        </w:rPr>
      </w:pPr>
      <w:r>
        <w:rPr>
          <w:rFonts w:hint="eastAsia" w:ascii="仿宋" w:hAnsi="仿宋" w:eastAsia="仿宋" w:cs="仿宋"/>
          <w:highlight w:val="none"/>
        </w:rPr>
        <w:t>1. 每一项的得分均不能超过该项最高分值。</w:t>
      </w:r>
    </w:p>
    <w:p w14:paraId="56CA6EC7">
      <w:pPr>
        <w:ind w:firstLine="420" w:firstLineChars="200"/>
        <w:rPr>
          <w:rFonts w:hint="eastAsia" w:ascii="仿宋" w:hAnsi="仿宋" w:eastAsia="仿宋" w:cs="仿宋"/>
          <w:highlight w:val="none"/>
        </w:rPr>
      </w:pPr>
      <w:r>
        <w:rPr>
          <w:rFonts w:hint="eastAsia" w:ascii="仿宋" w:hAnsi="仿宋" w:eastAsia="仿宋" w:cs="仿宋"/>
          <w:highlight w:val="none"/>
        </w:rPr>
        <w:t>2. 缺项则该项为0分或不合格为0分。</w:t>
      </w:r>
    </w:p>
    <w:p w14:paraId="544D28F1">
      <w:pPr>
        <w:ind w:firstLine="420" w:firstLineChars="200"/>
        <w:rPr>
          <w:rFonts w:hint="eastAsia" w:ascii="仿宋" w:hAnsi="仿宋" w:eastAsia="仿宋" w:cs="仿宋"/>
          <w:highlight w:val="none"/>
        </w:rPr>
      </w:pPr>
      <w:r>
        <w:rPr>
          <w:rFonts w:hint="eastAsia" w:ascii="仿宋" w:hAnsi="仿宋" w:eastAsia="仿宋" w:cs="仿宋"/>
          <w:highlight w:val="none"/>
        </w:rPr>
        <w:t>3. 价格部分、技术部分、商务部分为针对项目具体情况设置项目，累加满分为100分。</w:t>
      </w:r>
    </w:p>
    <w:p w14:paraId="0A2AAF2E">
      <w:pPr>
        <w:ind w:firstLine="420" w:firstLineChars="200"/>
        <w:rPr>
          <w:rFonts w:hint="eastAsia" w:ascii="仿宋" w:hAnsi="仿宋" w:eastAsia="仿宋" w:cs="仿宋"/>
          <w:highlight w:val="none"/>
        </w:rPr>
      </w:pPr>
      <w:r>
        <w:rPr>
          <w:rFonts w:hint="eastAsia" w:ascii="仿宋" w:hAnsi="仿宋" w:eastAsia="仿宋" w:cs="仿宋"/>
          <w:highlight w:val="none"/>
        </w:rPr>
        <w:t>4. 综合以上</w:t>
      </w:r>
      <w:r>
        <w:rPr>
          <w:rFonts w:hint="eastAsia" w:ascii="仿宋" w:hAnsi="仿宋" w:eastAsia="仿宋" w:cs="仿宋"/>
          <w:snapToGrid w:val="0"/>
          <w:kern w:val="0"/>
          <w:highlight w:val="none"/>
        </w:rPr>
        <w:t>分析比较，评委会将对各投标文件进行书面的量化评定，得分</w:t>
      </w:r>
      <w:r>
        <w:rPr>
          <w:rFonts w:hint="eastAsia" w:ascii="仿宋" w:hAnsi="仿宋" w:eastAsia="仿宋" w:cs="仿宋"/>
          <w:snapToGrid w:val="0"/>
          <w:kern w:val="0"/>
          <w:szCs w:val="18"/>
          <w:highlight w:val="none"/>
        </w:rPr>
        <w:t>精确到小数点后两位。</w:t>
      </w:r>
    </w:p>
    <w:p w14:paraId="42FB496A">
      <w:pPr>
        <w:ind w:firstLine="420" w:firstLineChars="200"/>
        <w:rPr>
          <w:rFonts w:hint="eastAsia" w:ascii="仿宋" w:hAnsi="仿宋" w:eastAsia="仿宋" w:cs="仿宋"/>
          <w:snapToGrid w:val="0"/>
          <w:kern w:val="0"/>
          <w:szCs w:val="18"/>
          <w:highlight w:val="none"/>
        </w:rPr>
      </w:pPr>
    </w:p>
    <w:p w14:paraId="4B46518C">
      <w:pPr>
        <w:rPr>
          <w:rFonts w:hint="eastAsia" w:ascii="仿宋" w:hAnsi="仿宋" w:eastAsia="仿宋" w:cs="仿宋"/>
          <w:highlight w:val="none"/>
        </w:rPr>
      </w:pPr>
      <w:r>
        <w:rPr>
          <w:rFonts w:hint="eastAsia" w:ascii="仿宋" w:hAnsi="仿宋" w:eastAsia="仿宋" w:cs="仿宋"/>
          <w:highlight w:val="none"/>
        </w:rPr>
        <w:br w:type="page"/>
      </w:r>
    </w:p>
    <w:p w14:paraId="025B2D5B">
      <w:pPr>
        <w:pStyle w:val="3"/>
        <w:jc w:val="center"/>
        <w:rPr>
          <w:rFonts w:hint="eastAsia" w:ascii="仿宋" w:hAnsi="仿宋" w:eastAsia="仿宋" w:cs="仿宋"/>
          <w:highlight w:val="none"/>
        </w:rPr>
      </w:pPr>
      <w:bookmarkStart w:id="230" w:name="_Toc25554"/>
      <w:r>
        <w:rPr>
          <w:rFonts w:hint="eastAsia" w:ascii="仿宋" w:hAnsi="仿宋" w:eastAsia="仿宋" w:cs="仿宋"/>
          <w:highlight w:val="none"/>
        </w:rPr>
        <w:t>第三章</w:t>
      </w:r>
      <w:r>
        <w:rPr>
          <w:rFonts w:hint="eastAsia" w:ascii="仿宋" w:hAnsi="仿宋" w:eastAsia="仿宋" w:cs="仿宋"/>
          <w:highlight w:val="none"/>
          <w:lang w:val="en-US" w:eastAsia="zh-CN"/>
        </w:rPr>
        <w:t xml:space="preserve">  </w:t>
      </w:r>
      <w:r>
        <w:rPr>
          <w:rFonts w:hint="eastAsia" w:ascii="仿宋" w:hAnsi="仿宋" w:eastAsia="仿宋" w:cs="仿宋"/>
          <w:highlight w:val="none"/>
        </w:rPr>
        <w:t>招标项目需求</w:t>
      </w:r>
      <w:bookmarkEnd w:id="230"/>
    </w:p>
    <w:p w14:paraId="52E1361A">
      <w:pPr>
        <w:snapToGrid w:val="0"/>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重点提示：</w:t>
      </w:r>
    </w:p>
    <w:p w14:paraId="495CBDEB">
      <w:pPr>
        <w:spacing w:line="360" w:lineRule="auto"/>
        <w:ind w:firstLine="472" w:firstLineChars="196"/>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1.招标文件澄清、质疑的说明</w:t>
      </w:r>
    </w:p>
    <w:p w14:paraId="6E14877C">
      <w:pPr>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根据招标文件第二册第二章第9条“招标文件的澄清、质疑”的规定，任何要求对招标文件进行澄清或者对招标文件有限制性、倾向性条款提出质疑的投标人，均应于“招标公告”中所述答疑截止时间前在书面通知</w:t>
      </w:r>
      <w:r>
        <w:rPr>
          <w:rFonts w:hint="eastAsia" w:ascii="仿宋" w:hAnsi="仿宋" w:eastAsia="仿宋" w:cs="仿宋"/>
          <w:color w:val="000000"/>
          <w:sz w:val="24"/>
          <w:highlight w:val="none"/>
          <w:lang w:eastAsia="zh-CN"/>
        </w:rPr>
        <w:t>采购代理机构</w:t>
      </w:r>
      <w:r>
        <w:rPr>
          <w:rFonts w:hint="eastAsia" w:ascii="仿宋" w:hAnsi="仿宋" w:eastAsia="仿宋" w:cs="仿宋"/>
          <w:color w:val="000000"/>
          <w:sz w:val="24"/>
          <w:highlight w:val="none"/>
        </w:rPr>
        <w:t>。对于没有提出澄清或者质疑又参与了该项目投标的供应商将被视为完全认同该招标文件，投标截止期后不再受理针对招标文件的相关质疑、投诉。对招标文件中描述有歧义或前后不一致的地方，评审委员会有权进行评标，但对同一条款的评判应适用于每个投标人。</w:t>
      </w:r>
      <w:bookmarkStart w:id="231" w:name="_Toc22754"/>
      <w:bookmarkStart w:id="232" w:name="_Toc486922320"/>
    </w:p>
    <w:bookmarkEnd w:id="231"/>
    <w:bookmarkEnd w:id="232"/>
    <w:p w14:paraId="7960DF27">
      <w:pPr>
        <w:spacing w:line="360" w:lineRule="auto"/>
        <w:ind w:firstLine="472" w:firstLineChars="196"/>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2.关于特殊符号的说明</w:t>
      </w:r>
    </w:p>
    <w:p w14:paraId="60F1108A">
      <w:pPr>
        <w:spacing w:line="360" w:lineRule="auto"/>
        <w:ind w:firstLine="470" w:firstLineChars="196"/>
        <w:rPr>
          <w:rFonts w:hint="eastAsia" w:ascii="仿宋" w:hAnsi="仿宋" w:eastAsia="仿宋" w:cs="仿宋"/>
          <w:color w:val="000000"/>
          <w:sz w:val="24"/>
          <w:highlight w:val="none"/>
        </w:rPr>
      </w:pPr>
      <w:r>
        <w:rPr>
          <w:rFonts w:hint="eastAsia" w:ascii="仿宋" w:hAnsi="仿宋" w:eastAsia="仿宋" w:cs="仿宋"/>
          <w:color w:val="000000"/>
          <w:sz w:val="24"/>
          <w:highlight w:val="none"/>
        </w:rPr>
        <w:t>2.1招标文件中标注“★”的条款均为不可偏离的实质性条款，投标文件对其中任意一条不满足的将作投标无效处理。</w:t>
      </w:r>
    </w:p>
    <w:p w14:paraId="497A9865">
      <w:pPr>
        <w:spacing w:line="360" w:lineRule="auto"/>
        <w:ind w:firstLine="470" w:firstLineChars="196"/>
        <w:rPr>
          <w:rFonts w:hint="eastAsia" w:ascii="仿宋" w:hAnsi="仿宋" w:eastAsia="仿宋" w:cs="仿宋"/>
          <w:b/>
          <w:color w:val="000000"/>
          <w:sz w:val="24"/>
          <w:highlight w:val="none"/>
        </w:rPr>
      </w:pPr>
      <w:r>
        <w:rPr>
          <w:rFonts w:hint="eastAsia" w:ascii="仿宋" w:hAnsi="仿宋" w:eastAsia="仿宋" w:cs="仿宋"/>
          <w:color w:val="000000"/>
          <w:sz w:val="24"/>
          <w:highlight w:val="none"/>
        </w:rPr>
        <w:t>2.2招标文件中标注“▲”的条款均为重要条款，仅作为综合评分时的重要依据</w:t>
      </w:r>
      <w:r>
        <w:rPr>
          <w:rFonts w:hint="eastAsia" w:ascii="仿宋" w:hAnsi="仿宋" w:eastAsia="仿宋" w:cs="仿宋"/>
          <w:b/>
          <w:color w:val="000000"/>
          <w:sz w:val="24"/>
          <w:highlight w:val="none"/>
        </w:rPr>
        <w:t>。</w:t>
      </w:r>
    </w:p>
    <w:p w14:paraId="49D2ABB0">
      <w:pPr>
        <w:spacing w:line="360" w:lineRule="auto"/>
        <w:ind w:firstLine="472" w:firstLineChars="196"/>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3.关于招标文件“申请人的资格要求第</w:t>
      </w:r>
      <w:r>
        <w:rPr>
          <w:rFonts w:hint="eastAsia" w:ascii="仿宋" w:hAnsi="仿宋" w:eastAsia="仿宋" w:cs="仿宋"/>
          <w:b/>
          <w:color w:val="000000"/>
          <w:sz w:val="24"/>
          <w:highlight w:val="none"/>
          <w:lang w:val="en-US" w:eastAsia="zh-CN"/>
        </w:rPr>
        <w:t>9</w:t>
      </w:r>
      <w:r>
        <w:rPr>
          <w:rFonts w:hint="eastAsia" w:ascii="仿宋" w:hAnsi="仿宋" w:eastAsia="仿宋" w:cs="仿宋"/>
          <w:b/>
          <w:color w:val="000000"/>
          <w:sz w:val="24"/>
          <w:highlight w:val="none"/>
          <w:lang w:eastAsia="zh-CN"/>
        </w:rPr>
        <w:t>项</w:t>
      </w:r>
      <w:r>
        <w:rPr>
          <w:rFonts w:hint="eastAsia" w:ascii="仿宋" w:hAnsi="仿宋" w:eastAsia="仿宋" w:cs="仿宋"/>
          <w:b/>
          <w:color w:val="000000"/>
          <w:sz w:val="24"/>
          <w:highlight w:val="none"/>
        </w:rPr>
        <w:t>”的释义</w:t>
      </w:r>
    </w:p>
    <w:p w14:paraId="0E993384">
      <w:pPr>
        <w:spacing w:line="360" w:lineRule="auto"/>
        <w:ind w:firstLine="470" w:firstLineChars="196"/>
        <w:rPr>
          <w:rFonts w:hint="eastAsia" w:ascii="仿宋" w:hAnsi="仿宋" w:eastAsia="仿宋" w:cs="仿宋"/>
          <w:color w:val="000000"/>
          <w:sz w:val="24"/>
          <w:highlight w:val="none"/>
        </w:rPr>
      </w:pPr>
      <w:r>
        <w:rPr>
          <w:rFonts w:hint="eastAsia" w:ascii="仿宋" w:hAnsi="仿宋" w:eastAsia="仿宋" w:cs="仿宋"/>
          <w:color w:val="000000"/>
          <w:sz w:val="24"/>
          <w:highlight w:val="none"/>
        </w:rPr>
        <w:t>3.1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14:paraId="2B2977B7">
      <w:pPr>
        <w:spacing w:line="360" w:lineRule="auto"/>
        <w:ind w:firstLine="470" w:firstLineChars="196"/>
        <w:rPr>
          <w:rFonts w:hint="eastAsia" w:ascii="仿宋" w:hAnsi="仿宋" w:eastAsia="仿宋" w:cs="仿宋"/>
          <w:color w:val="000000"/>
          <w:sz w:val="24"/>
          <w:highlight w:val="none"/>
        </w:rPr>
      </w:pPr>
      <w:r>
        <w:rPr>
          <w:rFonts w:hint="eastAsia" w:ascii="仿宋" w:hAnsi="仿宋" w:eastAsia="仿宋" w:cs="仿宋"/>
          <w:color w:val="000000"/>
          <w:sz w:val="24"/>
          <w:highlight w:val="none"/>
        </w:rPr>
        <w:t>3.2在项目开评标过程中，采购人或采购代理机构将通过查看供应商投标文件、对比供应商股权信息等方式，认真核查同一项目中不同投标供应商之间，是否存在单位负责人为同一人或者存在直接控股、管理关系的情况。对疑似存在上述情形的供应商，将被要求在评标现场合理的时间内提供书面说明（必要时还需提交相关证明材料）。</w:t>
      </w:r>
    </w:p>
    <w:p w14:paraId="31290629">
      <w:pPr>
        <w:spacing w:line="360" w:lineRule="auto"/>
        <w:ind w:firstLine="470" w:firstLineChars="196"/>
        <w:rPr>
          <w:rFonts w:hint="eastAsia" w:ascii="仿宋" w:hAnsi="仿宋" w:eastAsia="仿宋" w:cs="仿宋"/>
          <w:color w:val="000000"/>
          <w:highlight w:val="none"/>
        </w:rPr>
      </w:pPr>
      <w:r>
        <w:rPr>
          <w:rFonts w:hint="eastAsia" w:ascii="仿宋" w:hAnsi="仿宋" w:eastAsia="仿宋" w:cs="仿宋"/>
          <w:color w:val="000000"/>
          <w:sz w:val="24"/>
          <w:highlight w:val="none"/>
        </w:rPr>
        <w:t>3.3经核实，投标供应商确实存在《中华人民共和国政府采购法实施条例》第十八条第一款规定情形的，其投标将被依法认定为无效。</w:t>
      </w:r>
    </w:p>
    <w:p w14:paraId="7E54FE56">
      <w:pPr>
        <w:spacing w:line="360" w:lineRule="auto"/>
        <w:ind w:firstLine="470" w:firstLineChars="196"/>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4.政策落实</w:t>
      </w:r>
    </w:p>
    <w:p w14:paraId="7F0A7CA4">
      <w:pPr>
        <w:spacing w:line="360" w:lineRule="auto"/>
        <w:ind w:firstLine="470" w:firstLineChars="196"/>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4.1</w:t>
      </w:r>
      <w:r>
        <w:rPr>
          <w:rFonts w:hint="eastAsia" w:ascii="仿宋" w:hAnsi="仿宋" w:eastAsia="仿宋" w:cs="仿宋"/>
          <w:color w:val="000000"/>
          <w:sz w:val="24"/>
          <w:highlight w:val="none"/>
        </w:rPr>
        <w:t>采购扶持贫困地区、中小企业、监狱企业和残疾人福利性单位发展，支持节能减排、环境保护。</w:t>
      </w:r>
    </w:p>
    <w:p w14:paraId="43D7FCBC">
      <w:pPr>
        <w:spacing w:line="360" w:lineRule="auto"/>
        <w:ind w:firstLine="470" w:firstLineChars="196"/>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.2本项目落实深圳市采购供应商诚信管理政策要求。</w:t>
      </w:r>
    </w:p>
    <w:p w14:paraId="24DF8FF5">
      <w:pPr>
        <w:spacing w:line="360" w:lineRule="auto"/>
        <w:ind w:firstLine="470" w:firstLineChars="196"/>
        <w:rPr>
          <w:rFonts w:hint="eastAsia" w:ascii="仿宋" w:hAnsi="仿宋" w:eastAsia="仿宋" w:cs="仿宋"/>
          <w:highlight w:val="none"/>
        </w:rPr>
      </w:pPr>
      <w:r>
        <w:rPr>
          <w:rFonts w:hint="eastAsia" w:ascii="仿宋" w:hAnsi="仿宋" w:eastAsia="仿宋" w:cs="仿宋"/>
          <w:color w:val="000000"/>
          <w:sz w:val="24"/>
          <w:highlight w:val="none"/>
          <w:lang w:val="en-US" w:eastAsia="zh-CN"/>
        </w:rPr>
        <w:t>4.3 根据《深圳市财政局关于大力推广政府绿色采购有关事项的通知》（深财购〔2023〕49号）要求，如拟采购的产品属于节能产品或环境标志产品政府采购品目清单范围的，将在采购需求中对产品进行标识，并依据国家确认的认证机构出具的、处</w:t>
      </w:r>
      <w:r>
        <w:rPr>
          <w:rFonts w:hint="eastAsia" w:ascii="仿宋" w:hAnsi="仿宋" w:eastAsia="仿宋" w:cs="仿宋"/>
          <w:color w:val="000000" w:themeColor="text1"/>
          <w:sz w:val="24"/>
          <w:highlight w:val="none"/>
          <w:lang w:val="en-US" w:eastAsia="zh-CN"/>
          <w14:textFill>
            <w14:solidFill>
              <w14:schemeClr w14:val="tx1"/>
            </w14:solidFill>
          </w14:textFill>
        </w:rPr>
        <w:t>于有效期之内的节能产品或环境标志产品认证证书，对获得证书的产品实施政府优先采购或强制采购。如项目涉及商品包装、快递包装、绿色建筑和绿色建材、绿色数据中心等内容，需求标准将严格执行《商品包装政府采购需求标准（试行）》、《快递包装政府采购需求标准（试行）》（财办库〔2020〕123号）、《绿色建筑和绿色建材政府采购需求标准》（财办库〔2022〕35号）、《绿色数据中心政府采购需求标准（试行）》（财办库〔2023〕7号）等文件要求，并在采购文件和采购合同中载明具体需求、履约验收条款和违约责任，促进绿色包装、绿色运输、绿色建筑、绿色建材和绿色数据中心在政府采购领域的应用。</w:t>
      </w:r>
      <w:r>
        <w:rPr>
          <w:rFonts w:hint="eastAsia" w:ascii="仿宋" w:hAnsi="仿宋" w:eastAsia="仿宋" w:cs="仿宋"/>
          <w:highlight w:val="none"/>
        </w:rPr>
        <w:br w:type="page"/>
      </w:r>
    </w:p>
    <w:p w14:paraId="3558F9AE">
      <w:pPr>
        <w:rPr>
          <w:rFonts w:hint="eastAsia" w:ascii="仿宋" w:hAnsi="仿宋" w:eastAsia="仿宋" w:cs="仿宋"/>
          <w:highlight w:val="none"/>
        </w:rPr>
      </w:pPr>
    </w:p>
    <w:p w14:paraId="22A25D0D">
      <w:pPr>
        <w:spacing w:line="400" w:lineRule="exact"/>
        <w:ind w:firstLine="562" w:firstLineChars="200"/>
        <w:jc w:val="left"/>
        <w:outlineLvl w:val="2"/>
        <w:rPr>
          <w:rFonts w:hint="eastAsia" w:ascii="仿宋" w:hAnsi="仿宋" w:eastAsia="仿宋" w:cs="仿宋"/>
          <w:b/>
          <w:color w:val="000000"/>
          <w:sz w:val="28"/>
          <w:szCs w:val="28"/>
          <w:highlight w:val="none"/>
        </w:rPr>
      </w:pPr>
      <w:bookmarkStart w:id="233" w:name="_Toc22190"/>
      <w:bookmarkStart w:id="234" w:name="_Toc2580"/>
      <w:bookmarkStart w:id="235" w:name="_Toc17749"/>
      <w:bookmarkStart w:id="236" w:name="_Toc3409"/>
      <w:r>
        <w:rPr>
          <w:rFonts w:hint="eastAsia" w:ascii="仿宋" w:hAnsi="仿宋" w:eastAsia="仿宋" w:cs="仿宋"/>
          <w:b/>
          <w:color w:val="000000"/>
          <w:sz w:val="28"/>
          <w:szCs w:val="28"/>
          <w:highlight w:val="none"/>
        </w:rPr>
        <w:t>一、项目概况</w:t>
      </w:r>
      <w:bookmarkEnd w:id="233"/>
      <w:bookmarkEnd w:id="234"/>
      <w:bookmarkEnd w:id="235"/>
    </w:p>
    <w:p w14:paraId="57C81F49">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bookmarkStart w:id="237" w:name="_Toc556"/>
      <w:bookmarkStart w:id="238" w:name="_Toc3825"/>
      <w:bookmarkStart w:id="239" w:name="_Toc26018"/>
      <w:bookmarkStart w:id="240" w:name="_Toc16011"/>
      <w:r>
        <w:rPr>
          <w:rFonts w:hint="eastAsia" w:ascii="仿宋" w:hAnsi="仿宋" w:eastAsia="仿宋" w:cs="仿宋"/>
          <w:color w:val="auto"/>
          <w:kern w:val="2"/>
          <w:sz w:val="24"/>
          <w:szCs w:val="24"/>
          <w:highlight w:val="none"/>
          <w:lang w:val="en-US" w:eastAsia="zh-CN" w:bidi="ar-SA"/>
        </w:rPr>
        <w:t xml:space="preserve">深圳自然博物馆是深圳市“新时代重大文化设施”之一，以宇宙、地球、演化、恐龙、人类、生物、生态、家园等8大主题展厅为基础，致力于建设成为中国南方最大的创新型自然博物馆、全域全景自然博物公众教育中心、中国式现代化生态文明发展案例的展示平台。 </w:t>
      </w:r>
    </w:p>
    <w:p w14:paraId="10B9AEB0">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深圳自然博物馆展品征集（</w:t>
      </w:r>
      <w:r>
        <w:rPr>
          <w:rFonts w:hint="eastAsia" w:ascii="仿宋" w:hAnsi="仿宋" w:eastAsia="仿宋" w:cs="仿宋"/>
          <w:color w:val="auto"/>
          <w:sz w:val="24"/>
          <w:highlight w:val="none"/>
          <w:lang w:val="en-US" w:eastAsia="zh-CN"/>
        </w:rPr>
        <w:t>古</w:t>
      </w:r>
      <w:r>
        <w:rPr>
          <w:rFonts w:hint="eastAsia" w:ascii="仿宋" w:hAnsi="仿宋" w:eastAsia="仿宋" w:cs="仿宋"/>
          <w:color w:val="auto"/>
          <w:sz w:val="24"/>
          <w:highlight w:val="none"/>
        </w:rPr>
        <w:t>生物标本</w:t>
      </w:r>
      <w:r>
        <w:rPr>
          <w:rFonts w:hint="eastAsia" w:ascii="仿宋" w:hAnsi="仿宋" w:eastAsia="仿宋" w:cs="仿宋"/>
          <w:color w:val="auto"/>
          <w:sz w:val="24"/>
          <w:highlight w:val="none"/>
          <w:lang w:val="en-US" w:eastAsia="zh-CN"/>
        </w:rPr>
        <w:t>修复</w:t>
      </w:r>
      <w:r>
        <w:rPr>
          <w:rFonts w:hint="eastAsia" w:ascii="仿宋" w:hAnsi="仿宋" w:eastAsia="仿宋" w:cs="仿宋"/>
          <w:color w:val="auto"/>
          <w:sz w:val="24"/>
          <w:highlight w:val="none"/>
        </w:rPr>
        <w:t>）服务项目拟</w:t>
      </w:r>
      <w:r>
        <w:rPr>
          <w:rFonts w:hint="eastAsia" w:ascii="仿宋" w:hAnsi="仿宋" w:eastAsia="仿宋" w:cs="仿宋"/>
          <w:color w:val="auto"/>
          <w:sz w:val="24"/>
          <w:highlight w:val="none"/>
          <w:lang w:val="en-US" w:eastAsia="zh-CN"/>
        </w:rPr>
        <w:t>修复</w:t>
      </w:r>
      <w:r>
        <w:rPr>
          <w:rFonts w:hint="eastAsia" w:ascii="仿宋" w:hAnsi="仿宋" w:eastAsia="仿宋" w:cs="仿宋"/>
          <w:color w:val="auto"/>
          <w:sz w:val="24"/>
          <w:highlight w:val="none"/>
        </w:rPr>
        <w:t>一批</w:t>
      </w:r>
      <w:r>
        <w:rPr>
          <w:rFonts w:hint="eastAsia" w:ascii="仿宋" w:hAnsi="仿宋" w:eastAsia="仿宋" w:cs="仿宋"/>
          <w:color w:val="auto"/>
          <w:sz w:val="24"/>
          <w:highlight w:val="none"/>
          <w:lang w:val="en-US" w:eastAsia="zh-CN"/>
        </w:rPr>
        <w:t>古</w:t>
      </w:r>
      <w:r>
        <w:rPr>
          <w:rFonts w:hint="eastAsia" w:ascii="仿宋" w:hAnsi="仿宋" w:eastAsia="仿宋" w:cs="仿宋"/>
          <w:color w:val="auto"/>
          <w:sz w:val="24"/>
          <w:highlight w:val="none"/>
        </w:rPr>
        <w:t>生物</w:t>
      </w:r>
      <w:r>
        <w:rPr>
          <w:rFonts w:hint="eastAsia" w:ascii="仿宋" w:hAnsi="仿宋" w:eastAsia="仿宋" w:cs="仿宋"/>
          <w:color w:val="auto"/>
          <w:sz w:val="24"/>
          <w:highlight w:val="none"/>
          <w:lang w:val="en-US" w:eastAsia="zh-CN"/>
        </w:rPr>
        <w:t>化石</w:t>
      </w:r>
      <w:r>
        <w:rPr>
          <w:rFonts w:hint="eastAsia" w:ascii="仿宋" w:hAnsi="仿宋" w:eastAsia="仿宋" w:cs="仿宋"/>
          <w:color w:val="auto"/>
          <w:sz w:val="24"/>
          <w:highlight w:val="none"/>
        </w:rPr>
        <w:t>标本，服务内容包括按照采购人需求进行展品</w:t>
      </w:r>
      <w:r>
        <w:rPr>
          <w:rFonts w:hint="eastAsia" w:ascii="仿宋" w:hAnsi="仿宋" w:eastAsia="仿宋" w:cs="仿宋"/>
          <w:color w:val="auto"/>
          <w:sz w:val="24"/>
          <w:highlight w:val="none"/>
          <w:lang w:val="en-US" w:eastAsia="zh-CN"/>
        </w:rPr>
        <w:t>修复</w:t>
      </w:r>
      <w:r>
        <w:rPr>
          <w:rFonts w:hint="eastAsia" w:ascii="仿宋" w:hAnsi="仿宋" w:eastAsia="仿宋" w:cs="仿宋"/>
          <w:color w:val="auto"/>
          <w:sz w:val="24"/>
          <w:highlight w:val="none"/>
        </w:rPr>
        <w:t>、评估鉴定、运输、保险以及必要的相关服务等，并在指定时间内将展品运输至采购人指定地点。</w:t>
      </w:r>
      <w:r>
        <w:rPr>
          <w:rFonts w:hint="eastAsia" w:ascii="仿宋" w:hAnsi="仿宋" w:eastAsia="仿宋" w:cs="仿宋"/>
          <w:color w:val="auto"/>
          <w:kern w:val="2"/>
          <w:sz w:val="24"/>
          <w:szCs w:val="24"/>
          <w:highlight w:val="none"/>
          <w:lang w:val="en-US" w:eastAsia="zh-CN" w:bidi="ar-SA"/>
        </w:rPr>
        <w:t xml:space="preserve"> </w:t>
      </w:r>
      <w:bookmarkEnd w:id="236"/>
      <w:bookmarkEnd w:id="237"/>
      <w:bookmarkEnd w:id="238"/>
      <w:bookmarkEnd w:id="239"/>
      <w:bookmarkEnd w:id="240"/>
    </w:p>
    <w:p w14:paraId="3C11C30D">
      <w:pPr>
        <w:spacing w:line="400" w:lineRule="exact"/>
        <w:ind w:firstLine="562" w:firstLineChars="200"/>
        <w:jc w:val="left"/>
        <w:outlineLvl w:val="2"/>
        <w:rPr>
          <w:rFonts w:hint="eastAsia" w:ascii="仿宋" w:hAnsi="仿宋" w:eastAsia="仿宋" w:cs="仿宋"/>
          <w:b/>
          <w:color w:val="000000"/>
          <w:sz w:val="28"/>
          <w:szCs w:val="28"/>
          <w:highlight w:val="none"/>
        </w:rPr>
      </w:pPr>
      <w:bookmarkStart w:id="241" w:name="_Toc26184"/>
      <w:bookmarkStart w:id="242" w:name="_Toc3973"/>
      <w:r>
        <w:rPr>
          <w:rFonts w:hint="eastAsia" w:ascii="仿宋" w:hAnsi="仿宋" w:eastAsia="仿宋" w:cs="仿宋"/>
          <w:b/>
          <w:color w:val="000000"/>
          <w:sz w:val="28"/>
          <w:szCs w:val="28"/>
          <w:highlight w:val="none"/>
          <w:lang w:eastAsia="zh-CN"/>
        </w:rPr>
        <w:t>二、</w:t>
      </w:r>
      <w:bookmarkStart w:id="243" w:name="_Toc22839"/>
      <w:bookmarkStart w:id="244" w:name="_Toc27895"/>
      <w:r>
        <w:rPr>
          <w:rFonts w:hint="eastAsia" w:ascii="仿宋" w:hAnsi="仿宋" w:eastAsia="仿宋" w:cs="仿宋"/>
          <w:b/>
          <w:color w:val="000000"/>
          <w:sz w:val="28"/>
          <w:szCs w:val="28"/>
          <w:highlight w:val="none"/>
        </w:rPr>
        <w:t>项目服务内容及服务要求</w:t>
      </w:r>
      <w:bookmarkEnd w:id="241"/>
      <w:bookmarkEnd w:id="242"/>
      <w:bookmarkEnd w:id="243"/>
      <w:bookmarkEnd w:id="244"/>
    </w:p>
    <w:p w14:paraId="573C899A">
      <w:pPr>
        <w:pStyle w:val="13"/>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bookmarkStart w:id="245" w:name="_Toc23784"/>
      <w:bookmarkStart w:id="246" w:name="_Toc30578"/>
      <w:bookmarkStart w:id="247" w:name="_Toc2579"/>
      <w:bookmarkStart w:id="248" w:name="_Toc5292"/>
      <w:bookmarkStart w:id="249" w:name="_Toc11974"/>
      <w:r>
        <w:rPr>
          <w:rFonts w:hint="eastAsia" w:ascii="仿宋" w:hAnsi="仿宋" w:eastAsia="仿宋" w:cs="仿宋"/>
          <w:b/>
          <w:bCs/>
          <w:color w:val="auto"/>
          <w:kern w:val="2"/>
          <w:sz w:val="24"/>
          <w:szCs w:val="24"/>
          <w:highlight w:val="none"/>
          <w:lang w:val="en-US" w:eastAsia="zh-CN" w:bidi="ar-SA"/>
        </w:rPr>
        <w:t>（一）项目服务内容及要求</w:t>
      </w:r>
    </w:p>
    <w:p w14:paraId="08215FC9">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按照采购人要求修复不少于160件古生物化石标本（具体规格见附件1），项目支付上限400万元。其中板状化石数量约45%、立体保存化石数量约55%。</w:t>
      </w:r>
    </w:p>
    <w:tbl>
      <w:tblPr>
        <w:tblStyle w:val="44"/>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88"/>
        <w:gridCol w:w="1818"/>
        <w:gridCol w:w="2500"/>
        <w:gridCol w:w="1803"/>
        <w:gridCol w:w="1313"/>
      </w:tblGrid>
      <w:tr w14:paraId="79F6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2B2679C4">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序号</w:t>
            </w:r>
          </w:p>
        </w:tc>
        <w:tc>
          <w:tcPr>
            <w:tcW w:w="1066" w:type="pct"/>
            <w:tcBorders>
              <w:top w:val="single" w:color="auto" w:sz="4" w:space="0"/>
              <w:left w:val="single" w:color="auto" w:sz="4" w:space="0"/>
              <w:bottom w:val="single" w:color="auto" w:sz="4" w:space="0"/>
              <w:right w:val="single" w:color="auto" w:sz="4" w:space="0"/>
            </w:tcBorders>
            <w:shd w:val="clear" w:color="auto" w:fill="auto"/>
            <w:vAlign w:val="center"/>
          </w:tcPr>
          <w:p w14:paraId="4D38AC2D">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类别</w:t>
            </w:r>
          </w:p>
        </w:tc>
        <w:tc>
          <w:tcPr>
            <w:tcW w:w="1466" w:type="pct"/>
            <w:tcBorders>
              <w:top w:val="single" w:color="auto" w:sz="4" w:space="0"/>
              <w:left w:val="single" w:color="auto" w:sz="4" w:space="0"/>
              <w:bottom w:val="single" w:color="auto" w:sz="4" w:space="0"/>
              <w:right w:val="single" w:color="auto" w:sz="4" w:space="0"/>
            </w:tcBorders>
            <w:shd w:val="clear" w:color="auto" w:fill="auto"/>
            <w:vAlign w:val="center"/>
          </w:tcPr>
          <w:p w14:paraId="4C6FCD6A">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面积（平方米）</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09ABA98C">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修复费用基准价（万元/件）</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549C9DC6">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备注</w:t>
            </w:r>
          </w:p>
        </w:tc>
      </w:tr>
      <w:tr w14:paraId="72FD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12704057">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w:t>
            </w:r>
          </w:p>
        </w:tc>
        <w:tc>
          <w:tcPr>
            <w:tcW w:w="1066" w:type="pct"/>
            <w:vMerge w:val="restart"/>
            <w:tcBorders>
              <w:top w:val="nil"/>
              <w:left w:val="single" w:color="auto" w:sz="4" w:space="0"/>
              <w:bottom w:val="single" w:color="auto" w:sz="4" w:space="0"/>
              <w:right w:val="single" w:color="auto" w:sz="4" w:space="0"/>
            </w:tcBorders>
            <w:shd w:val="clear" w:color="auto" w:fill="auto"/>
            <w:vAlign w:val="center"/>
          </w:tcPr>
          <w:p w14:paraId="46ACD86B">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kern w:val="2"/>
                <w:sz w:val="24"/>
                <w:szCs w:val="24"/>
                <w:lang w:val="en-US" w:eastAsia="zh-CN" w:bidi="ar"/>
              </w:rPr>
              <w:t>板状化石</w:t>
            </w:r>
          </w:p>
        </w:tc>
        <w:tc>
          <w:tcPr>
            <w:tcW w:w="1466" w:type="pct"/>
            <w:tcBorders>
              <w:top w:val="single" w:color="auto" w:sz="4" w:space="0"/>
              <w:left w:val="single" w:color="auto" w:sz="4" w:space="0"/>
              <w:bottom w:val="single" w:color="auto" w:sz="4" w:space="0"/>
              <w:right w:val="single" w:color="auto" w:sz="4" w:space="0"/>
            </w:tcBorders>
            <w:shd w:val="clear" w:color="auto" w:fill="auto"/>
            <w:vAlign w:val="center"/>
          </w:tcPr>
          <w:p w14:paraId="6F73A704">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0.04（含）以下</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416FAE7D">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0.5</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5331A61A">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p>
        </w:tc>
      </w:tr>
      <w:tr w14:paraId="214C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1732BA6B">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2</w:t>
            </w:r>
          </w:p>
        </w:tc>
        <w:tc>
          <w:tcPr>
            <w:tcW w:w="1066" w:type="pct"/>
            <w:vMerge w:val="continue"/>
            <w:tcBorders>
              <w:top w:val="nil"/>
              <w:left w:val="single" w:color="auto" w:sz="4" w:space="0"/>
              <w:bottom w:val="single" w:color="auto" w:sz="4" w:space="0"/>
              <w:right w:val="single" w:color="auto" w:sz="4" w:space="0"/>
            </w:tcBorders>
            <w:shd w:val="clear" w:color="auto" w:fill="auto"/>
            <w:vAlign w:val="center"/>
          </w:tcPr>
          <w:p w14:paraId="2A8DABB9">
            <w:pPr>
              <w:keepNext w:val="0"/>
              <w:keepLines w:val="0"/>
              <w:suppressLineNumbers w:val="0"/>
              <w:spacing w:before="0" w:beforeAutospacing="0" w:after="0" w:afterAutospacing="0"/>
              <w:ind w:left="0" w:right="0"/>
              <w:jc w:val="both"/>
              <w:rPr>
                <w:rFonts w:hint="eastAsia" w:ascii="仿宋" w:hAnsi="仿宋" w:eastAsia="仿宋" w:cs="仿宋"/>
                <w:sz w:val="24"/>
                <w:szCs w:val="24"/>
              </w:rPr>
            </w:pPr>
          </w:p>
        </w:tc>
        <w:tc>
          <w:tcPr>
            <w:tcW w:w="1466" w:type="pct"/>
            <w:tcBorders>
              <w:top w:val="single" w:color="auto" w:sz="4" w:space="0"/>
              <w:left w:val="single" w:color="auto" w:sz="4" w:space="0"/>
              <w:bottom w:val="single" w:color="auto" w:sz="4" w:space="0"/>
              <w:right w:val="single" w:color="auto" w:sz="4" w:space="0"/>
            </w:tcBorders>
            <w:shd w:val="clear" w:color="auto" w:fill="auto"/>
            <w:vAlign w:val="center"/>
          </w:tcPr>
          <w:p w14:paraId="4BAF794E">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0.04（不含）-0.25（含）</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640DDCC2">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58ACF550">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p>
        </w:tc>
      </w:tr>
      <w:tr w14:paraId="2BFFD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0BFAEB0C">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3</w:t>
            </w:r>
          </w:p>
        </w:tc>
        <w:tc>
          <w:tcPr>
            <w:tcW w:w="1066" w:type="pct"/>
            <w:vMerge w:val="continue"/>
            <w:tcBorders>
              <w:top w:val="nil"/>
              <w:left w:val="single" w:color="auto" w:sz="4" w:space="0"/>
              <w:bottom w:val="single" w:color="auto" w:sz="4" w:space="0"/>
              <w:right w:val="single" w:color="auto" w:sz="4" w:space="0"/>
            </w:tcBorders>
            <w:shd w:val="clear" w:color="auto" w:fill="auto"/>
            <w:vAlign w:val="center"/>
          </w:tcPr>
          <w:p w14:paraId="3292FE4C">
            <w:pPr>
              <w:keepNext w:val="0"/>
              <w:keepLines w:val="0"/>
              <w:suppressLineNumbers w:val="0"/>
              <w:spacing w:before="0" w:beforeAutospacing="0" w:after="0" w:afterAutospacing="0"/>
              <w:ind w:left="0" w:right="0"/>
              <w:jc w:val="both"/>
              <w:rPr>
                <w:rFonts w:hint="eastAsia" w:ascii="仿宋" w:hAnsi="仿宋" w:eastAsia="仿宋" w:cs="仿宋"/>
                <w:sz w:val="24"/>
                <w:szCs w:val="24"/>
              </w:rPr>
            </w:pPr>
          </w:p>
        </w:tc>
        <w:tc>
          <w:tcPr>
            <w:tcW w:w="1466" w:type="pct"/>
            <w:tcBorders>
              <w:top w:val="single" w:color="auto" w:sz="4" w:space="0"/>
              <w:left w:val="single" w:color="auto" w:sz="4" w:space="0"/>
              <w:bottom w:val="single" w:color="auto" w:sz="4" w:space="0"/>
              <w:right w:val="single" w:color="auto" w:sz="4" w:space="0"/>
            </w:tcBorders>
            <w:shd w:val="clear" w:color="auto" w:fill="auto"/>
            <w:vAlign w:val="center"/>
          </w:tcPr>
          <w:p w14:paraId="02D3E68B">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0.25（不含）-1（含）</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0495DFE7">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3</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676A9AA0">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p>
        </w:tc>
      </w:tr>
      <w:tr w14:paraId="6927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5D5CDB31">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4</w:t>
            </w:r>
          </w:p>
        </w:tc>
        <w:tc>
          <w:tcPr>
            <w:tcW w:w="1066" w:type="pct"/>
            <w:vMerge w:val="continue"/>
            <w:tcBorders>
              <w:top w:val="nil"/>
              <w:left w:val="single" w:color="auto" w:sz="4" w:space="0"/>
              <w:bottom w:val="single" w:color="auto" w:sz="4" w:space="0"/>
              <w:right w:val="single" w:color="auto" w:sz="4" w:space="0"/>
            </w:tcBorders>
            <w:shd w:val="clear" w:color="auto" w:fill="auto"/>
            <w:vAlign w:val="center"/>
          </w:tcPr>
          <w:p w14:paraId="1C8BF44E">
            <w:pPr>
              <w:keepNext w:val="0"/>
              <w:keepLines w:val="0"/>
              <w:suppressLineNumbers w:val="0"/>
              <w:spacing w:before="0" w:beforeAutospacing="0" w:after="0" w:afterAutospacing="0"/>
              <w:ind w:left="0" w:right="0"/>
              <w:jc w:val="both"/>
              <w:rPr>
                <w:rFonts w:hint="eastAsia" w:ascii="仿宋" w:hAnsi="仿宋" w:eastAsia="仿宋" w:cs="仿宋"/>
                <w:sz w:val="24"/>
                <w:szCs w:val="24"/>
              </w:rPr>
            </w:pPr>
          </w:p>
        </w:tc>
        <w:tc>
          <w:tcPr>
            <w:tcW w:w="1466" w:type="pct"/>
            <w:tcBorders>
              <w:top w:val="single" w:color="auto" w:sz="4" w:space="0"/>
              <w:left w:val="single" w:color="auto" w:sz="4" w:space="0"/>
              <w:bottom w:val="single" w:color="auto" w:sz="4" w:space="0"/>
              <w:right w:val="single" w:color="auto" w:sz="4" w:space="0"/>
            </w:tcBorders>
            <w:shd w:val="clear" w:color="auto" w:fill="auto"/>
            <w:vAlign w:val="center"/>
          </w:tcPr>
          <w:p w14:paraId="13D45419">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1（不含）-5（含）</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4916188E">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5</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0A0D8747">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p>
        </w:tc>
      </w:tr>
      <w:tr w14:paraId="1106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0B2ABE3C">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5</w:t>
            </w:r>
          </w:p>
        </w:tc>
        <w:tc>
          <w:tcPr>
            <w:tcW w:w="1066" w:type="pct"/>
            <w:vMerge w:val="continue"/>
            <w:tcBorders>
              <w:top w:val="nil"/>
              <w:left w:val="single" w:color="auto" w:sz="4" w:space="0"/>
              <w:bottom w:val="single" w:color="auto" w:sz="4" w:space="0"/>
              <w:right w:val="single" w:color="auto" w:sz="4" w:space="0"/>
            </w:tcBorders>
            <w:shd w:val="clear" w:color="auto" w:fill="auto"/>
            <w:vAlign w:val="center"/>
          </w:tcPr>
          <w:p w14:paraId="0CBDC34C">
            <w:pPr>
              <w:keepNext w:val="0"/>
              <w:keepLines w:val="0"/>
              <w:suppressLineNumbers w:val="0"/>
              <w:spacing w:before="0" w:beforeAutospacing="0" w:after="0" w:afterAutospacing="0"/>
              <w:ind w:left="0" w:right="0"/>
              <w:jc w:val="both"/>
              <w:rPr>
                <w:rFonts w:hint="eastAsia" w:ascii="仿宋" w:hAnsi="仿宋" w:eastAsia="仿宋" w:cs="仿宋"/>
                <w:sz w:val="24"/>
                <w:szCs w:val="24"/>
              </w:rPr>
            </w:pPr>
          </w:p>
        </w:tc>
        <w:tc>
          <w:tcPr>
            <w:tcW w:w="1466" w:type="pct"/>
            <w:tcBorders>
              <w:top w:val="single" w:color="auto" w:sz="4" w:space="0"/>
              <w:left w:val="single" w:color="auto" w:sz="4" w:space="0"/>
              <w:bottom w:val="single" w:color="auto" w:sz="4" w:space="0"/>
              <w:right w:val="single" w:color="auto" w:sz="4" w:space="0"/>
            </w:tcBorders>
            <w:shd w:val="clear" w:color="auto" w:fill="auto"/>
            <w:vAlign w:val="center"/>
          </w:tcPr>
          <w:p w14:paraId="1B41BF8D">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5（不含）-10（含）</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14FAB271">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10</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6F842B83">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p>
        </w:tc>
      </w:tr>
      <w:tr w14:paraId="129F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0A344D83">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6</w:t>
            </w:r>
          </w:p>
        </w:tc>
        <w:tc>
          <w:tcPr>
            <w:tcW w:w="1066" w:type="pct"/>
            <w:vMerge w:val="continue"/>
            <w:tcBorders>
              <w:top w:val="nil"/>
              <w:left w:val="single" w:color="auto" w:sz="4" w:space="0"/>
              <w:bottom w:val="single" w:color="auto" w:sz="4" w:space="0"/>
              <w:right w:val="single" w:color="auto" w:sz="4" w:space="0"/>
            </w:tcBorders>
            <w:shd w:val="clear" w:color="auto" w:fill="auto"/>
            <w:vAlign w:val="center"/>
          </w:tcPr>
          <w:p w14:paraId="5CDAE2DA">
            <w:pPr>
              <w:keepNext w:val="0"/>
              <w:keepLines w:val="0"/>
              <w:suppressLineNumbers w:val="0"/>
              <w:spacing w:before="0" w:beforeAutospacing="0" w:after="0" w:afterAutospacing="0"/>
              <w:ind w:left="0" w:right="0"/>
              <w:jc w:val="both"/>
              <w:rPr>
                <w:rFonts w:hint="eastAsia" w:ascii="仿宋" w:hAnsi="仿宋" w:eastAsia="仿宋" w:cs="仿宋"/>
                <w:sz w:val="24"/>
                <w:szCs w:val="24"/>
              </w:rPr>
            </w:pPr>
          </w:p>
        </w:tc>
        <w:tc>
          <w:tcPr>
            <w:tcW w:w="1466" w:type="pct"/>
            <w:tcBorders>
              <w:top w:val="single" w:color="auto" w:sz="4" w:space="0"/>
              <w:left w:val="single" w:color="auto" w:sz="4" w:space="0"/>
              <w:bottom w:val="single" w:color="auto" w:sz="4" w:space="0"/>
              <w:right w:val="single" w:color="auto" w:sz="4" w:space="0"/>
            </w:tcBorders>
            <w:shd w:val="clear" w:color="auto" w:fill="auto"/>
            <w:vAlign w:val="center"/>
          </w:tcPr>
          <w:p w14:paraId="793A1079">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10（不含）以上</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0DC57131">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32</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59CA86FA">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p>
        </w:tc>
      </w:tr>
      <w:tr w14:paraId="7659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2A33B347">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7</w:t>
            </w:r>
          </w:p>
        </w:tc>
        <w:tc>
          <w:tcPr>
            <w:tcW w:w="1066" w:type="pct"/>
            <w:vMerge w:val="restart"/>
            <w:tcBorders>
              <w:top w:val="nil"/>
              <w:left w:val="single" w:color="auto" w:sz="4" w:space="0"/>
              <w:bottom w:val="single" w:color="auto" w:sz="4" w:space="0"/>
              <w:right w:val="single" w:color="auto" w:sz="4" w:space="0"/>
            </w:tcBorders>
            <w:shd w:val="clear" w:color="auto" w:fill="auto"/>
            <w:vAlign w:val="center"/>
          </w:tcPr>
          <w:p w14:paraId="25BCE9F3">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kern w:val="2"/>
                <w:sz w:val="24"/>
                <w:szCs w:val="24"/>
                <w:lang w:val="en-US" w:eastAsia="zh-CN" w:bidi="ar"/>
              </w:rPr>
              <w:t>立体保存化石</w:t>
            </w:r>
          </w:p>
        </w:tc>
        <w:tc>
          <w:tcPr>
            <w:tcW w:w="1466" w:type="pct"/>
            <w:tcBorders>
              <w:top w:val="single" w:color="auto" w:sz="4" w:space="0"/>
              <w:left w:val="single" w:color="auto" w:sz="4" w:space="0"/>
              <w:bottom w:val="single" w:color="auto" w:sz="4" w:space="0"/>
              <w:right w:val="single" w:color="auto" w:sz="4" w:space="0"/>
            </w:tcBorders>
            <w:shd w:val="clear" w:color="auto" w:fill="auto"/>
            <w:vAlign w:val="center"/>
          </w:tcPr>
          <w:p w14:paraId="0676B00C">
            <w:pPr>
              <w:keepNext w:val="0"/>
              <w:keepLines w:val="0"/>
              <w:widowControl w:val="0"/>
              <w:suppressLineNumbers w:val="0"/>
              <w:spacing w:before="0" w:beforeAutospacing="0" w:after="0" w:afterAutospacing="0"/>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0.04（含）以下</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7F49DA15">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0.5</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7C0F3815">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p>
        </w:tc>
      </w:tr>
      <w:tr w14:paraId="58BC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5B05158D">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8</w:t>
            </w:r>
          </w:p>
        </w:tc>
        <w:tc>
          <w:tcPr>
            <w:tcW w:w="1066" w:type="pct"/>
            <w:vMerge w:val="continue"/>
            <w:tcBorders>
              <w:top w:val="nil"/>
              <w:left w:val="single" w:color="auto" w:sz="4" w:space="0"/>
              <w:bottom w:val="single" w:color="auto" w:sz="4" w:space="0"/>
              <w:right w:val="single" w:color="auto" w:sz="4" w:space="0"/>
            </w:tcBorders>
            <w:shd w:val="clear" w:color="auto" w:fill="auto"/>
            <w:vAlign w:val="center"/>
          </w:tcPr>
          <w:p w14:paraId="08380323">
            <w:pPr>
              <w:keepNext w:val="0"/>
              <w:keepLines w:val="0"/>
              <w:suppressLineNumbers w:val="0"/>
              <w:spacing w:before="0" w:beforeAutospacing="0" w:after="0" w:afterAutospacing="0"/>
              <w:ind w:left="0" w:right="0"/>
              <w:jc w:val="both"/>
              <w:rPr>
                <w:rFonts w:hint="eastAsia" w:ascii="仿宋" w:hAnsi="仿宋" w:eastAsia="仿宋" w:cs="仿宋"/>
                <w:sz w:val="24"/>
                <w:szCs w:val="24"/>
              </w:rPr>
            </w:pPr>
          </w:p>
        </w:tc>
        <w:tc>
          <w:tcPr>
            <w:tcW w:w="1466" w:type="pct"/>
            <w:tcBorders>
              <w:top w:val="single" w:color="auto" w:sz="4" w:space="0"/>
              <w:left w:val="single" w:color="auto" w:sz="4" w:space="0"/>
              <w:bottom w:val="single" w:color="auto" w:sz="4" w:space="0"/>
              <w:right w:val="single" w:color="auto" w:sz="4" w:space="0"/>
            </w:tcBorders>
            <w:shd w:val="clear" w:color="auto" w:fill="auto"/>
            <w:vAlign w:val="center"/>
          </w:tcPr>
          <w:p w14:paraId="744682F6">
            <w:pPr>
              <w:keepNext w:val="0"/>
              <w:keepLines w:val="0"/>
              <w:widowControl w:val="0"/>
              <w:suppressLineNumbers w:val="0"/>
              <w:spacing w:before="0" w:beforeAutospacing="0" w:after="0" w:afterAutospacing="0"/>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0.04（不含）-0.25（含）</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71AE8199">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5BCFA6DF">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p>
        </w:tc>
      </w:tr>
      <w:tr w14:paraId="488A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11AB0C3D">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9</w:t>
            </w:r>
          </w:p>
        </w:tc>
        <w:tc>
          <w:tcPr>
            <w:tcW w:w="1066" w:type="pct"/>
            <w:vMerge w:val="continue"/>
            <w:tcBorders>
              <w:top w:val="nil"/>
              <w:left w:val="single" w:color="auto" w:sz="4" w:space="0"/>
              <w:bottom w:val="single" w:color="auto" w:sz="4" w:space="0"/>
              <w:right w:val="single" w:color="auto" w:sz="4" w:space="0"/>
            </w:tcBorders>
            <w:shd w:val="clear" w:color="auto" w:fill="auto"/>
            <w:vAlign w:val="center"/>
          </w:tcPr>
          <w:p w14:paraId="53DE73EF">
            <w:pPr>
              <w:keepNext w:val="0"/>
              <w:keepLines w:val="0"/>
              <w:suppressLineNumbers w:val="0"/>
              <w:spacing w:before="0" w:beforeAutospacing="0" w:after="0" w:afterAutospacing="0"/>
              <w:ind w:left="0" w:right="0"/>
              <w:jc w:val="both"/>
              <w:rPr>
                <w:rFonts w:hint="eastAsia" w:ascii="仿宋" w:hAnsi="仿宋" w:eastAsia="仿宋" w:cs="仿宋"/>
                <w:sz w:val="24"/>
                <w:szCs w:val="24"/>
              </w:rPr>
            </w:pPr>
          </w:p>
        </w:tc>
        <w:tc>
          <w:tcPr>
            <w:tcW w:w="1466" w:type="pct"/>
            <w:tcBorders>
              <w:top w:val="single" w:color="auto" w:sz="4" w:space="0"/>
              <w:left w:val="single" w:color="auto" w:sz="4" w:space="0"/>
              <w:bottom w:val="single" w:color="auto" w:sz="4" w:space="0"/>
              <w:right w:val="single" w:color="auto" w:sz="4" w:space="0"/>
            </w:tcBorders>
            <w:shd w:val="clear" w:color="auto" w:fill="auto"/>
            <w:vAlign w:val="center"/>
          </w:tcPr>
          <w:p w14:paraId="32AF43D0">
            <w:pPr>
              <w:keepNext w:val="0"/>
              <w:keepLines w:val="0"/>
              <w:widowControl w:val="0"/>
              <w:suppressLineNumbers w:val="0"/>
              <w:spacing w:before="0" w:beforeAutospacing="0" w:after="0" w:afterAutospacing="0"/>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0.25（不含）-1（含）</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60161AF1">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3</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66A6BFC6">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p>
        </w:tc>
      </w:tr>
      <w:tr w14:paraId="40E8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630DF102">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10</w:t>
            </w:r>
          </w:p>
        </w:tc>
        <w:tc>
          <w:tcPr>
            <w:tcW w:w="1066" w:type="pct"/>
            <w:vMerge w:val="continue"/>
            <w:tcBorders>
              <w:top w:val="nil"/>
              <w:left w:val="single" w:color="auto" w:sz="4" w:space="0"/>
              <w:bottom w:val="single" w:color="auto" w:sz="4" w:space="0"/>
              <w:right w:val="single" w:color="auto" w:sz="4" w:space="0"/>
            </w:tcBorders>
            <w:shd w:val="clear" w:color="auto" w:fill="auto"/>
            <w:vAlign w:val="center"/>
          </w:tcPr>
          <w:p w14:paraId="58661289">
            <w:pPr>
              <w:keepNext w:val="0"/>
              <w:keepLines w:val="0"/>
              <w:suppressLineNumbers w:val="0"/>
              <w:spacing w:before="0" w:beforeAutospacing="0" w:after="0" w:afterAutospacing="0"/>
              <w:ind w:left="0" w:right="0"/>
              <w:jc w:val="both"/>
              <w:rPr>
                <w:rFonts w:hint="eastAsia" w:ascii="仿宋" w:hAnsi="仿宋" w:eastAsia="仿宋" w:cs="仿宋"/>
                <w:sz w:val="24"/>
                <w:szCs w:val="24"/>
              </w:rPr>
            </w:pPr>
          </w:p>
        </w:tc>
        <w:tc>
          <w:tcPr>
            <w:tcW w:w="1466" w:type="pct"/>
            <w:tcBorders>
              <w:top w:val="single" w:color="auto" w:sz="4" w:space="0"/>
              <w:left w:val="single" w:color="auto" w:sz="4" w:space="0"/>
              <w:bottom w:val="single" w:color="auto" w:sz="4" w:space="0"/>
              <w:right w:val="single" w:color="auto" w:sz="4" w:space="0"/>
            </w:tcBorders>
            <w:shd w:val="clear" w:color="auto" w:fill="auto"/>
            <w:vAlign w:val="center"/>
          </w:tcPr>
          <w:p w14:paraId="7899EE85">
            <w:pPr>
              <w:keepNext w:val="0"/>
              <w:keepLines w:val="0"/>
              <w:widowControl w:val="0"/>
              <w:suppressLineNumbers w:val="0"/>
              <w:spacing w:before="0" w:beforeAutospacing="0" w:after="0" w:afterAutospacing="0"/>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1（不含）-5（含）</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47616D50">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5</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1E1781E5">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p>
        </w:tc>
      </w:tr>
      <w:tr w14:paraId="0998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6702FAAB">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11</w:t>
            </w:r>
          </w:p>
        </w:tc>
        <w:tc>
          <w:tcPr>
            <w:tcW w:w="1066" w:type="pct"/>
            <w:vMerge w:val="continue"/>
            <w:tcBorders>
              <w:top w:val="nil"/>
              <w:left w:val="single" w:color="auto" w:sz="4" w:space="0"/>
              <w:bottom w:val="single" w:color="auto" w:sz="4" w:space="0"/>
              <w:right w:val="single" w:color="auto" w:sz="4" w:space="0"/>
            </w:tcBorders>
            <w:shd w:val="clear" w:color="auto" w:fill="auto"/>
            <w:vAlign w:val="center"/>
          </w:tcPr>
          <w:p w14:paraId="29369DE6">
            <w:pPr>
              <w:keepNext w:val="0"/>
              <w:keepLines w:val="0"/>
              <w:suppressLineNumbers w:val="0"/>
              <w:spacing w:before="0" w:beforeAutospacing="0" w:after="0" w:afterAutospacing="0"/>
              <w:ind w:left="0" w:right="0"/>
              <w:jc w:val="both"/>
              <w:rPr>
                <w:rFonts w:hint="eastAsia" w:ascii="仿宋" w:hAnsi="仿宋" w:eastAsia="仿宋" w:cs="仿宋"/>
                <w:sz w:val="24"/>
                <w:szCs w:val="24"/>
              </w:rPr>
            </w:pPr>
          </w:p>
        </w:tc>
        <w:tc>
          <w:tcPr>
            <w:tcW w:w="1466" w:type="pct"/>
            <w:tcBorders>
              <w:top w:val="single" w:color="auto" w:sz="4" w:space="0"/>
              <w:left w:val="single" w:color="auto" w:sz="4" w:space="0"/>
              <w:bottom w:val="single" w:color="auto" w:sz="4" w:space="0"/>
              <w:right w:val="single" w:color="auto" w:sz="4" w:space="0"/>
            </w:tcBorders>
            <w:shd w:val="clear" w:color="auto" w:fill="auto"/>
            <w:vAlign w:val="center"/>
          </w:tcPr>
          <w:p w14:paraId="19D59365">
            <w:pPr>
              <w:keepNext w:val="0"/>
              <w:keepLines w:val="0"/>
              <w:widowControl w:val="0"/>
              <w:suppressLineNumbers w:val="0"/>
              <w:spacing w:before="0" w:beforeAutospacing="0" w:after="0" w:afterAutospacing="0"/>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5（不含）-10（含）</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502837BE">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6</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4F37BC77">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p>
        </w:tc>
      </w:tr>
      <w:tr w14:paraId="4740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1D9C9A18">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12</w:t>
            </w:r>
          </w:p>
        </w:tc>
        <w:tc>
          <w:tcPr>
            <w:tcW w:w="1066" w:type="pct"/>
            <w:vMerge w:val="continue"/>
            <w:tcBorders>
              <w:top w:val="nil"/>
              <w:left w:val="single" w:color="auto" w:sz="4" w:space="0"/>
              <w:bottom w:val="single" w:color="auto" w:sz="4" w:space="0"/>
              <w:right w:val="single" w:color="auto" w:sz="4" w:space="0"/>
            </w:tcBorders>
            <w:shd w:val="clear" w:color="auto" w:fill="auto"/>
            <w:vAlign w:val="center"/>
          </w:tcPr>
          <w:p w14:paraId="46935E96">
            <w:pPr>
              <w:keepNext w:val="0"/>
              <w:keepLines w:val="0"/>
              <w:suppressLineNumbers w:val="0"/>
              <w:spacing w:before="0" w:beforeAutospacing="0" w:after="0" w:afterAutospacing="0"/>
              <w:ind w:left="0" w:right="0"/>
              <w:jc w:val="both"/>
              <w:rPr>
                <w:rFonts w:hint="eastAsia" w:ascii="仿宋" w:hAnsi="仿宋" w:eastAsia="仿宋" w:cs="仿宋"/>
                <w:sz w:val="24"/>
                <w:szCs w:val="24"/>
              </w:rPr>
            </w:pPr>
          </w:p>
        </w:tc>
        <w:tc>
          <w:tcPr>
            <w:tcW w:w="1466" w:type="pct"/>
            <w:tcBorders>
              <w:top w:val="single" w:color="auto" w:sz="4" w:space="0"/>
              <w:left w:val="single" w:color="auto" w:sz="4" w:space="0"/>
              <w:bottom w:val="single" w:color="auto" w:sz="4" w:space="0"/>
              <w:right w:val="single" w:color="auto" w:sz="4" w:space="0"/>
            </w:tcBorders>
            <w:shd w:val="clear" w:color="auto" w:fill="auto"/>
            <w:vAlign w:val="center"/>
          </w:tcPr>
          <w:p w14:paraId="350694C5">
            <w:pPr>
              <w:keepNext w:val="0"/>
              <w:keepLines w:val="0"/>
              <w:widowControl w:val="0"/>
              <w:suppressLineNumbers w:val="0"/>
              <w:spacing w:before="0" w:beforeAutospacing="0" w:after="0" w:afterAutospacing="0"/>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10（不含）以上</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2B8CC918">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10</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7165B8BE">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kern w:val="2"/>
                <w:sz w:val="24"/>
                <w:szCs w:val="24"/>
              </w:rPr>
            </w:pPr>
          </w:p>
        </w:tc>
      </w:tr>
    </w:tbl>
    <w:p w14:paraId="6F79CD65">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修复：鉴于修复后的标本将作为采购人的科研或科普标本，关系到公众认知与科学传播质量，因此本项目对标本修复人员水平有较高要求，团队成员中应配备化石修复专业人员及具备古生物学、地层学、埋藏学研究背景的专业人员，全程参与标本修复及指导等，确保修复质量严格符合国家级博物馆收藏、展示与长期保存标准。</w:t>
      </w:r>
    </w:p>
    <w:p w14:paraId="60F18BB4">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2.运输：标本修复完成后分批次运输到采购人指定地点，按采购人要求进行编号且摆放至库房架或展厅安装现场。</w:t>
      </w:r>
    </w:p>
    <w:p w14:paraId="2182541C">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3.标本鉴定：中标人在标本交付前需组织专家对标本的分类学信息进行鉴定，并向采购人提交经专家签字的书面鉴定意见，鉴定专家为</w:t>
      </w:r>
      <w:r>
        <w:rPr>
          <w:rFonts w:hint="default"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en-US" w:eastAsia="zh-CN" w:bidi="ar-SA"/>
        </w:rPr>
        <w:t>个（含）以上科研院所、大学或省级博物馆等国家行政机关或事业单位副高（含）以上职称相关专业人员（若采购人复核后对鉴定意见提出异议，中标人需重新组织专家鉴定）。标本鉴定及异议后重新鉴定的费用已包含在本项目整体服务费用中，采购人不再另行支付其他费用。</w:t>
      </w:r>
    </w:p>
    <w:p w14:paraId="5847DC4A">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4.其他服务：中标人为采购人提供毛板标本验收的便利条件；自采购人整体验收合格之日起一年内，中标人协助或指导布展方实施标本安装与成品保护工作。</w:t>
      </w:r>
    </w:p>
    <w:p w14:paraId="5DE7B0CB">
      <w:pPr>
        <w:pStyle w:val="13"/>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（二）具体要求如下</w:t>
      </w:r>
    </w:p>
    <w:p w14:paraId="7ECC32C8">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1.修复后的标本须符合博物馆陈列展览和收藏研究所需的质量要求；对于毛板及特殊化石（如带羽毛的恐龙化石、带毛发的哺乳动物化石、保存极为脆弱的化石等），修复前需先使用高精度CT（精度不低于800nm）扫描其内部结构，根据扫描结果制定修复方案。 </w:t>
      </w:r>
    </w:p>
    <w:p w14:paraId="08EDAD68">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2.化石修理全过程需有修理记录。包括：每日修理前和修理后清晰的照片记录（照片不小于3M），每件标本修理完的修理小结，并及时提交采购人备查。 </w:t>
      </w:r>
    </w:p>
    <w:p w14:paraId="2EEFC526">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3.修理方案需提前经采购人审定，审定通过后方可实施。化石修理时按采购人验收要求减小化石表面纹饰损伤；对于带有羽毛、毛发等特殊痕迹的化石标本，需将骨骼、羽毛、毛发等特征科学修复，且不损坏其原有特征。 </w:t>
      </w:r>
    </w:p>
    <w:p w14:paraId="4BB0FF47">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4.化石修复过程中如遇疑难问题，需及时照相、停工，并及时向采购人申报，并在采购人重新确认后方可开工。 </w:t>
      </w:r>
    </w:p>
    <w:p w14:paraId="01679C42">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5.验收。在采购人指定地点验收，由中标人负责将标本运输至采购人指定库房，该费用已包含在本项目服务费用中，采购人不再另行支付其他任何费用。</w:t>
      </w:r>
    </w:p>
    <w:p w14:paraId="37B66AD1">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化石验收标准： </w:t>
      </w:r>
    </w:p>
    <w:p w14:paraId="578A7FC5">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（1）单件化石有大于 10mm （不含）的损伤为不合格； </w:t>
      </w:r>
    </w:p>
    <w:p w14:paraId="1FD0C406">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（2）单件化石有 3 处及以上 10mm （含）-1mm（含） 的损伤，为不合格； </w:t>
      </w:r>
    </w:p>
    <w:p w14:paraId="18BE8C3E">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（3）单件化石有 2 处 10mm（含）-1mm（含） 损伤，并有 5 处及以上 1mm （含）以下的损伤，为不合格；</w:t>
      </w:r>
    </w:p>
    <w:p w14:paraId="4307111B">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（4）单件化石有 1 处 10mm（含）-1mm（含） 损伤，并有 10 处及以上 1mm（含） 以下的损伤，为不合格；</w:t>
      </w:r>
    </w:p>
    <w:p w14:paraId="4A5D905D">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（5）单件化石有 20 处及以上 1mm（含） 以下的损伤，为不合格。 </w:t>
      </w:r>
    </w:p>
    <w:p w14:paraId="693ADCFA">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6.化石是否损伤由采购人组织专家进行认定。</w:t>
      </w:r>
    </w:p>
    <w:p w14:paraId="3D722F22">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7.化石损伤造成的赔偿由合同约定或采购人根据损伤情况按该化石征集价格的1-2倍进行赔偿。</w:t>
      </w:r>
    </w:p>
    <w:p w14:paraId="693D5E1B">
      <w:pPr>
        <w:spacing w:line="400" w:lineRule="exact"/>
        <w:ind w:firstLine="562" w:firstLineChars="200"/>
        <w:jc w:val="left"/>
        <w:outlineLvl w:val="2"/>
        <w:rPr>
          <w:rFonts w:hint="eastAsia" w:ascii="仿宋" w:hAnsi="仿宋" w:eastAsia="仿宋" w:cs="仿宋"/>
          <w:b/>
          <w:color w:val="000000"/>
          <w:sz w:val="28"/>
          <w:szCs w:val="28"/>
          <w:highlight w:val="none"/>
        </w:rPr>
      </w:pPr>
      <w:bookmarkStart w:id="250" w:name="_Toc893"/>
      <w:bookmarkStart w:id="251" w:name="_Toc19047"/>
      <w:bookmarkStart w:id="252" w:name="_Toc10982"/>
      <w:bookmarkStart w:id="253" w:name="_Toc24232"/>
      <w:r>
        <w:rPr>
          <w:rFonts w:hint="eastAsia" w:ascii="仿宋" w:hAnsi="仿宋" w:eastAsia="仿宋" w:cs="仿宋"/>
          <w:b/>
          <w:color w:val="000000"/>
          <w:sz w:val="28"/>
          <w:szCs w:val="28"/>
          <w:highlight w:val="none"/>
        </w:rPr>
        <w:t>三、商务要求</w:t>
      </w:r>
      <w:bookmarkEnd w:id="245"/>
      <w:bookmarkEnd w:id="246"/>
      <w:bookmarkEnd w:id="247"/>
      <w:bookmarkEnd w:id="248"/>
      <w:bookmarkEnd w:id="249"/>
      <w:bookmarkEnd w:id="250"/>
      <w:bookmarkEnd w:id="251"/>
      <w:bookmarkEnd w:id="252"/>
      <w:bookmarkEnd w:id="253"/>
    </w:p>
    <w:p w14:paraId="57B52E8C">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（一）交付期限</w:t>
      </w:r>
    </w:p>
    <w:p w14:paraId="1F4C929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★1.自中标人接收待修复标本之日起 30 个日历日内完成采购人指定的至少50件标本的修复， 60个日历日内完成采购人指定的至少100件标本的修复，剩余标本在120个日历日内完成修复。</w:t>
      </w:r>
    </w:p>
    <w:p w14:paraId="07DAE6B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（二）包装及运输要求</w:t>
      </w:r>
    </w:p>
    <w:p w14:paraId="42A32E1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中标人负责将修复后的标本实物运抵采购人指定的地点，并负责提供标本实物的包装，以及保证包装应适合于运输距离、防潮、防震、防腐蚀和防粗暴装卸，确保标本实物安全无损运抵交货地点。在标本实物运抵采购人并验收合格前产生的一切不利后果，包括但不限于运输毁损、被盗或遗失等突发情形，均由中标人承担，并提供应对措施，以保障采购人权益。</w:t>
      </w:r>
    </w:p>
    <w:p w14:paraId="14EA5B3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★2.标本运费、安全保障费、装卸摆放费等因交货产生的所有费用已包含在本项目总体费用中，采购人不再另行支付其他任何费用。</w:t>
      </w:r>
    </w:p>
    <w:p w14:paraId="13E347D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（三）服务地点</w:t>
      </w:r>
    </w:p>
    <w:p w14:paraId="4BD9180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采购方指定的地点。</w:t>
      </w:r>
    </w:p>
    <w:p w14:paraId="009062D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（四）付款方式</w:t>
      </w:r>
    </w:p>
    <w:p w14:paraId="5ED5992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合同签订后，第一批采购人指定的至少50件标本修复完成送达采购人指定地点并经采购人验收合格后，凭中标人提供的发票及双方签字确认的结算单，采购人在10个工作日内与中标人据实结算项目款项。第二批采购人指定的至少100件标本修复完成送达采购人指定地点并经采购人验收合格后，凭中标人提供的发票及双方签字确认的结算单，采购人在10个工作日内与中标人据实结算项目款项。剩余标本修复完成送达采购人指定地点并经采购人验收合格后，凭中标人提供的发票及双方签字确认的结算单，采购人在10个工作日内与中标人据实结算项目款项。</w:t>
      </w:r>
    </w:p>
    <w:p w14:paraId="743F75F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（2）对于中标人根据合同约定和法律法规应当承担的违约金、损害赔偿金，以及其他应当承担的费用等，中标人拒不承担的，采购人有权直接在付款时做扣除处理。</w:t>
      </w:r>
    </w:p>
    <w:p w14:paraId="08FA1E8B">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（五）验收要求</w:t>
      </w:r>
    </w:p>
    <w:p w14:paraId="7DB16C7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中标人交付的修复后的标本需完全符合招投标文件所规定的数量、质量和规格等要求。中标方交付修复后的标本后，采购人会对修复后的标本进行验收，中标人提供的修复后的标本不符合招投标文件和合同规定的，采购人有权拒收，由此引起的风险，由中标人承担。</w:t>
      </w:r>
    </w:p>
    <w:p w14:paraId="199D609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化石表面围岩和覆土清理，平面上的化石骨骼和结构需暴露出来，采购人要求的微小细部和结构都必须暴露，不得损伤化石本体和自然骨面，易碎和已破碎的化石标本必须拼接加固好。修复过程中，如出现修复质量问题，采购人将提出相关整改要求，中标人未能在规定时间内完成整改、达到采购人修复质量要求时，采购人有权单方终止合同并要求中标人赔偿损失。</w:t>
      </w:r>
    </w:p>
    <w:p w14:paraId="3B1E9AC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（3）当满足以下条件时，采购人才向中标人签发验收报告：</w:t>
      </w:r>
    </w:p>
    <w:p w14:paraId="4FC90FB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①修复后的标本符合招标文件技术规格书的要求，品质满足要求；</w:t>
      </w:r>
    </w:p>
    <w:p w14:paraId="0C77B53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②中标人已按照合同规定提供了全部修复后的标本及完整的技术资料；</w:t>
      </w:r>
    </w:p>
    <w:p w14:paraId="5759FF8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③中标人已提供交付标本信息表。</w:t>
      </w:r>
    </w:p>
    <w:p w14:paraId="6E196EA9">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★（六）保密要求</w:t>
      </w:r>
    </w:p>
    <w:p w14:paraId="37AA414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中标人须严格遵守保密义务，不得擅自研究</w:t>
      </w:r>
      <w:r>
        <w:rPr>
          <w:rFonts w:hint="default" w:ascii="仿宋" w:hAnsi="仿宋" w:eastAsia="仿宋" w:cs="仿宋"/>
          <w:color w:val="auto"/>
          <w:kern w:val="0"/>
          <w:sz w:val="24"/>
          <w:szCs w:val="24"/>
          <w:highlight w:val="none"/>
          <w:lang w:eastAsia="zh-CN" w:bidi="ar-SA"/>
        </w:rPr>
        <w:t>、</w:t>
      </w:r>
      <w:r>
        <w:rPr>
          <w:rFonts w:hint="eastAsia" w:ascii="仿宋" w:hAnsi="仿宋" w:eastAsia="仿宋" w:cs="仿宋"/>
          <w:color w:val="auto"/>
          <w:kern w:val="0"/>
          <w:sz w:val="24"/>
          <w:szCs w:val="24"/>
          <w:highlight w:val="none"/>
          <w:lang w:val="en-US" w:eastAsia="zh-Hans" w:bidi="ar-SA"/>
        </w:rPr>
        <w:t>翻制</w:t>
      </w:r>
      <w:r>
        <w:rPr>
          <w:rFonts w:hint="eastAsia" w:ascii="仿宋" w:hAnsi="仿宋" w:eastAsia="仿宋" w:cs="仿宋"/>
          <w:color w:val="auto"/>
          <w:kern w:val="0"/>
          <w:sz w:val="24"/>
          <w:szCs w:val="24"/>
          <w:highlight w:val="none"/>
          <w:lang w:val="en-US" w:eastAsia="zh-CN" w:bidi="ar-SA"/>
        </w:rPr>
        <w:t xml:space="preserve">或泄露化石相关信息。 </w:t>
      </w:r>
    </w:p>
    <w:p w14:paraId="1731DD9D">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（七）违约责任</w:t>
      </w:r>
    </w:p>
    <w:p w14:paraId="0C3F0C2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按照合同违约条款执行。</w:t>
      </w:r>
    </w:p>
    <w:p w14:paraId="3010BE52">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（八）人员要求</w:t>
      </w:r>
    </w:p>
    <w:p w14:paraId="73A1ECB6">
      <w:pPr>
        <w:pStyle w:val="22"/>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本项目拟安排项目团队成员不少于6人，其中项目负责人1人，项目团队主要成员不少于5人。</w:t>
      </w:r>
    </w:p>
    <w:p w14:paraId="6A63707B">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（九）投标报价</w:t>
      </w:r>
    </w:p>
    <w:p w14:paraId="0887753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1.本项目由投标供应商根据各类别、面积标本修复基准价报整体折扣率，单件标本修复结算价=对应类别、面积标本修复基准价*折扣率。</w:t>
      </w:r>
    </w:p>
    <w:p w14:paraId="79DB055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（1）填写要求：0＜折扣率≤1，未按此要求填写将视为无效投标； </w:t>
      </w:r>
    </w:p>
    <w:p w14:paraId="76F77D5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（2）填写的“折扣率”应为两位小数；如0.99、0.85、0.80等；</w:t>
      </w:r>
    </w:p>
    <w:p w14:paraId="49FB701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（3）投标人参与投标只允许填报唯一1个“折扣率”，不允许填报2个（或以上）的“折扣率”；填报了2个或以上“折扣率”的，其投标将直接作投标无效处理；</w:t>
      </w:r>
    </w:p>
    <w:p w14:paraId="462DAD9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（4）“折扣率”缺填、漏填的将直接作投标无效处理。</w:t>
      </w:r>
    </w:p>
    <w:p w14:paraId="00FEFE7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本项目服务费包括服务成本、法定税费、修复工具及修复耗材成本、化石整饰及加固（包括但不限于背板钢架等）材料及人工费、包装运输及其过程中的安全保障费用、装卸摆放费用和供应商的利润。由供应商根据招标文件所提供的资料自行测算投标报价。</w:t>
      </w:r>
    </w:p>
    <w:p w14:paraId="554CA59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投标人应根据投标人自身的成本自行决定报价，但不得以低于投标人成本的报价投标；评标时，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应当将其作为无效投标处理。</w:t>
      </w:r>
    </w:p>
    <w:p w14:paraId="4E91233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4.投标报价合理性的提交及认定,若评审委员会成员对是否须由投标人作出报价合理性说明，以及书面说明是否采纳等判断不一致的，按照“少数服从多数”的原则确定评审委员会的意见。</w:t>
      </w:r>
    </w:p>
    <w:p w14:paraId="6ACCF2A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5.投标人的投标报价，应是本项目招标范围和招标文件及合同条款上所列的各项内容中所述的全部，不得以任何理由予以重复，并以投标人在投标文件中提出的综合单价或总价为依据。</w:t>
      </w:r>
    </w:p>
    <w:p w14:paraId="12FB896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6.投标人应充分了解项目的位置、情况、道路及任何其他足以影响投标报价的情况，任何因忽视或误解项目情况而导致的索赔或服务期限延长申请将不获批准。</w:t>
      </w:r>
    </w:p>
    <w:p w14:paraId="0C57DAD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color w:val="auto"/>
          <w:kern w:val="0"/>
          <w:sz w:val="24"/>
          <w:szCs w:val="24"/>
          <w:highlight w:val="none"/>
          <w:lang w:val="en-US" w:eastAsia="zh-CN" w:bidi="ar-SA"/>
        </w:rPr>
        <w:t>7.投标人不得期望通过索赔等方式获取补偿，否则，除可能遭到拒绝外，还可能将被作为不良行为记录在案，并可能影响其以后参加采购的项目投标。各投标人在投标报价时，应充分考虑投标报价的风险。</w:t>
      </w:r>
    </w:p>
    <w:p w14:paraId="4E78914B">
      <w:pPr>
        <w:pStyle w:val="3"/>
        <w:jc w:val="center"/>
        <w:outlineLvl w:val="9"/>
        <w:rPr>
          <w:rFonts w:hint="eastAsia" w:ascii="仿宋" w:hAnsi="仿宋" w:eastAsia="仿宋" w:cs="仿宋"/>
          <w:highlight w:val="none"/>
        </w:rPr>
        <w:sectPr>
          <w:footerReference r:id="rId5" w:type="first"/>
          <w:footerReference r:id="rId4" w:type="default"/>
          <w:pgSz w:w="11906" w:h="16838"/>
          <w:pgMar w:top="1440" w:right="1800" w:bottom="1440" w:left="1800" w:header="851" w:footer="992" w:gutter="0"/>
          <w:pgNumType w:fmt="decimal"/>
          <w:cols w:space="720" w:num="1"/>
          <w:titlePg/>
          <w:docGrid w:type="lines" w:linePitch="312" w:charSpace="0"/>
        </w:sectPr>
      </w:pPr>
    </w:p>
    <w:p w14:paraId="42291C17">
      <w:pPr>
        <w:pStyle w:val="3"/>
        <w:jc w:val="center"/>
        <w:rPr>
          <w:rFonts w:hint="eastAsia" w:ascii="仿宋" w:hAnsi="仿宋" w:eastAsia="仿宋" w:cs="仿宋"/>
          <w:highlight w:val="none"/>
        </w:rPr>
      </w:pPr>
      <w:bookmarkStart w:id="254" w:name="_Toc5101"/>
      <w:r>
        <w:rPr>
          <w:rFonts w:hint="eastAsia" w:ascii="仿宋" w:hAnsi="仿宋" w:eastAsia="仿宋" w:cs="仿宋"/>
          <w:highlight w:val="none"/>
        </w:rPr>
        <w:t>第四章</w:t>
      </w:r>
      <w:r>
        <w:rPr>
          <w:rFonts w:hint="eastAsia" w:ascii="仿宋" w:hAnsi="仿宋" w:eastAsia="仿宋" w:cs="仿宋"/>
          <w:highlight w:val="none"/>
          <w:lang w:val="en-US" w:eastAsia="zh-CN"/>
        </w:rPr>
        <w:t xml:space="preserve">  </w:t>
      </w:r>
      <w:r>
        <w:rPr>
          <w:rFonts w:hint="eastAsia" w:ascii="仿宋" w:hAnsi="仿宋" w:eastAsia="仿宋" w:cs="仿宋"/>
          <w:highlight w:val="none"/>
        </w:rPr>
        <w:t>合同条款及格式</w:t>
      </w:r>
      <w:bookmarkEnd w:id="254"/>
    </w:p>
    <w:p w14:paraId="48318814">
      <w:pPr>
        <w:adjustRightInd w:val="0"/>
        <w:snapToGrid w:val="0"/>
        <w:spacing w:after="60" w:line="360" w:lineRule="auto"/>
        <w:ind w:firstLine="1928" w:firstLineChars="800"/>
        <w:jc w:val="both"/>
        <w:rPr>
          <w:rFonts w:hint="eastAsia"/>
          <w:b/>
          <w:snapToGrid w:val="0"/>
          <w:kern w:val="0"/>
          <w:sz w:val="24"/>
        </w:rPr>
      </w:pPr>
      <w:r>
        <w:rPr>
          <w:rFonts w:hint="eastAsia"/>
          <w:b/>
          <w:snapToGrid w:val="0"/>
          <w:kern w:val="0"/>
          <w:sz w:val="24"/>
        </w:rPr>
        <w:t>（拟签订的合同文本</w:t>
      </w:r>
      <w:r>
        <w:rPr>
          <w:rFonts w:hint="eastAsia"/>
          <w:b/>
          <w:snapToGrid w:val="0"/>
          <w:kern w:val="0"/>
          <w:sz w:val="24"/>
          <w:lang w:eastAsia="zh-CN"/>
        </w:rPr>
        <w:t>，</w:t>
      </w:r>
      <w:r>
        <w:rPr>
          <w:rFonts w:hint="eastAsia"/>
          <w:b/>
          <w:snapToGrid w:val="0"/>
          <w:kern w:val="0"/>
          <w:sz w:val="24"/>
          <w:lang w:val="en-US" w:eastAsia="zh-CN"/>
        </w:rPr>
        <w:t>具体以合同签订为准</w:t>
      </w:r>
      <w:r>
        <w:rPr>
          <w:rFonts w:hint="eastAsia"/>
          <w:b/>
          <w:snapToGrid w:val="0"/>
          <w:kern w:val="0"/>
          <w:sz w:val="24"/>
        </w:rPr>
        <w:t>）</w:t>
      </w:r>
    </w:p>
    <w:p w14:paraId="7BE2FB42">
      <w:pPr>
        <w:spacing w:line="360" w:lineRule="auto"/>
        <w:jc w:val="center"/>
        <w:rPr>
          <w:rFonts w:hint="eastAsia" w:eastAsia="宋体"/>
          <w:lang w:eastAsia="zh-CN"/>
        </w:rPr>
      </w:pPr>
      <w:bookmarkStart w:id="255" w:name="_Toc2296"/>
      <w:bookmarkStart w:id="256" w:name="_Toc23844_WPSOffice_Level1"/>
      <w:r>
        <w:rPr>
          <w:rFonts w:hint="eastAsia" w:ascii="宋体" w:hAnsi="宋体" w:cs="宋体"/>
          <w:b/>
          <w:bCs/>
          <w:sz w:val="22"/>
          <w:szCs w:val="28"/>
        </w:rPr>
        <w:t>重要说明:采购人在签订合同前有权依据招标文件要求和项目实际情况对以下合同内容进行删改或补充</w:t>
      </w:r>
      <w:bookmarkEnd w:id="255"/>
      <w:r>
        <w:rPr>
          <w:rFonts w:hint="eastAsia" w:eastAsia="宋体"/>
          <w:b/>
          <w:lang w:eastAsia="zh-CN"/>
        </w:rPr>
        <w:t>。</w:t>
      </w:r>
    </w:p>
    <w:bookmarkEnd w:id="256"/>
    <w:p w14:paraId="62C54F07">
      <w:pPr>
        <w:outlineLvl w:val="9"/>
        <w:rPr>
          <w:rFonts w:hint="eastAsia"/>
        </w:rPr>
      </w:pPr>
      <w:bookmarkStart w:id="330" w:name="_GoBack"/>
      <w:bookmarkEnd w:id="330"/>
    </w:p>
    <w:p w14:paraId="656CEF61">
      <w:pPr>
        <w:rPr>
          <w:color w:val="auto"/>
        </w:rPr>
      </w:pPr>
      <w:r>
        <w:rPr>
          <w:color w:val="auto"/>
          <w:sz w:val="20"/>
        </w:rPr>
        <mc:AlternateContent>
          <mc:Choice Requires="wps">
            <w:drawing>
              <wp:anchor distT="0" distB="0" distL="114300" distR="114300" simplePos="0" relativeHeight="251663360" behindDoc="0" locked="0" layoutInCell="1" allowOverlap="1">
                <wp:simplePos x="0" y="0"/>
                <wp:positionH relativeFrom="column">
                  <wp:posOffset>8255</wp:posOffset>
                </wp:positionH>
                <wp:positionV relativeFrom="paragraph">
                  <wp:posOffset>27940</wp:posOffset>
                </wp:positionV>
                <wp:extent cx="1771015" cy="314325"/>
                <wp:effectExtent l="4445" t="4445" r="15240" b="5080"/>
                <wp:wrapNone/>
                <wp:docPr id="9" name="文本框 2"/>
                <wp:cNvGraphicFramePr/>
                <a:graphic xmlns:a="http://schemas.openxmlformats.org/drawingml/2006/main">
                  <a:graphicData uri="http://schemas.microsoft.com/office/word/2010/wordprocessingShape">
                    <wps:wsp>
                      <wps:cNvSpPr txBox="1"/>
                      <wps:spPr>
                        <a:xfrm>
                          <a:off x="0" y="0"/>
                          <a:ext cx="1771015" cy="31496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6EB513D5">
                            <w:r>
                              <w:t>合同编号：</w:t>
                            </w:r>
                            <w:r>
                              <w:rPr>
                                <w:rFonts w:hint="eastAsia"/>
                              </w:rPr>
                              <w:t>深博A20250134</w:t>
                            </w:r>
                            <w:r>
                              <w:rPr>
                                <w:rFonts w:hint="eastAsia" w:eastAsia="宋体"/>
                                <w:lang w:val="en-US" w:eastAsia="zh-CN"/>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0.65pt;margin-top:2.2pt;height:24.75pt;width:139.45pt;z-index:251663360;mso-width-relative:page;mso-height-relative:page;" fillcolor="#FFFFFF [3201]" filled="t" stroked="t" coordsize="21600,21600" o:gfxdata="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jYpai9MAAAAGAQAADwAAAAAAAAABACAAAAAiAAAAZHJzL2Rvd25yZXYueG1sUEsBAhQAFAAA&#10;AAgAh07iQA6z0jtmAgAAzAQAAA4AAAAAAAAAAQAgAAAAIgEAAGRycy9lMm9Eb2MueG1sUEsFBgAA&#10;AAAGAAYAWQEAAPoFAAAAAA==&#10;">
                <v:fill on="t" focussize="0,0"/>
                <v:stroke weight="0.5pt" color="#000000 [3204]" joinstyle="round"/>
                <v:imagedata o:title=""/>
                <o:lock v:ext="edit" aspectratio="f"/>
                <v:textbox>
                  <w:txbxContent>
                    <w:p w14:paraId="6EB513D5">
                      <w:r>
                        <w:t>合同编号：</w:t>
                      </w:r>
                      <w:r>
                        <w:rPr>
                          <w:rFonts w:hint="eastAsia"/>
                        </w:rPr>
                        <w:t>深博A20250134</w:t>
                      </w:r>
                      <w:r>
                        <w:rPr>
                          <w:rFonts w:hint="eastAsia" w:eastAsia="宋体"/>
                          <w:lang w:val="en-US" w:eastAsia="zh-CN"/>
                        </w:rPr>
                        <w:t xml:space="preserve"> </w:t>
                      </w:r>
                      <w:r>
                        <w:t xml:space="preserve">    </w:t>
                      </w:r>
                    </w:p>
                  </w:txbxContent>
                </v:textbox>
              </v:shape>
            </w:pict>
          </mc:Fallback>
        </mc:AlternateContent>
      </w:r>
    </w:p>
    <w:p w14:paraId="691581E8">
      <w:pPr>
        <w:ind w:right="480"/>
        <w:rPr>
          <w:color w:val="auto"/>
        </w:rPr>
      </w:pPr>
    </w:p>
    <w:p w14:paraId="597E332E">
      <w:pPr>
        <w:spacing w:after="120"/>
        <w:jc w:val="center"/>
        <w:rPr>
          <w:rFonts w:hint="eastAsia" w:eastAsia="宋体"/>
          <w:color w:val="auto"/>
          <w:sz w:val="44"/>
          <w:szCs w:val="44"/>
          <w:lang w:eastAsia="zh-CN"/>
        </w:rPr>
      </w:pPr>
      <w:r>
        <w:rPr>
          <w:rFonts w:hint="eastAsia"/>
          <w:b/>
          <w:color w:val="auto"/>
          <w:sz w:val="44"/>
          <w:szCs w:val="44"/>
          <w:highlight w:val="none"/>
          <w:lang w:val="en-US" w:eastAsia="zh-CN"/>
        </w:rPr>
        <w:t>深圳自然博物馆展品征集（古生物标本修复）服务</w:t>
      </w:r>
      <w:r>
        <w:rPr>
          <w:b/>
          <w:color w:val="auto"/>
          <w:sz w:val="44"/>
          <w:szCs w:val="44"/>
        </w:rPr>
        <w:t>合同</w:t>
      </w:r>
    </w:p>
    <w:p w14:paraId="3B7AE6FC">
      <w:pPr>
        <w:autoSpaceDE w:val="0"/>
        <w:autoSpaceDN w:val="0"/>
        <w:spacing w:line="560" w:lineRule="exact"/>
        <w:outlineLvl w:val="9"/>
        <w:rPr>
          <w:b/>
          <w:color w:val="auto"/>
          <w:sz w:val="13"/>
          <w:szCs w:val="13"/>
        </w:rPr>
      </w:pPr>
    </w:p>
    <w:p w14:paraId="292EFCEE">
      <w:pPr>
        <w:spacing w:line="560" w:lineRule="exact"/>
        <w:rPr>
          <w:rFonts w:ascii="仿宋" w:hAnsi="仿宋" w:eastAsia="仿宋"/>
          <w:color w:val="auto"/>
          <w:sz w:val="28"/>
          <w:szCs w:val="28"/>
        </w:rPr>
      </w:pPr>
      <w:r>
        <w:rPr>
          <w:rFonts w:ascii="仿宋" w:hAnsi="仿宋" w:eastAsia="仿宋"/>
          <w:color w:val="auto"/>
          <w:sz w:val="28"/>
          <w:szCs w:val="28"/>
        </w:rPr>
        <w:t>甲</w:t>
      </w:r>
      <w:r>
        <w:rPr>
          <w:rFonts w:hint="eastAsia" w:ascii="仿宋" w:hAnsi="仿宋" w:eastAsia="仿宋"/>
          <w:color w:val="auto"/>
          <w:sz w:val="28"/>
          <w:szCs w:val="28"/>
          <w:lang w:val="en-US" w:eastAsia="zh-CN"/>
        </w:rPr>
        <w:t xml:space="preserve">  </w:t>
      </w:r>
      <w:r>
        <w:rPr>
          <w:rFonts w:ascii="仿宋" w:hAnsi="仿宋" w:eastAsia="仿宋"/>
          <w:color w:val="auto"/>
          <w:sz w:val="28"/>
          <w:szCs w:val="28"/>
        </w:rPr>
        <w:t>方：深圳博物馆</w:t>
      </w:r>
    </w:p>
    <w:p w14:paraId="4D834190">
      <w:pPr>
        <w:pStyle w:val="13"/>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联系人：</w:t>
      </w:r>
    </w:p>
    <w:p w14:paraId="5E099B2D">
      <w:pPr>
        <w:pStyle w:val="13"/>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地  址：</w:t>
      </w:r>
    </w:p>
    <w:p w14:paraId="20B2E016">
      <w:pPr>
        <w:spacing w:line="560" w:lineRule="exact"/>
        <w:rPr>
          <w:rFonts w:ascii="仿宋" w:hAnsi="仿宋" w:eastAsia="仿宋"/>
          <w:color w:val="auto"/>
          <w:sz w:val="28"/>
          <w:szCs w:val="28"/>
        </w:rPr>
      </w:pPr>
      <w:r>
        <w:rPr>
          <w:rFonts w:ascii="仿宋" w:hAnsi="仿宋" w:eastAsia="仿宋"/>
          <w:color w:val="auto"/>
          <w:sz w:val="28"/>
          <w:szCs w:val="28"/>
        </w:rPr>
        <w:t>乙</w:t>
      </w:r>
      <w:r>
        <w:rPr>
          <w:rFonts w:hint="eastAsia" w:ascii="仿宋" w:hAnsi="仿宋" w:eastAsia="仿宋"/>
          <w:color w:val="auto"/>
          <w:sz w:val="28"/>
          <w:szCs w:val="28"/>
          <w:lang w:val="en-US" w:eastAsia="zh-CN"/>
        </w:rPr>
        <w:t xml:space="preserve">  </w:t>
      </w:r>
      <w:r>
        <w:rPr>
          <w:rFonts w:ascii="仿宋" w:hAnsi="仿宋" w:eastAsia="仿宋"/>
          <w:color w:val="auto"/>
          <w:sz w:val="28"/>
          <w:szCs w:val="28"/>
        </w:rPr>
        <w:t>方：</w:t>
      </w:r>
    </w:p>
    <w:p w14:paraId="4870F50A">
      <w:pPr>
        <w:pStyle w:val="13"/>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联系人：</w:t>
      </w:r>
    </w:p>
    <w:p w14:paraId="428304A6">
      <w:pPr>
        <w:pStyle w:val="13"/>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地  址：</w:t>
      </w:r>
    </w:p>
    <w:p w14:paraId="7ADEA114">
      <w:pPr>
        <w:spacing w:line="560" w:lineRule="exact"/>
        <w:rPr>
          <w:rFonts w:ascii="仿宋" w:hAnsi="仿宋" w:eastAsia="仿宋"/>
          <w:color w:val="auto"/>
          <w:sz w:val="28"/>
          <w:szCs w:val="28"/>
        </w:rPr>
      </w:pPr>
      <w:r>
        <w:rPr>
          <w:rFonts w:ascii="仿宋" w:hAnsi="仿宋" w:eastAsia="仿宋"/>
          <w:color w:val="auto"/>
          <w:sz w:val="28"/>
          <w:szCs w:val="28"/>
        </w:rPr>
        <w:t xml:space="preserve"> </w:t>
      </w:r>
    </w:p>
    <w:p w14:paraId="0945643E">
      <w:pPr>
        <w:ind w:firstLine="420"/>
        <w:rPr>
          <w:rFonts w:ascii="宋体" w:hAnsi="宋体" w:eastAsia="宋体"/>
          <w:color w:val="auto"/>
        </w:rPr>
      </w:pPr>
    </w:p>
    <w:p w14:paraId="3403A7C0">
      <w:pPr>
        <w:spacing w:line="560" w:lineRule="exact"/>
        <w:ind w:firstLine="560"/>
        <w:rPr>
          <w:rFonts w:ascii="仿宋" w:hAnsi="仿宋" w:eastAsia="仿宋"/>
          <w:color w:val="auto"/>
          <w:sz w:val="28"/>
          <w:szCs w:val="28"/>
        </w:rPr>
      </w:pPr>
      <w:r>
        <w:rPr>
          <w:rFonts w:hint="eastAsia" w:ascii="仿宋" w:hAnsi="仿宋" w:eastAsia="仿宋" w:cs="仿宋"/>
          <w:color w:val="auto"/>
          <w:sz w:val="28"/>
          <w:szCs w:val="28"/>
          <w:highlight w:val="none"/>
          <w:lang w:val="en-US"/>
        </w:rPr>
        <w:t>根据</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rPr>
        <w:t>号招标项目的</w:t>
      </w:r>
      <w:r>
        <w:rPr>
          <w:rFonts w:hint="eastAsia" w:ascii="仿宋" w:hAnsi="仿宋" w:eastAsia="仿宋" w:cs="仿宋"/>
          <w:color w:val="auto"/>
          <w:sz w:val="28"/>
          <w:szCs w:val="28"/>
          <w:highlight w:val="none"/>
          <w:lang w:val="en-US" w:eastAsia="zh-CN"/>
        </w:rPr>
        <w:t>中</w:t>
      </w:r>
      <w:r>
        <w:rPr>
          <w:rFonts w:hint="eastAsia" w:ascii="仿宋" w:hAnsi="仿宋" w:eastAsia="仿宋" w:cs="仿宋"/>
          <w:color w:val="auto"/>
          <w:sz w:val="28"/>
          <w:szCs w:val="28"/>
          <w:highlight w:val="none"/>
          <w:lang w:val="en-US"/>
        </w:rPr>
        <w:t>标结果，</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rPr>
        <w:t>为中标方。</w:t>
      </w:r>
      <w:r>
        <w:rPr>
          <w:rFonts w:hint="eastAsia" w:ascii="仿宋" w:hAnsi="仿宋" w:eastAsia="仿宋"/>
          <w:color w:val="auto"/>
          <w:sz w:val="28"/>
          <w:szCs w:val="28"/>
          <w:lang w:val="en-US" w:eastAsia="zh-CN"/>
        </w:rPr>
        <w:t>按照</w:t>
      </w:r>
      <w:r>
        <w:rPr>
          <w:rFonts w:ascii="仿宋" w:hAnsi="仿宋" w:eastAsia="仿宋"/>
          <w:color w:val="auto"/>
          <w:sz w:val="28"/>
          <w:szCs w:val="28"/>
        </w:rPr>
        <w:t>《中华人民共和国民法典》</w:t>
      </w:r>
      <w:r>
        <w:rPr>
          <w:rFonts w:hint="default" w:ascii="仿宋" w:hAnsi="仿宋" w:eastAsia="仿宋" w:cstheme="minorBidi"/>
          <w:bCs w:val="0"/>
          <w:color w:val="auto"/>
          <w:sz w:val="28"/>
          <w:szCs w:val="28"/>
        </w:rPr>
        <w:t>《中华人民共和国著作权法》</w:t>
      </w:r>
      <w:r>
        <w:rPr>
          <w:rFonts w:ascii="仿宋" w:hAnsi="仿宋" w:eastAsia="仿宋"/>
          <w:color w:val="auto"/>
          <w:sz w:val="28"/>
          <w:szCs w:val="28"/>
        </w:rPr>
        <w:t>等有关</w:t>
      </w:r>
      <w:r>
        <w:rPr>
          <w:rFonts w:hint="eastAsia" w:ascii="仿宋" w:hAnsi="仿宋" w:eastAsia="仿宋"/>
          <w:color w:val="auto"/>
          <w:sz w:val="28"/>
          <w:szCs w:val="28"/>
          <w:lang w:val="en-US" w:eastAsia="zh-CN"/>
        </w:rPr>
        <w:t>法律法规的</w:t>
      </w:r>
      <w:r>
        <w:rPr>
          <w:rFonts w:ascii="仿宋" w:hAnsi="仿宋" w:eastAsia="仿宋"/>
          <w:color w:val="auto"/>
          <w:sz w:val="28"/>
          <w:szCs w:val="28"/>
        </w:rPr>
        <w:t>规定，甲乙双方经过友好协商，本着自愿、平等、互利的原则，就</w:t>
      </w:r>
      <w:r>
        <w:rPr>
          <w:rFonts w:hint="eastAsia" w:ascii="仿宋" w:hAnsi="仿宋" w:eastAsia="仿宋"/>
          <w:color w:val="auto"/>
          <w:sz w:val="28"/>
          <w:szCs w:val="28"/>
          <w:lang w:val="en-US" w:eastAsia="zh-CN"/>
        </w:rPr>
        <w:t>深圳自然博物馆展品征集（古生物标本修复）服务</w:t>
      </w:r>
      <w:r>
        <w:rPr>
          <w:rFonts w:ascii="仿宋" w:hAnsi="仿宋" w:eastAsia="仿宋"/>
          <w:color w:val="auto"/>
          <w:sz w:val="28"/>
          <w:szCs w:val="28"/>
        </w:rPr>
        <w:t>相关事宜达成一致，订立如下合同，以兹共同遵守。</w:t>
      </w:r>
    </w:p>
    <w:p w14:paraId="42FD0FD4">
      <w:pPr>
        <w:spacing w:line="560" w:lineRule="exact"/>
        <w:rPr>
          <w:rFonts w:ascii="仿宋" w:hAnsi="仿宋" w:eastAsia="仿宋"/>
          <w:b/>
          <w:color w:val="auto"/>
          <w:sz w:val="28"/>
          <w:szCs w:val="28"/>
        </w:rPr>
      </w:pPr>
    </w:p>
    <w:p w14:paraId="355C5231">
      <w:pPr>
        <w:spacing w:line="520" w:lineRule="exact"/>
        <w:ind w:firstLine="562" w:firstLineChars="200"/>
        <w:outlineLvl w:val="9"/>
        <w:rPr>
          <w:rFonts w:hint="eastAsia" w:ascii="仿宋" w:hAnsi="仿宋" w:eastAsia="仿宋"/>
          <w:b/>
          <w:bCs/>
          <w:color w:val="auto"/>
          <w:sz w:val="28"/>
          <w:szCs w:val="28"/>
        </w:rPr>
      </w:pPr>
      <w:r>
        <w:rPr>
          <w:rFonts w:hint="eastAsia" w:ascii="仿宋" w:hAnsi="仿宋" w:eastAsia="仿宋"/>
          <w:b/>
          <w:bCs/>
          <w:color w:val="auto"/>
          <w:sz w:val="28"/>
          <w:szCs w:val="28"/>
        </w:rPr>
        <w:t>第一条  项目概况</w:t>
      </w:r>
    </w:p>
    <w:p w14:paraId="7B04A5B3">
      <w:pPr>
        <w:spacing w:line="240" w:lineRule="auto"/>
        <w:ind w:firstLine="560" w:firstLineChars="200"/>
        <w:outlineLvl w:val="9"/>
        <w:rPr>
          <w:rFonts w:hint="default" w:ascii="仿宋" w:hAnsi="仿宋" w:eastAsia="仿宋"/>
          <w:color w:val="auto"/>
          <w:sz w:val="28"/>
          <w:szCs w:val="28"/>
          <w:lang w:val="en-US" w:eastAsia="zh-CN"/>
        </w:rPr>
      </w:pPr>
      <w:r>
        <w:rPr>
          <w:rFonts w:ascii="仿宋" w:hAnsi="仿宋" w:eastAsia="仿宋"/>
          <w:color w:val="auto"/>
          <w:sz w:val="28"/>
          <w:szCs w:val="28"/>
        </w:rPr>
        <w:t>1</w:t>
      </w:r>
      <w:r>
        <w:rPr>
          <w:rFonts w:hint="eastAsia" w:ascii="仿宋" w:hAnsi="仿宋" w:eastAsia="仿宋"/>
          <w:color w:val="auto"/>
          <w:sz w:val="28"/>
          <w:szCs w:val="28"/>
          <w:lang w:val="en-US" w:eastAsia="zh-CN"/>
        </w:rPr>
        <w:t>.</w:t>
      </w:r>
      <w:r>
        <w:rPr>
          <w:rFonts w:ascii="仿宋" w:hAnsi="仿宋" w:eastAsia="仿宋"/>
          <w:color w:val="auto"/>
          <w:sz w:val="28"/>
          <w:szCs w:val="28"/>
        </w:rPr>
        <w:t>项目名称：</w:t>
      </w:r>
      <w:r>
        <w:rPr>
          <w:rFonts w:hint="eastAsia" w:ascii="仿宋" w:hAnsi="仿宋" w:eastAsia="仿宋"/>
          <w:color w:val="auto"/>
          <w:sz w:val="28"/>
          <w:szCs w:val="28"/>
          <w:lang w:val="en-US" w:eastAsia="zh-CN"/>
        </w:rPr>
        <w:t>深圳自然博物馆展品征集（古生物标本修复）服务</w:t>
      </w:r>
    </w:p>
    <w:p w14:paraId="6FCB20E6">
      <w:pPr>
        <w:numPr>
          <w:ilvl w:val="-1"/>
          <w:numId w:val="0"/>
        </w:numPr>
        <w:spacing w:line="520" w:lineRule="exact"/>
        <w:ind w:firstLine="560" w:firstLineChars="200"/>
        <w:outlineLvl w:val="9"/>
        <w:rPr>
          <w:rFonts w:ascii="仿宋" w:hAnsi="仿宋" w:eastAsia="仿宋"/>
          <w:color w:val="auto"/>
          <w:sz w:val="28"/>
          <w:szCs w:val="28"/>
        </w:rPr>
      </w:pPr>
      <w:r>
        <w:rPr>
          <w:rFonts w:hint="eastAsia" w:ascii="仿宋" w:hAnsi="仿宋" w:eastAsia="仿宋"/>
          <w:color w:val="auto"/>
          <w:sz w:val="28"/>
          <w:szCs w:val="28"/>
          <w:lang w:val="en-US" w:eastAsia="zh-CN"/>
        </w:rPr>
        <w:t>2.交付</w:t>
      </w:r>
      <w:r>
        <w:rPr>
          <w:rFonts w:ascii="仿宋" w:hAnsi="仿宋" w:eastAsia="仿宋"/>
          <w:color w:val="auto"/>
          <w:sz w:val="28"/>
          <w:szCs w:val="28"/>
        </w:rPr>
        <w:t>期限：</w:t>
      </w:r>
    </w:p>
    <w:p w14:paraId="73632FCF">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（1）自乙方接收待修复标本之日起30个日历日内完成甲方指定的至少50件标本的修复，60个日历日内完成甲方指定的至少100件标本的修复，剩余标本在120个日历日内完成修复。</w:t>
      </w:r>
    </w:p>
    <w:p w14:paraId="40164947">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3.包装及运输要求</w:t>
      </w:r>
    </w:p>
    <w:p w14:paraId="63270B7F">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乙方负责将修复后的标本实物运抵甲方指定的地点，并负责提供标本实物的包装，以及保证包装应适合于运输距离、防潮、防震、防腐蚀和防粗暴装卸，确保标本实物安全无损运抵交货地点。在标本实物运抵甲方并验收合格前产生的一切不利后果，包括但不限于运输毁损、被盗或遗失等突发情形，均由乙方承担，并提供应对措施，以保障甲方权益。</w:t>
      </w:r>
    </w:p>
    <w:p w14:paraId="790A3A69">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（2）标本运费、安全保障费、装卸摆放费等因交货产生的所有费用已包含在本项目总体费用中，甲方不再另行支付其他任何费用。</w:t>
      </w:r>
    </w:p>
    <w:p w14:paraId="63839146">
      <w:pPr>
        <w:numPr>
          <w:ilvl w:val="-1"/>
          <w:numId w:val="0"/>
        </w:numPr>
        <w:spacing w:line="520" w:lineRule="exact"/>
        <w:ind w:firstLine="560"/>
        <w:outlineLvl w:val="9"/>
        <w:rPr>
          <w:rFonts w:hint="default" w:ascii="仿宋" w:hAnsi="仿宋" w:eastAsia="仿宋" w:cstheme="minorBidi"/>
          <w:color w:val="auto"/>
          <w:sz w:val="28"/>
          <w:szCs w:val="28"/>
          <w:lang w:val="en-US" w:eastAsia="zh-CN"/>
        </w:rPr>
      </w:pPr>
      <w:r>
        <w:rPr>
          <w:rFonts w:hint="eastAsia" w:ascii="仿宋" w:hAnsi="仿宋" w:eastAsia="仿宋"/>
          <w:color w:val="auto"/>
          <w:sz w:val="28"/>
          <w:szCs w:val="28"/>
          <w:lang w:val="en-US" w:eastAsia="zh-CN"/>
        </w:rPr>
        <w:t>4.</w:t>
      </w:r>
      <w:r>
        <w:rPr>
          <w:rFonts w:hint="default" w:ascii="仿宋" w:hAnsi="仿宋" w:eastAsia="仿宋"/>
          <w:color w:val="auto"/>
          <w:sz w:val="28"/>
          <w:szCs w:val="28"/>
          <w:lang w:val="en-US" w:eastAsia="zh-CN"/>
        </w:rPr>
        <w:t>服务地点：</w:t>
      </w:r>
      <w:r>
        <w:rPr>
          <w:rFonts w:hint="eastAsia" w:ascii="仿宋" w:hAnsi="仿宋" w:eastAsia="仿宋" w:cstheme="minorBidi"/>
          <w:color w:val="auto"/>
          <w:sz w:val="28"/>
          <w:szCs w:val="28"/>
          <w:lang w:val="en-US" w:eastAsia="zh-CN"/>
        </w:rPr>
        <w:t>甲方指定的地点。</w:t>
      </w:r>
    </w:p>
    <w:p w14:paraId="348908D1">
      <w:pPr>
        <w:spacing w:line="520" w:lineRule="exact"/>
        <w:ind w:firstLine="562" w:firstLineChars="200"/>
        <w:outlineLvl w:val="9"/>
        <w:rPr>
          <w:rFonts w:hint="eastAsia" w:ascii="仿宋" w:hAnsi="仿宋" w:eastAsia="仿宋"/>
          <w:b/>
          <w:bCs/>
          <w:color w:val="auto"/>
          <w:sz w:val="28"/>
          <w:szCs w:val="28"/>
          <w:lang w:val="en-US" w:eastAsia="zh-CN"/>
        </w:rPr>
      </w:pPr>
      <w:r>
        <w:rPr>
          <w:rFonts w:hint="eastAsia" w:ascii="仿宋" w:hAnsi="仿宋" w:eastAsia="仿宋"/>
          <w:b/>
          <w:bCs/>
          <w:color w:val="auto"/>
          <w:sz w:val="28"/>
          <w:szCs w:val="28"/>
        </w:rPr>
        <w:t>第二条  服务内容</w:t>
      </w:r>
      <w:r>
        <w:rPr>
          <w:rFonts w:hint="eastAsia" w:ascii="仿宋" w:hAnsi="仿宋" w:eastAsia="仿宋"/>
          <w:b/>
          <w:bCs/>
          <w:color w:val="auto"/>
          <w:sz w:val="28"/>
          <w:szCs w:val="28"/>
          <w:lang w:val="en-US" w:eastAsia="zh-CN"/>
        </w:rPr>
        <w:t>及要求</w:t>
      </w:r>
    </w:p>
    <w:p w14:paraId="32C23BEF">
      <w:pPr>
        <w:numPr>
          <w:ilvl w:val="-1"/>
          <w:numId w:val="0"/>
        </w:numPr>
        <w:spacing w:line="520" w:lineRule="exact"/>
        <w:ind w:firstLine="560" w:firstLineChars="200"/>
        <w:outlineLvl w:val="9"/>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（一）服务内容及要求</w:t>
      </w:r>
    </w:p>
    <w:p w14:paraId="0EC1AD0B">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按照甲方要求修复不少于160件古生物化石标本（具体规格见合同附件1），项目支付上限400万元。其中板状化石数量约45%、立体保存化石数量约55%。</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1488"/>
        <w:gridCol w:w="2914"/>
        <w:gridCol w:w="1802"/>
        <w:gridCol w:w="1314"/>
      </w:tblGrid>
      <w:tr w14:paraId="59B2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Align w:val="center"/>
          </w:tcPr>
          <w:p w14:paraId="26162ED6">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序号</w:t>
            </w:r>
          </w:p>
        </w:tc>
        <w:tc>
          <w:tcPr>
            <w:tcW w:w="873" w:type="pct"/>
            <w:vAlign w:val="center"/>
          </w:tcPr>
          <w:p w14:paraId="5C1EFF1D">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类别</w:t>
            </w:r>
          </w:p>
        </w:tc>
        <w:tc>
          <w:tcPr>
            <w:tcW w:w="1709" w:type="pct"/>
            <w:vAlign w:val="center"/>
          </w:tcPr>
          <w:p w14:paraId="125A5B6F">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Hans" w:bidi="ar-SA"/>
              </w:rPr>
            </w:pPr>
            <w:r>
              <w:rPr>
                <w:rFonts w:hint="eastAsia" w:ascii="仿宋" w:hAnsi="仿宋" w:eastAsia="仿宋" w:cs="仿宋"/>
                <w:b w:val="0"/>
                <w:bCs w:val="0"/>
                <w:color w:val="auto"/>
                <w:w w:val="100"/>
                <w:kern w:val="2"/>
                <w:sz w:val="28"/>
                <w:szCs w:val="28"/>
                <w:highlight w:val="none"/>
                <w:shd w:val="clear"/>
                <w:vertAlign w:val="baseline"/>
                <w:lang w:val="en-US" w:eastAsia="zh-Hans" w:bidi="ar-SA"/>
              </w:rPr>
              <w:t>面积（平方米）</w:t>
            </w:r>
          </w:p>
        </w:tc>
        <w:tc>
          <w:tcPr>
            <w:tcW w:w="1057" w:type="pct"/>
            <w:vAlign w:val="center"/>
          </w:tcPr>
          <w:p w14:paraId="1BA99D64">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修复费用基准价（万元/件）</w:t>
            </w:r>
          </w:p>
        </w:tc>
        <w:tc>
          <w:tcPr>
            <w:tcW w:w="770" w:type="pct"/>
            <w:vAlign w:val="center"/>
          </w:tcPr>
          <w:p w14:paraId="2719BD3C">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备注</w:t>
            </w:r>
          </w:p>
        </w:tc>
      </w:tr>
      <w:tr w14:paraId="2CBB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Align w:val="center"/>
          </w:tcPr>
          <w:p w14:paraId="63FE3572">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1</w:t>
            </w:r>
          </w:p>
        </w:tc>
        <w:tc>
          <w:tcPr>
            <w:tcW w:w="873" w:type="pct"/>
            <w:vMerge w:val="restart"/>
            <w:vAlign w:val="center"/>
          </w:tcPr>
          <w:p w14:paraId="33161B02">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color w:val="auto"/>
                <w:w w:val="100"/>
                <w:kern w:val="2"/>
                <w:sz w:val="28"/>
                <w:szCs w:val="28"/>
                <w:highlight w:val="none"/>
                <w:shd w:val="clear"/>
                <w:lang w:val="en-US" w:eastAsia="zh-CN" w:bidi="ar-SA"/>
              </w:rPr>
              <w:t>板状化石</w:t>
            </w:r>
          </w:p>
        </w:tc>
        <w:tc>
          <w:tcPr>
            <w:tcW w:w="1709" w:type="pct"/>
            <w:vAlign w:val="center"/>
          </w:tcPr>
          <w:p w14:paraId="2FA468C3">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0.04（含）以下</w:t>
            </w:r>
          </w:p>
        </w:tc>
        <w:tc>
          <w:tcPr>
            <w:tcW w:w="1057" w:type="pct"/>
            <w:vAlign w:val="center"/>
          </w:tcPr>
          <w:p w14:paraId="7D4C1D40">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Hans"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0</w:t>
            </w:r>
            <w:r>
              <w:rPr>
                <w:rFonts w:hint="eastAsia" w:ascii="仿宋" w:hAnsi="仿宋" w:eastAsia="仿宋" w:cs="仿宋"/>
                <w:b w:val="0"/>
                <w:bCs w:val="0"/>
                <w:color w:val="auto"/>
                <w:w w:val="100"/>
                <w:kern w:val="2"/>
                <w:sz w:val="28"/>
                <w:szCs w:val="28"/>
                <w:highlight w:val="none"/>
                <w:shd w:val="clear"/>
                <w:vertAlign w:val="baseline"/>
                <w:lang w:val="en-US" w:eastAsia="zh-Hans" w:bidi="ar-SA"/>
              </w:rPr>
              <w:t>.5</w:t>
            </w:r>
          </w:p>
        </w:tc>
        <w:tc>
          <w:tcPr>
            <w:tcW w:w="770" w:type="pct"/>
            <w:vAlign w:val="center"/>
          </w:tcPr>
          <w:p w14:paraId="5995D2BD">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r>
      <w:tr w14:paraId="74A3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Align w:val="center"/>
          </w:tcPr>
          <w:p w14:paraId="450AE8A7">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2</w:t>
            </w:r>
          </w:p>
        </w:tc>
        <w:tc>
          <w:tcPr>
            <w:tcW w:w="873" w:type="pct"/>
            <w:vMerge w:val="continue"/>
            <w:vAlign w:val="center"/>
          </w:tcPr>
          <w:p w14:paraId="765FF4E1">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c>
          <w:tcPr>
            <w:tcW w:w="1709" w:type="pct"/>
            <w:vAlign w:val="center"/>
          </w:tcPr>
          <w:p w14:paraId="7A3513D7">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0.04（不含）-0.25（含）</w:t>
            </w:r>
          </w:p>
        </w:tc>
        <w:tc>
          <w:tcPr>
            <w:tcW w:w="1057" w:type="pct"/>
            <w:vAlign w:val="center"/>
          </w:tcPr>
          <w:p w14:paraId="54208A91">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1</w:t>
            </w:r>
          </w:p>
        </w:tc>
        <w:tc>
          <w:tcPr>
            <w:tcW w:w="770" w:type="pct"/>
            <w:vAlign w:val="center"/>
          </w:tcPr>
          <w:p w14:paraId="06E0A108">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r>
      <w:tr w14:paraId="534C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Align w:val="center"/>
          </w:tcPr>
          <w:p w14:paraId="46C0A784">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3</w:t>
            </w:r>
          </w:p>
        </w:tc>
        <w:tc>
          <w:tcPr>
            <w:tcW w:w="873" w:type="pct"/>
            <w:vMerge w:val="continue"/>
            <w:vAlign w:val="center"/>
          </w:tcPr>
          <w:p w14:paraId="76B619FA">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c>
          <w:tcPr>
            <w:tcW w:w="1709" w:type="pct"/>
            <w:vAlign w:val="center"/>
          </w:tcPr>
          <w:p w14:paraId="55571EA6">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0.25（不含）-1（含）</w:t>
            </w:r>
          </w:p>
        </w:tc>
        <w:tc>
          <w:tcPr>
            <w:tcW w:w="1057" w:type="pct"/>
            <w:vAlign w:val="center"/>
          </w:tcPr>
          <w:p w14:paraId="197D6BA0">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3</w:t>
            </w:r>
          </w:p>
        </w:tc>
        <w:tc>
          <w:tcPr>
            <w:tcW w:w="770" w:type="pct"/>
            <w:vAlign w:val="center"/>
          </w:tcPr>
          <w:p w14:paraId="71417697">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r>
      <w:tr w14:paraId="793B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Align w:val="center"/>
          </w:tcPr>
          <w:p w14:paraId="4C2B7ABC">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4</w:t>
            </w:r>
          </w:p>
        </w:tc>
        <w:tc>
          <w:tcPr>
            <w:tcW w:w="873" w:type="pct"/>
            <w:vMerge w:val="continue"/>
            <w:vAlign w:val="center"/>
          </w:tcPr>
          <w:p w14:paraId="05A4BC10">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c>
          <w:tcPr>
            <w:tcW w:w="1709" w:type="pct"/>
            <w:vAlign w:val="center"/>
          </w:tcPr>
          <w:p w14:paraId="08881235">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1（不含）-5（含）</w:t>
            </w:r>
          </w:p>
        </w:tc>
        <w:tc>
          <w:tcPr>
            <w:tcW w:w="1057" w:type="pct"/>
            <w:vAlign w:val="center"/>
          </w:tcPr>
          <w:p w14:paraId="6E5DFCDF">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5</w:t>
            </w:r>
          </w:p>
        </w:tc>
        <w:tc>
          <w:tcPr>
            <w:tcW w:w="770" w:type="pct"/>
            <w:vAlign w:val="center"/>
          </w:tcPr>
          <w:p w14:paraId="6A2E57F1">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r>
      <w:tr w14:paraId="23AC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Align w:val="center"/>
          </w:tcPr>
          <w:p w14:paraId="1CA67AA6">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5</w:t>
            </w:r>
          </w:p>
        </w:tc>
        <w:tc>
          <w:tcPr>
            <w:tcW w:w="873" w:type="pct"/>
            <w:vMerge w:val="continue"/>
            <w:vAlign w:val="center"/>
          </w:tcPr>
          <w:p w14:paraId="46B33144">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c>
          <w:tcPr>
            <w:tcW w:w="1709" w:type="pct"/>
            <w:vAlign w:val="center"/>
          </w:tcPr>
          <w:p w14:paraId="601946DF">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5（不含）-10（含）</w:t>
            </w:r>
          </w:p>
        </w:tc>
        <w:tc>
          <w:tcPr>
            <w:tcW w:w="1057" w:type="pct"/>
            <w:vAlign w:val="center"/>
          </w:tcPr>
          <w:p w14:paraId="2DF03F14">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10</w:t>
            </w:r>
          </w:p>
        </w:tc>
        <w:tc>
          <w:tcPr>
            <w:tcW w:w="770" w:type="pct"/>
            <w:vAlign w:val="center"/>
          </w:tcPr>
          <w:p w14:paraId="7661BF01">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r>
      <w:tr w14:paraId="2B36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Align w:val="center"/>
          </w:tcPr>
          <w:p w14:paraId="6149DD4C">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6</w:t>
            </w:r>
          </w:p>
        </w:tc>
        <w:tc>
          <w:tcPr>
            <w:tcW w:w="873" w:type="pct"/>
            <w:vMerge w:val="continue"/>
            <w:vAlign w:val="center"/>
          </w:tcPr>
          <w:p w14:paraId="11CA5D75">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c>
          <w:tcPr>
            <w:tcW w:w="1709" w:type="pct"/>
            <w:vAlign w:val="center"/>
          </w:tcPr>
          <w:p w14:paraId="4FDE6048">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10（不含）以上</w:t>
            </w:r>
          </w:p>
        </w:tc>
        <w:tc>
          <w:tcPr>
            <w:tcW w:w="1057" w:type="pct"/>
            <w:vAlign w:val="center"/>
          </w:tcPr>
          <w:p w14:paraId="08F898AF">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32</w:t>
            </w:r>
          </w:p>
        </w:tc>
        <w:tc>
          <w:tcPr>
            <w:tcW w:w="770" w:type="pct"/>
            <w:vAlign w:val="center"/>
          </w:tcPr>
          <w:p w14:paraId="5591984C">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r>
      <w:tr w14:paraId="70AF1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Align w:val="center"/>
          </w:tcPr>
          <w:p w14:paraId="52E99651">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7</w:t>
            </w:r>
          </w:p>
        </w:tc>
        <w:tc>
          <w:tcPr>
            <w:tcW w:w="873" w:type="pct"/>
            <w:vMerge w:val="restart"/>
            <w:vAlign w:val="center"/>
          </w:tcPr>
          <w:p w14:paraId="73E6B684">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Hans" w:bidi="ar-SA"/>
              </w:rPr>
            </w:pPr>
            <w:r>
              <w:rPr>
                <w:rFonts w:hint="eastAsia" w:ascii="仿宋" w:hAnsi="仿宋" w:eastAsia="仿宋" w:cs="仿宋"/>
                <w:color w:val="auto"/>
                <w:w w:val="100"/>
                <w:kern w:val="2"/>
                <w:sz w:val="28"/>
                <w:szCs w:val="28"/>
                <w:highlight w:val="none"/>
                <w:shd w:val="clear"/>
                <w:lang w:val="en-US" w:eastAsia="zh-CN" w:bidi="ar-SA"/>
              </w:rPr>
              <w:t>立体保存化石</w:t>
            </w:r>
          </w:p>
        </w:tc>
        <w:tc>
          <w:tcPr>
            <w:tcW w:w="1709" w:type="pct"/>
            <w:vAlign w:val="center"/>
          </w:tcPr>
          <w:p w14:paraId="5098D28E">
            <w:pPr>
              <w:keepNext w:val="0"/>
              <w:keepLines w:val="0"/>
              <w:widowControl w:val="0"/>
              <w:numPr>
                <w:ilvl w:val="0"/>
                <w:numId w:val="0"/>
              </w:numPr>
              <w:suppressLineNumbers w:val="0"/>
              <w:wordWrap/>
              <w:autoSpaceDE/>
              <w:autoSpaceDN/>
              <w:spacing w:before="0" w:beforeAutospacing="0" w:after="0" w:afterAutospacing="0"/>
              <w:ind w:left="0" w:leftChars="0" w:right="0" w:firstLine="0" w:firstLineChars="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0.04（含）以下</w:t>
            </w:r>
          </w:p>
        </w:tc>
        <w:tc>
          <w:tcPr>
            <w:tcW w:w="1057" w:type="pct"/>
            <w:vAlign w:val="center"/>
          </w:tcPr>
          <w:p w14:paraId="7429CCB4">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Hans"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0</w:t>
            </w:r>
            <w:r>
              <w:rPr>
                <w:rFonts w:hint="eastAsia" w:ascii="仿宋" w:hAnsi="仿宋" w:eastAsia="仿宋" w:cs="仿宋"/>
                <w:b w:val="0"/>
                <w:bCs w:val="0"/>
                <w:color w:val="auto"/>
                <w:w w:val="100"/>
                <w:kern w:val="2"/>
                <w:sz w:val="28"/>
                <w:szCs w:val="28"/>
                <w:highlight w:val="none"/>
                <w:shd w:val="clear"/>
                <w:vertAlign w:val="baseline"/>
                <w:lang w:val="en-US" w:eastAsia="zh-Hans" w:bidi="ar-SA"/>
              </w:rPr>
              <w:t>.5</w:t>
            </w:r>
          </w:p>
        </w:tc>
        <w:tc>
          <w:tcPr>
            <w:tcW w:w="770" w:type="pct"/>
            <w:vAlign w:val="center"/>
          </w:tcPr>
          <w:p w14:paraId="0483CCAC">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r>
      <w:tr w14:paraId="0E27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Align w:val="center"/>
          </w:tcPr>
          <w:p w14:paraId="6935B0C5">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8</w:t>
            </w:r>
          </w:p>
        </w:tc>
        <w:tc>
          <w:tcPr>
            <w:tcW w:w="873" w:type="pct"/>
            <w:vMerge w:val="continue"/>
            <w:vAlign w:val="center"/>
          </w:tcPr>
          <w:p w14:paraId="728AD252">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c>
          <w:tcPr>
            <w:tcW w:w="1709" w:type="pct"/>
            <w:vAlign w:val="center"/>
          </w:tcPr>
          <w:p w14:paraId="07972EC7">
            <w:pPr>
              <w:keepNext w:val="0"/>
              <w:keepLines w:val="0"/>
              <w:widowControl w:val="0"/>
              <w:numPr>
                <w:ilvl w:val="0"/>
                <w:numId w:val="0"/>
              </w:numPr>
              <w:suppressLineNumbers w:val="0"/>
              <w:wordWrap/>
              <w:autoSpaceDE/>
              <w:autoSpaceDN/>
              <w:spacing w:before="0" w:beforeAutospacing="0" w:after="0" w:afterAutospacing="0"/>
              <w:ind w:left="0" w:leftChars="0" w:right="0" w:firstLine="0" w:firstLineChars="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0.04（不含）-0.25（含）</w:t>
            </w:r>
          </w:p>
        </w:tc>
        <w:tc>
          <w:tcPr>
            <w:tcW w:w="1057" w:type="pct"/>
            <w:vAlign w:val="center"/>
          </w:tcPr>
          <w:p w14:paraId="1B19C296">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1</w:t>
            </w:r>
          </w:p>
        </w:tc>
        <w:tc>
          <w:tcPr>
            <w:tcW w:w="770" w:type="pct"/>
            <w:vAlign w:val="center"/>
          </w:tcPr>
          <w:p w14:paraId="3844F80C">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r>
      <w:tr w14:paraId="7212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Align w:val="center"/>
          </w:tcPr>
          <w:p w14:paraId="34230EA0">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9</w:t>
            </w:r>
          </w:p>
        </w:tc>
        <w:tc>
          <w:tcPr>
            <w:tcW w:w="873" w:type="pct"/>
            <w:vMerge w:val="continue"/>
            <w:vAlign w:val="center"/>
          </w:tcPr>
          <w:p w14:paraId="4ECDAB98">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c>
          <w:tcPr>
            <w:tcW w:w="1709" w:type="pct"/>
            <w:vAlign w:val="center"/>
          </w:tcPr>
          <w:p w14:paraId="4A9FC8AC">
            <w:pPr>
              <w:keepNext w:val="0"/>
              <w:keepLines w:val="0"/>
              <w:widowControl w:val="0"/>
              <w:numPr>
                <w:ilvl w:val="0"/>
                <w:numId w:val="0"/>
              </w:numPr>
              <w:suppressLineNumbers w:val="0"/>
              <w:wordWrap/>
              <w:autoSpaceDE/>
              <w:autoSpaceDN/>
              <w:spacing w:before="0" w:beforeAutospacing="0" w:after="0" w:afterAutospacing="0"/>
              <w:ind w:left="0" w:leftChars="0" w:right="0" w:firstLine="0" w:firstLineChars="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0.25（不含）-1（含）</w:t>
            </w:r>
          </w:p>
        </w:tc>
        <w:tc>
          <w:tcPr>
            <w:tcW w:w="1057" w:type="pct"/>
            <w:vAlign w:val="center"/>
          </w:tcPr>
          <w:p w14:paraId="1B9244AA">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3</w:t>
            </w:r>
          </w:p>
        </w:tc>
        <w:tc>
          <w:tcPr>
            <w:tcW w:w="770" w:type="pct"/>
            <w:vAlign w:val="center"/>
          </w:tcPr>
          <w:p w14:paraId="593C7F17">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r>
      <w:tr w14:paraId="0D82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Align w:val="center"/>
          </w:tcPr>
          <w:p w14:paraId="079CA4C2">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10</w:t>
            </w:r>
          </w:p>
        </w:tc>
        <w:tc>
          <w:tcPr>
            <w:tcW w:w="873" w:type="pct"/>
            <w:vMerge w:val="continue"/>
            <w:vAlign w:val="center"/>
          </w:tcPr>
          <w:p w14:paraId="4064B1BA">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c>
          <w:tcPr>
            <w:tcW w:w="1709" w:type="pct"/>
            <w:vAlign w:val="center"/>
          </w:tcPr>
          <w:p w14:paraId="726AA034">
            <w:pPr>
              <w:keepNext w:val="0"/>
              <w:keepLines w:val="0"/>
              <w:widowControl w:val="0"/>
              <w:numPr>
                <w:ilvl w:val="0"/>
                <w:numId w:val="0"/>
              </w:numPr>
              <w:suppressLineNumbers w:val="0"/>
              <w:wordWrap/>
              <w:autoSpaceDE/>
              <w:autoSpaceDN/>
              <w:spacing w:before="0" w:beforeAutospacing="0" w:after="0" w:afterAutospacing="0"/>
              <w:ind w:left="0" w:leftChars="0" w:right="0" w:firstLine="0" w:firstLineChars="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1（不含）-5（含）</w:t>
            </w:r>
          </w:p>
        </w:tc>
        <w:tc>
          <w:tcPr>
            <w:tcW w:w="1057" w:type="pct"/>
            <w:vAlign w:val="center"/>
          </w:tcPr>
          <w:p w14:paraId="6447D3F8">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5</w:t>
            </w:r>
          </w:p>
        </w:tc>
        <w:tc>
          <w:tcPr>
            <w:tcW w:w="770" w:type="pct"/>
            <w:vAlign w:val="center"/>
          </w:tcPr>
          <w:p w14:paraId="4E5CC872">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r>
      <w:tr w14:paraId="3514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Align w:val="center"/>
          </w:tcPr>
          <w:p w14:paraId="1F58A3DD">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11</w:t>
            </w:r>
          </w:p>
        </w:tc>
        <w:tc>
          <w:tcPr>
            <w:tcW w:w="873" w:type="pct"/>
            <w:vMerge w:val="continue"/>
            <w:vAlign w:val="center"/>
          </w:tcPr>
          <w:p w14:paraId="05C30C50">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c>
          <w:tcPr>
            <w:tcW w:w="1709" w:type="pct"/>
            <w:vAlign w:val="center"/>
          </w:tcPr>
          <w:p w14:paraId="51C2D547">
            <w:pPr>
              <w:keepNext w:val="0"/>
              <w:keepLines w:val="0"/>
              <w:widowControl w:val="0"/>
              <w:numPr>
                <w:ilvl w:val="0"/>
                <w:numId w:val="0"/>
              </w:numPr>
              <w:suppressLineNumbers w:val="0"/>
              <w:wordWrap/>
              <w:autoSpaceDE/>
              <w:autoSpaceDN/>
              <w:spacing w:before="0" w:beforeAutospacing="0" w:after="0" w:afterAutospacing="0"/>
              <w:ind w:left="0" w:leftChars="0" w:right="0" w:firstLine="0" w:firstLineChars="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5（不含）-10（含）</w:t>
            </w:r>
          </w:p>
        </w:tc>
        <w:tc>
          <w:tcPr>
            <w:tcW w:w="1057" w:type="pct"/>
            <w:vAlign w:val="center"/>
          </w:tcPr>
          <w:p w14:paraId="627D2C91">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6</w:t>
            </w:r>
          </w:p>
        </w:tc>
        <w:tc>
          <w:tcPr>
            <w:tcW w:w="770" w:type="pct"/>
            <w:vAlign w:val="center"/>
          </w:tcPr>
          <w:p w14:paraId="7518D4BE">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r>
      <w:tr w14:paraId="7805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Align w:val="center"/>
          </w:tcPr>
          <w:p w14:paraId="06A0CF8D">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12</w:t>
            </w:r>
          </w:p>
        </w:tc>
        <w:tc>
          <w:tcPr>
            <w:tcW w:w="873" w:type="pct"/>
            <w:vMerge w:val="continue"/>
            <w:vAlign w:val="center"/>
          </w:tcPr>
          <w:p w14:paraId="0CC1FA84">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c>
          <w:tcPr>
            <w:tcW w:w="1709" w:type="pct"/>
            <w:vAlign w:val="center"/>
          </w:tcPr>
          <w:p w14:paraId="009E122C">
            <w:pPr>
              <w:keepNext w:val="0"/>
              <w:keepLines w:val="0"/>
              <w:widowControl w:val="0"/>
              <w:numPr>
                <w:ilvl w:val="0"/>
                <w:numId w:val="0"/>
              </w:numPr>
              <w:suppressLineNumbers w:val="0"/>
              <w:wordWrap/>
              <w:autoSpaceDE/>
              <w:autoSpaceDN/>
              <w:spacing w:before="0" w:beforeAutospacing="0" w:after="0" w:afterAutospacing="0"/>
              <w:ind w:left="0" w:leftChars="0" w:right="0" w:firstLine="0" w:firstLineChars="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10（不含）以上</w:t>
            </w:r>
          </w:p>
        </w:tc>
        <w:tc>
          <w:tcPr>
            <w:tcW w:w="1057" w:type="pct"/>
            <w:vAlign w:val="center"/>
          </w:tcPr>
          <w:p w14:paraId="51D664B5">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r>
              <w:rPr>
                <w:rFonts w:hint="eastAsia" w:ascii="仿宋" w:hAnsi="仿宋" w:eastAsia="仿宋" w:cs="仿宋"/>
                <w:b w:val="0"/>
                <w:bCs w:val="0"/>
                <w:color w:val="auto"/>
                <w:w w:val="100"/>
                <w:kern w:val="2"/>
                <w:sz w:val="28"/>
                <w:szCs w:val="28"/>
                <w:highlight w:val="none"/>
                <w:shd w:val="clear"/>
                <w:vertAlign w:val="baseline"/>
                <w:lang w:val="en-US" w:eastAsia="zh-CN" w:bidi="ar-SA"/>
              </w:rPr>
              <w:t>10</w:t>
            </w:r>
          </w:p>
        </w:tc>
        <w:tc>
          <w:tcPr>
            <w:tcW w:w="770" w:type="pct"/>
            <w:vAlign w:val="center"/>
          </w:tcPr>
          <w:p w14:paraId="6E7F3912">
            <w:pPr>
              <w:keepNext w:val="0"/>
              <w:keepLines w:val="0"/>
              <w:widowControl w:val="0"/>
              <w:numPr>
                <w:ilvl w:val="0"/>
                <w:numId w:val="0"/>
              </w:numPr>
              <w:suppressLineNumbers w:val="0"/>
              <w:wordWrap/>
              <w:autoSpaceDE/>
              <w:autoSpaceDN/>
              <w:spacing w:before="0" w:beforeAutospacing="0" w:after="0" w:afterAutospacing="0"/>
              <w:ind w:left="0" w:right="0"/>
              <w:jc w:val="center"/>
              <w:outlineLvl w:val="9"/>
              <w:rPr>
                <w:rFonts w:hint="eastAsia" w:ascii="仿宋" w:hAnsi="仿宋" w:eastAsia="仿宋" w:cs="仿宋"/>
                <w:b w:val="0"/>
                <w:bCs w:val="0"/>
                <w:color w:val="auto"/>
                <w:w w:val="100"/>
                <w:kern w:val="2"/>
                <w:sz w:val="28"/>
                <w:szCs w:val="28"/>
                <w:highlight w:val="none"/>
                <w:shd w:val="clear"/>
                <w:vertAlign w:val="baseline"/>
                <w:lang w:val="en-US" w:eastAsia="zh-CN" w:bidi="ar-SA"/>
              </w:rPr>
            </w:pPr>
          </w:p>
        </w:tc>
      </w:tr>
    </w:tbl>
    <w:p w14:paraId="6A0FFA96">
      <w:pPr>
        <w:numPr>
          <w:ilvl w:val="-1"/>
          <w:numId w:val="0"/>
        </w:numPr>
        <w:spacing w:line="520" w:lineRule="exact"/>
        <w:ind w:firstLine="560" w:firstLineChars="200"/>
        <w:outlineLvl w:val="9"/>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1.修复：鉴于修复后的标本将作为甲方的科研或科普标本，关系到公众认知与科学传播质量，因此本项目对标本修复人员水平有较高要求，团队成员中应配备化石修复专业人员及具备古生物学、地层学、埋藏学研究背景的专业人员，全程参与标本修复及指导等，确保修复质量严格符合国家级博物馆收藏、展示与长期保存标准。</w:t>
      </w:r>
    </w:p>
    <w:p w14:paraId="7E910738">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2.运输：标本修复完成后分批次运输到甲方指定地点，按甲方要求进行编号且摆放至库房架或展厅安装现场。</w:t>
      </w:r>
    </w:p>
    <w:p w14:paraId="0347D8DD">
      <w:pPr>
        <w:numPr>
          <w:ilvl w:val="-1"/>
          <w:numId w:val="0"/>
        </w:numPr>
        <w:spacing w:line="520" w:lineRule="exact"/>
        <w:ind w:firstLine="560" w:firstLineChars="200"/>
        <w:outlineLvl w:val="9"/>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3.标本鉴定：乙方在标本交付前需组织专家对标本的分类学信息进行鉴定，并向甲方提交经专家签字的书面鉴定意见，鉴定专家为3个（含）以上科研院所、大学或省级博物馆等国家行政机关或事业单位副高（含）以上职称相关专业人员（若甲方复核后对鉴定意见提出异议，乙方需重新组织专家鉴定）。标本鉴定及异议后重新鉴定的费用已包含在本项目整体服务费用中，甲方不再另行支付其他费用。</w:t>
      </w:r>
    </w:p>
    <w:p w14:paraId="3A7CD6D6">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4.其他服务：乙方为甲方提供毛板标本验收的便利条件；自甲方整体验收合格之日起一年内，乙方协助或指导布展方实施标本安装与成品保护工作。</w:t>
      </w:r>
    </w:p>
    <w:p w14:paraId="08A23744">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二、具体要求</w:t>
      </w:r>
    </w:p>
    <w:p w14:paraId="4BDBB7A9">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default" w:ascii="仿宋" w:hAnsi="仿宋" w:eastAsia="仿宋"/>
          <w:color w:val="auto"/>
          <w:sz w:val="28"/>
          <w:szCs w:val="28"/>
          <w:lang w:val="en-US" w:eastAsia="zh-Hans"/>
        </w:rPr>
        <w:t>1</w:t>
      </w:r>
      <w:r>
        <w:rPr>
          <w:rFonts w:hint="eastAsia" w:ascii="仿宋" w:hAnsi="仿宋" w:eastAsia="仿宋"/>
          <w:color w:val="auto"/>
          <w:sz w:val="28"/>
          <w:szCs w:val="28"/>
          <w:lang w:val="en-US" w:eastAsia="zh-Hans"/>
        </w:rPr>
        <w:t>.修复后的标本</w:t>
      </w:r>
      <w:r>
        <w:rPr>
          <w:rFonts w:hint="eastAsia" w:ascii="仿宋" w:hAnsi="仿宋" w:eastAsia="仿宋"/>
          <w:color w:val="auto"/>
          <w:sz w:val="28"/>
          <w:szCs w:val="28"/>
          <w:lang w:val="en-US" w:eastAsia="zh-CN"/>
        </w:rPr>
        <w:t xml:space="preserve">须符合博物馆陈列展览和收藏研究所需的质量要求；对于毛板及特殊化石（如带羽毛的恐龙化石、带毛发的哺乳动物化石、保存极为脆弱的化石等），修复前需先使用高精度CT（精度不低于800nm）扫描其内部结构，根据扫描结果制定修复方案。 </w:t>
      </w:r>
    </w:p>
    <w:p w14:paraId="4E9F5D50">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default" w:ascii="仿宋" w:hAnsi="仿宋" w:eastAsia="仿宋"/>
          <w:color w:val="auto"/>
          <w:sz w:val="28"/>
          <w:szCs w:val="28"/>
          <w:lang w:val="en-US" w:eastAsia="zh-CN"/>
        </w:rPr>
        <w:t>2</w:t>
      </w:r>
      <w:r>
        <w:rPr>
          <w:rFonts w:hint="eastAsia" w:ascii="仿宋" w:hAnsi="仿宋" w:eastAsia="仿宋"/>
          <w:color w:val="auto"/>
          <w:sz w:val="28"/>
          <w:szCs w:val="28"/>
          <w:lang w:val="en-US" w:eastAsia="zh-CN"/>
        </w:rPr>
        <w:t xml:space="preserve">.化石修理全过程需有修理记录。包括：每日修理前和修理后清晰的照片记录（照片不小于3M），每件标本修理完的修理小结，并及时提交甲方备查。 </w:t>
      </w:r>
    </w:p>
    <w:p w14:paraId="213DC897">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default" w:ascii="仿宋" w:hAnsi="仿宋" w:eastAsia="仿宋"/>
          <w:color w:val="auto"/>
          <w:sz w:val="28"/>
          <w:szCs w:val="28"/>
          <w:lang w:val="en-US" w:eastAsia="zh-CN"/>
        </w:rPr>
        <w:t>3</w:t>
      </w:r>
      <w:r>
        <w:rPr>
          <w:rFonts w:hint="eastAsia" w:ascii="仿宋" w:hAnsi="仿宋" w:eastAsia="仿宋"/>
          <w:color w:val="auto"/>
          <w:sz w:val="28"/>
          <w:szCs w:val="28"/>
          <w:lang w:val="en-US" w:eastAsia="zh-CN"/>
        </w:rPr>
        <w:t>.修理方案需提前经甲方审定，审定通过后方可实施。化石修理时按甲方验收要求减小化石表面纹饰损伤；</w:t>
      </w:r>
      <w:r>
        <w:rPr>
          <w:rFonts w:hint="eastAsia" w:ascii="仿宋" w:hAnsi="仿宋" w:eastAsia="仿宋"/>
          <w:color w:val="auto"/>
          <w:sz w:val="28"/>
          <w:szCs w:val="28"/>
          <w:lang w:val="en-US" w:eastAsia="zh-Hans"/>
        </w:rPr>
        <w:t>对于带有羽毛</w:t>
      </w:r>
      <w:r>
        <w:rPr>
          <w:rFonts w:hint="default" w:ascii="仿宋" w:hAnsi="仿宋" w:eastAsia="仿宋"/>
          <w:color w:val="auto"/>
          <w:sz w:val="28"/>
          <w:szCs w:val="28"/>
          <w:lang w:val="en-US" w:eastAsia="zh-Hans"/>
        </w:rPr>
        <w:t>、</w:t>
      </w:r>
      <w:r>
        <w:rPr>
          <w:rFonts w:hint="eastAsia" w:ascii="仿宋" w:hAnsi="仿宋" w:eastAsia="仿宋"/>
          <w:color w:val="auto"/>
          <w:sz w:val="28"/>
          <w:szCs w:val="28"/>
          <w:lang w:val="en-US" w:eastAsia="zh-Hans"/>
        </w:rPr>
        <w:t>毛发等特殊痕迹的化石标本</w:t>
      </w:r>
      <w:r>
        <w:rPr>
          <w:rFonts w:hint="default" w:ascii="仿宋" w:hAnsi="仿宋" w:eastAsia="仿宋"/>
          <w:color w:val="auto"/>
          <w:sz w:val="28"/>
          <w:szCs w:val="28"/>
          <w:lang w:val="en-US" w:eastAsia="zh-Hans"/>
        </w:rPr>
        <w:t>，</w:t>
      </w:r>
      <w:r>
        <w:rPr>
          <w:rFonts w:hint="eastAsia" w:ascii="仿宋" w:hAnsi="仿宋" w:eastAsia="仿宋"/>
          <w:color w:val="auto"/>
          <w:sz w:val="28"/>
          <w:szCs w:val="28"/>
          <w:lang w:val="en-US" w:eastAsia="zh-Hans"/>
        </w:rPr>
        <w:t>需将骨骼</w:t>
      </w:r>
      <w:r>
        <w:rPr>
          <w:rFonts w:hint="default" w:ascii="仿宋" w:hAnsi="仿宋" w:eastAsia="仿宋"/>
          <w:color w:val="auto"/>
          <w:sz w:val="28"/>
          <w:szCs w:val="28"/>
          <w:lang w:val="en-US" w:eastAsia="zh-Hans"/>
        </w:rPr>
        <w:t>、</w:t>
      </w:r>
      <w:r>
        <w:rPr>
          <w:rFonts w:hint="eastAsia" w:ascii="仿宋" w:hAnsi="仿宋" w:eastAsia="仿宋"/>
          <w:color w:val="auto"/>
          <w:sz w:val="28"/>
          <w:szCs w:val="28"/>
          <w:lang w:val="en-US" w:eastAsia="zh-Hans"/>
        </w:rPr>
        <w:t>羽毛</w:t>
      </w:r>
      <w:r>
        <w:rPr>
          <w:rFonts w:hint="default" w:ascii="仿宋" w:hAnsi="仿宋" w:eastAsia="仿宋"/>
          <w:color w:val="auto"/>
          <w:sz w:val="28"/>
          <w:szCs w:val="28"/>
          <w:lang w:val="en-US" w:eastAsia="zh-Hans"/>
        </w:rPr>
        <w:t>、</w:t>
      </w:r>
      <w:r>
        <w:rPr>
          <w:rFonts w:hint="eastAsia" w:ascii="仿宋" w:hAnsi="仿宋" w:eastAsia="仿宋"/>
          <w:color w:val="auto"/>
          <w:sz w:val="28"/>
          <w:szCs w:val="28"/>
          <w:lang w:val="en-US" w:eastAsia="zh-Hans"/>
        </w:rPr>
        <w:t>毛发等特征科学修复</w:t>
      </w:r>
      <w:r>
        <w:rPr>
          <w:rFonts w:hint="default" w:ascii="仿宋" w:hAnsi="仿宋" w:eastAsia="仿宋"/>
          <w:color w:val="auto"/>
          <w:sz w:val="28"/>
          <w:szCs w:val="28"/>
          <w:lang w:val="en-US" w:eastAsia="zh-Hans"/>
        </w:rPr>
        <w:t>，</w:t>
      </w:r>
      <w:r>
        <w:rPr>
          <w:rFonts w:hint="eastAsia" w:ascii="仿宋" w:hAnsi="仿宋" w:eastAsia="仿宋"/>
          <w:color w:val="auto"/>
          <w:sz w:val="28"/>
          <w:szCs w:val="28"/>
          <w:lang w:val="en-US" w:eastAsia="zh-Hans"/>
        </w:rPr>
        <w:t>且不损坏其原有特征</w:t>
      </w:r>
      <w:r>
        <w:rPr>
          <w:rFonts w:hint="eastAsia" w:ascii="仿宋" w:hAnsi="仿宋" w:eastAsia="仿宋"/>
          <w:color w:val="auto"/>
          <w:sz w:val="28"/>
          <w:szCs w:val="28"/>
          <w:lang w:val="en-US" w:eastAsia="zh-CN"/>
        </w:rPr>
        <w:t xml:space="preserve">。 </w:t>
      </w:r>
    </w:p>
    <w:p w14:paraId="0AE592BD">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default" w:ascii="仿宋" w:hAnsi="仿宋" w:eastAsia="仿宋"/>
          <w:color w:val="auto"/>
          <w:sz w:val="28"/>
          <w:szCs w:val="28"/>
          <w:lang w:val="en-US" w:eastAsia="zh-CN"/>
        </w:rPr>
        <w:t>4</w:t>
      </w:r>
      <w:r>
        <w:rPr>
          <w:rFonts w:hint="eastAsia" w:ascii="仿宋" w:hAnsi="仿宋" w:eastAsia="仿宋"/>
          <w:color w:val="auto"/>
          <w:sz w:val="28"/>
          <w:szCs w:val="28"/>
          <w:lang w:val="en-US" w:eastAsia="zh-CN"/>
        </w:rPr>
        <w:t xml:space="preserve">.化石修复过程中如遇疑难问题，需及时照相、停工，并及时向甲方申报，并在甲方重新确认后方可开工。 </w:t>
      </w:r>
    </w:p>
    <w:p w14:paraId="60B4958D">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5.验收</w:t>
      </w:r>
      <w:r>
        <w:rPr>
          <w:rFonts w:hint="default" w:ascii="仿宋" w:hAnsi="仿宋" w:eastAsia="仿宋"/>
          <w:color w:val="auto"/>
          <w:sz w:val="28"/>
          <w:szCs w:val="28"/>
          <w:lang w:val="en-US" w:eastAsia="zh-CN"/>
        </w:rPr>
        <w:t>。</w:t>
      </w:r>
      <w:r>
        <w:rPr>
          <w:rFonts w:hint="eastAsia" w:ascii="仿宋" w:hAnsi="仿宋" w:eastAsia="仿宋"/>
          <w:color w:val="auto"/>
          <w:sz w:val="28"/>
          <w:szCs w:val="28"/>
          <w:lang w:val="en-US" w:eastAsia="zh-CN"/>
        </w:rPr>
        <w:t>在甲方指定地点验收，由乙方负责将标本运输至甲方指定库房，该费用已包含在本项目服务费用中，甲方不再另行支付其他任何费用。</w:t>
      </w:r>
    </w:p>
    <w:p w14:paraId="2A574752">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 xml:space="preserve">化石验收标准： </w:t>
      </w:r>
    </w:p>
    <w:p w14:paraId="756B5A08">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 xml:space="preserve">（1）单件化石有大于 10mm （不含）的损伤为不合格； </w:t>
      </w:r>
    </w:p>
    <w:p w14:paraId="5D84B462">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 xml:space="preserve">（2）单件化石有 3 处及以上 10mm （含）-1mm（含） 的损伤，为不合格； </w:t>
      </w:r>
    </w:p>
    <w:p w14:paraId="3F36022C">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（3）单件化石有 2 处 10mm （含）-1mm（含） 损伤，并有 5 处及以上 1mm （含）以下的损伤，为不合格；</w:t>
      </w:r>
    </w:p>
    <w:p w14:paraId="2572A42E">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（4）单件化石有 1 处 10mm （含）-1mm（含） 损伤，并有 10 处及以上 1mm（含） 以下的损伤，为不合格；</w:t>
      </w:r>
    </w:p>
    <w:p w14:paraId="35F987B2">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 xml:space="preserve">（5）单件化石有 20 处及以上 1mm（含） 以下的损伤，为不合格。 </w:t>
      </w:r>
    </w:p>
    <w:p w14:paraId="370AF4F7">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default" w:ascii="仿宋" w:hAnsi="仿宋" w:eastAsia="仿宋"/>
          <w:color w:val="auto"/>
          <w:sz w:val="28"/>
          <w:szCs w:val="28"/>
          <w:lang w:val="en-US" w:eastAsia="zh-CN"/>
        </w:rPr>
        <w:t>6</w:t>
      </w:r>
      <w:r>
        <w:rPr>
          <w:rFonts w:hint="eastAsia" w:ascii="仿宋" w:hAnsi="仿宋" w:eastAsia="仿宋"/>
          <w:color w:val="auto"/>
          <w:sz w:val="28"/>
          <w:szCs w:val="28"/>
          <w:lang w:val="en-US" w:eastAsia="zh-Hans"/>
        </w:rPr>
        <w:t>.</w:t>
      </w:r>
      <w:r>
        <w:rPr>
          <w:rFonts w:hint="eastAsia" w:ascii="仿宋" w:hAnsi="仿宋" w:eastAsia="仿宋"/>
          <w:color w:val="auto"/>
          <w:sz w:val="28"/>
          <w:szCs w:val="28"/>
          <w:lang w:val="en-US" w:eastAsia="zh-CN"/>
        </w:rPr>
        <w:t>化石是否损伤由甲方组织专家进行认定。</w:t>
      </w:r>
    </w:p>
    <w:p w14:paraId="79267184">
      <w:pPr>
        <w:numPr>
          <w:ilvl w:val="-1"/>
          <w:numId w:val="0"/>
        </w:numPr>
        <w:spacing w:line="520" w:lineRule="exact"/>
        <w:ind w:firstLine="560" w:firstLineChars="200"/>
        <w:outlineLvl w:val="9"/>
        <w:rPr>
          <w:rFonts w:hint="eastAsia" w:ascii="仿宋" w:hAnsi="仿宋" w:eastAsia="仿宋"/>
          <w:color w:val="auto"/>
          <w:sz w:val="28"/>
          <w:szCs w:val="28"/>
          <w:lang w:val="en-US" w:eastAsia="zh-CN"/>
        </w:rPr>
      </w:pPr>
      <w:r>
        <w:rPr>
          <w:rFonts w:hint="default" w:ascii="仿宋" w:hAnsi="仿宋" w:eastAsia="仿宋"/>
          <w:color w:val="auto"/>
          <w:sz w:val="28"/>
          <w:szCs w:val="28"/>
          <w:lang w:val="en-US" w:eastAsia="zh-CN"/>
        </w:rPr>
        <w:t>7</w:t>
      </w:r>
      <w:r>
        <w:rPr>
          <w:rFonts w:hint="eastAsia" w:ascii="仿宋" w:hAnsi="仿宋" w:eastAsia="仿宋"/>
          <w:color w:val="auto"/>
          <w:sz w:val="28"/>
          <w:szCs w:val="28"/>
          <w:lang w:val="en-US" w:eastAsia="zh-Hans"/>
        </w:rPr>
        <w:t>.</w:t>
      </w:r>
      <w:r>
        <w:rPr>
          <w:rFonts w:hint="eastAsia" w:ascii="仿宋" w:hAnsi="仿宋" w:eastAsia="仿宋"/>
          <w:color w:val="auto"/>
          <w:sz w:val="28"/>
          <w:szCs w:val="28"/>
          <w:lang w:val="en-US" w:eastAsia="zh-CN"/>
        </w:rPr>
        <w:t>化石损伤造成的赔偿由合同约定或甲方根据损伤情况按该化石征集价格的1-2倍进行赔偿。</w:t>
      </w:r>
    </w:p>
    <w:p w14:paraId="463914B8">
      <w:pPr>
        <w:numPr>
          <w:ilvl w:val="-1"/>
          <w:numId w:val="0"/>
        </w:numPr>
        <w:spacing w:line="520" w:lineRule="exact"/>
        <w:ind w:firstLine="560" w:firstLineChars="200"/>
        <w:outlineLvl w:val="9"/>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三</w:t>
      </w:r>
      <w:r>
        <w:rPr>
          <w:rFonts w:hint="default" w:ascii="仿宋" w:hAnsi="仿宋" w:eastAsia="仿宋"/>
          <w:color w:val="auto"/>
          <w:sz w:val="28"/>
          <w:szCs w:val="28"/>
          <w:lang w:val="en-US" w:eastAsia="zh-CN"/>
        </w:rPr>
        <w:t>、人员要求</w:t>
      </w:r>
    </w:p>
    <w:p w14:paraId="3400D330">
      <w:pPr>
        <w:numPr>
          <w:ilvl w:val="-1"/>
          <w:numId w:val="0"/>
        </w:numPr>
        <w:spacing w:line="520" w:lineRule="exact"/>
        <w:ind w:firstLine="560" w:firstLineChars="200"/>
        <w:outlineLvl w:val="9"/>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本项目拟安排项目团队成员不少于6人，其中项目负责人1人，项目团队主要成员不少于5人。</w:t>
      </w:r>
    </w:p>
    <w:p w14:paraId="026CD128">
      <w:pPr>
        <w:spacing w:line="520" w:lineRule="exact"/>
        <w:ind w:firstLine="562" w:firstLineChars="200"/>
        <w:outlineLvl w:val="9"/>
        <w:rPr>
          <w:rFonts w:hint="default" w:ascii="仿宋" w:hAnsi="仿宋" w:eastAsia="仿宋"/>
          <w:b/>
          <w:bCs/>
          <w:color w:val="auto"/>
          <w:sz w:val="28"/>
          <w:szCs w:val="28"/>
          <w:lang w:val="en-US" w:eastAsia="zh-CN"/>
        </w:rPr>
      </w:pPr>
      <w:r>
        <w:rPr>
          <w:rFonts w:hint="eastAsia" w:ascii="仿宋" w:hAnsi="仿宋" w:eastAsia="仿宋"/>
          <w:b/>
          <w:bCs/>
          <w:color w:val="auto"/>
          <w:sz w:val="28"/>
          <w:szCs w:val="28"/>
        </w:rPr>
        <w:t>第</w:t>
      </w:r>
      <w:r>
        <w:rPr>
          <w:rFonts w:hint="eastAsia" w:ascii="仿宋" w:hAnsi="仿宋" w:eastAsia="仿宋"/>
          <w:b/>
          <w:bCs/>
          <w:color w:val="auto"/>
          <w:sz w:val="28"/>
          <w:szCs w:val="28"/>
          <w:lang w:val="en-US" w:eastAsia="zh-CN"/>
        </w:rPr>
        <w:t>三</w:t>
      </w:r>
      <w:r>
        <w:rPr>
          <w:rFonts w:hint="eastAsia" w:ascii="仿宋" w:hAnsi="仿宋" w:eastAsia="仿宋"/>
          <w:b/>
          <w:bCs/>
          <w:color w:val="auto"/>
          <w:sz w:val="28"/>
          <w:szCs w:val="28"/>
        </w:rPr>
        <w:t xml:space="preserve">条 </w:t>
      </w:r>
      <w:r>
        <w:rPr>
          <w:rFonts w:hint="eastAsia" w:ascii="仿宋" w:hAnsi="仿宋" w:eastAsia="仿宋"/>
          <w:b/>
          <w:bCs/>
          <w:color w:val="auto"/>
          <w:sz w:val="28"/>
          <w:szCs w:val="28"/>
          <w:lang w:val="en-US" w:eastAsia="zh-CN"/>
        </w:rPr>
        <w:t xml:space="preserve"> 验收要求</w:t>
      </w:r>
    </w:p>
    <w:p w14:paraId="5A0186C1">
      <w:pPr>
        <w:keepNext w:val="0"/>
        <w:keepLines w:val="0"/>
        <w:pageBreakBefore w:val="0"/>
        <w:numPr>
          <w:ilvl w:val="-1"/>
          <w:numId w:val="0"/>
        </w:numPr>
        <w:kinsoku/>
        <w:wordWrap/>
        <w:overflowPunct/>
        <w:topLinePunct w:val="0"/>
        <w:autoSpaceDE/>
        <w:autoSpaceDN/>
        <w:bidi w:val="0"/>
        <w:adjustRightInd/>
        <w:snapToGrid/>
        <w:spacing w:line="500" w:lineRule="exact"/>
        <w:ind w:firstLine="560" w:firstLineChars="200"/>
        <w:jc w:val="left"/>
        <w:textAlignment w:val="auto"/>
        <w:outlineLvl w:val="9"/>
        <w:rPr>
          <w:rFonts w:hint="default" w:ascii="仿宋" w:hAnsi="仿宋" w:eastAsia="仿宋" w:cstheme="minorBidi"/>
          <w:b w:val="0"/>
          <w:bCs w:val="0"/>
          <w:color w:val="auto"/>
          <w:kern w:val="0"/>
          <w:sz w:val="28"/>
          <w:szCs w:val="28"/>
          <w:lang w:val="en-US" w:eastAsia="zh-CN" w:bidi="ar-SA"/>
        </w:rPr>
      </w:pPr>
      <w:r>
        <w:rPr>
          <w:rFonts w:hint="default" w:ascii="仿宋" w:hAnsi="仿宋" w:eastAsia="仿宋" w:cstheme="minorBidi"/>
          <w:b w:val="0"/>
          <w:bCs w:val="0"/>
          <w:color w:val="auto"/>
          <w:kern w:val="0"/>
          <w:sz w:val="28"/>
          <w:szCs w:val="28"/>
          <w:lang w:val="en-US" w:eastAsia="zh-CN" w:bidi="ar-SA"/>
        </w:rPr>
        <w:t>（1）</w:t>
      </w:r>
      <w:r>
        <w:rPr>
          <w:rFonts w:hint="eastAsia" w:ascii="仿宋" w:hAnsi="仿宋" w:eastAsia="仿宋" w:cstheme="minorBidi"/>
          <w:b w:val="0"/>
          <w:bCs w:val="0"/>
          <w:color w:val="auto"/>
          <w:kern w:val="0"/>
          <w:sz w:val="28"/>
          <w:szCs w:val="28"/>
          <w:lang w:val="en-US" w:eastAsia="zh-CN" w:bidi="ar-SA"/>
        </w:rPr>
        <w:t>乙方</w:t>
      </w:r>
      <w:r>
        <w:rPr>
          <w:rFonts w:hint="default" w:ascii="仿宋" w:hAnsi="仿宋" w:eastAsia="仿宋" w:cstheme="minorBidi"/>
          <w:b w:val="0"/>
          <w:bCs w:val="0"/>
          <w:color w:val="auto"/>
          <w:kern w:val="0"/>
          <w:sz w:val="28"/>
          <w:szCs w:val="28"/>
          <w:lang w:val="en-US" w:eastAsia="zh-CN" w:bidi="ar-SA"/>
        </w:rPr>
        <w:t>交付的修复后的标本需完全符合招投标文件所规定的数量、质量和规格等要求。中标方交付修复后的标本后，</w:t>
      </w:r>
      <w:r>
        <w:rPr>
          <w:rFonts w:hint="eastAsia" w:ascii="仿宋" w:hAnsi="仿宋" w:eastAsia="仿宋" w:cstheme="minorBidi"/>
          <w:b w:val="0"/>
          <w:bCs w:val="0"/>
          <w:color w:val="auto"/>
          <w:kern w:val="0"/>
          <w:sz w:val="28"/>
          <w:szCs w:val="28"/>
          <w:lang w:val="en-US" w:eastAsia="zh-CN" w:bidi="ar-SA"/>
        </w:rPr>
        <w:t>甲方</w:t>
      </w:r>
      <w:r>
        <w:rPr>
          <w:rFonts w:hint="default" w:ascii="仿宋" w:hAnsi="仿宋" w:eastAsia="仿宋" w:cstheme="minorBidi"/>
          <w:b w:val="0"/>
          <w:bCs w:val="0"/>
          <w:color w:val="auto"/>
          <w:kern w:val="0"/>
          <w:sz w:val="28"/>
          <w:szCs w:val="28"/>
          <w:lang w:val="en-US" w:eastAsia="zh-CN" w:bidi="ar-SA"/>
        </w:rPr>
        <w:t>会对修复后的标本进行验收，</w:t>
      </w:r>
      <w:r>
        <w:rPr>
          <w:rFonts w:hint="eastAsia" w:ascii="仿宋" w:hAnsi="仿宋" w:eastAsia="仿宋" w:cstheme="minorBidi"/>
          <w:b w:val="0"/>
          <w:bCs w:val="0"/>
          <w:color w:val="auto"/>
          <w:kern w:val="0"/>
          <w:sz w:val="28"/>
          <w:szCs w:val="28"/>
          <w:lang w:val="en-US" w:eastAsia="zh-CN" w:bidi="ar-SA"/>
        </w:rPr>
        <w:t>乙方</w:t>
      </w:r>
      <w:r>
        <w:rPr>
          <w:rFonts w:hint="default" w:ascii="仿宋" w:hAnsi="仿宋" w:eastAsia="仿宋" w:cstheme="minorBidi"/>
          <w:b w:val="0"/>
          <w:bCs w:val="0"/>
          <w:color w:val="auto"/>
          <w:kern w:val="0"/>
          <w:sz w:val="28"/>
          <w:szCs w:val="28"/>
          <w:lang w:val="en-US" w:eastAsia="zh-CN" w:bidi="ar-SA"/>
        </w:rPr>
        <w:t>提供的修复后的标本不符合招投标文件和合同规定的，</w:t>
      </w:r>
      <w:r>
        <w:rPr>
          <w:rFonts w:hint="eastAsia" w:ascii="仿宋" w:hAnsi="仿宋" w:eastAsia="仿宋" w:cstheme="minorBidi"/>
          <w:b w:val="0"/>
          <w:bCs w:val="0"/>
          <w:color w:val="auto"/>
          <w:kern w:val="0"/>
          <w:sz w:val="28"/>
          <w:szCs w:val="28"/>
          <w:lang w:val="en-US" w:eastAsia="zh-CN" w:bidi="ar-SA"/>
        </w:rPr>
        <w:t>甲方</w:t>
      </w:r>
      <w:r>
        <w:rPr>
          <w:rFonts w:hint="default" w:ascii="仿宋" w:hAnsi="仿宋" w:eastAsia="仿宋" w:cstheme="minorBidi"/>
          <w:b w:val="0"/>
          <w:bCs w:val="0"/>
          <w:color w:val="auto"/>
          <w:kern w:val="0"/>
          <w:sz w:val="28"/>
          <w:szCs w:val="28"/>
          <w:lang w:val="en-US" w:eastAsia="zh-CN" w:bidi="ar-SA"/>
        </w:rPr>
        <w:t>有权拒收，由此引起的风险，由</w:t>
      </w:r>
      <w:r>
        <w:rPr>
          <w:rFonts w:hint="eastAsia" w:ascii="仿宋" w:hAnsi="仿宋" w:eastAsia="仿宋" w:cstheme="minorBidi"/>
          <w:b w:val="0"/>
          <w:bCs w:val="0"/>
          <w:color w:val="auto"/>
          <w:kern w:val="0"/>
          <w:sz w:val="28"/>
          <w:szCs w:val="28"/>
          <w:lang w:val="en-US" w:eastAsia="zh-CN" w:bidi="ar-SA"/>
        </w:rPr>
        <w:t>乙方</w:t>
      </w:r>
      <w:r>
        <w:rPr>
          <w:rFonts w:hint="default" w:ascii="仿宋" w:hAnsi="仿宋" w:eastAsia="仿宋" w:cstheme="minorBidi"/>
          <w:b w:val="0"/>
          <w:bCs w:val="0"/>
          <w:color w:val="auto"/>
          <w:kern w:val="0"/>
          <w:sz w:val="28"/>
          <w:szCs w:val="28"/>
          <w:lang w:val="en-US" w:eastAsia="zh-CN" w:bidi="ar-SA"/>
        </w:rPr>
        <w:t>承担。</w:t>
      </w:r>
    </w:p>
    <w:p w14:paraId="1D9178B4">
      <w:pPr>
        <w:keepNext w:val="0"/>
        <w:keepLines w:val="0"/>
        <w:pageBreakBefore w:val="0"/>
        <w:numPr>
          <w:ilvl w:val="-1"/>
          <w:numId w:val="0"/>
        </w:numPr>
        <w:kinsoku/>
        <w:wordWrap/>
        <w:overflowPunct/>
        <w:topLinePunct w:val="0"/>
        <w:autoSpaceDE/>
        <w:autoSpaceDN/>
        <w:bidi w:val="0"/>
        <w:adjustRightInd/>
        <w:snapToGrid/>
        <w:spacing w:line="500" w:lineRule="exact"/>
        <w:ind w:firstLine="560" w:firstLineChars="200"/>
        <w:jc w:val="left"/>
        <w:textAlignment w:val="auto"/>
        <w:outlineLvl w:val="9"/>
        <w:rPr>
          <w:rFonts w:hint="default" w:ascii="仿宋" w:hAnsi="仿宋" w:eastAsia="仿宋" w:cstheme="minorBidi"/>
          <w:b w:val="0"/>
          <w:bCs w:val="0"/>
          <w:color w:val="auto"/>
          <w:kern w:val="0"/>
          <w:sz w:val="28"/>
          <w:szCs w:val="28"/>
          <w:lang w:val="en-US" w:eastAsia="zh-CN" w:bidi="ar-SA"/>
        </w:rPr>
      </w:pPr>
      <w:r>
        <w:rPr>
          <w:rFonts w:hint="default" w:ascii="仿宋" w:hAnsi="仿宋" w:eastAsia="仿宋" w:cstheme="minorBidi"/>
          <w:b w:val="0"/>
          <w:bCs w:val="0"/>
          <w:color w:val="auto"/>
          <w:kern w:val="0"/>
          <w:sz w:val="28"/>
          <w:szCs w:val="28"/>
          <w:lang w:val="en-US" w:eastAsia="zh-CN" w:bidi="ar-SA"/>
        </w:rPr>
        <w:t>（2）化石表面围岩和覆土清理，平面上的化石骨骼和结构需暴露出来，</w:t>
      </w:r>
      <w:r>
        <w:rPr>
          <w:rFonts w:hint="eastAsia" w:ascii="仿宋" w:hAnsi="仿宋" w:eastAsia="仿宋" w:cstheme="minorBidi"/>
          <w:b w:val="0"/>
          <w:bCs w:val="0"/>
          <w:color w:val="auto"/>
          <w:kern w:val="0"/>
          <w:sz w:val="28"/>
          <w:szCs w:val="28"/>
          <w:lang w:val="en-US" w:eastAsia="zh-CN" w:bidi="ar-SA"/>
        </w:rPr>
        <w:t>甲方</w:t>
      </w:r>
      <w:r>
        <w:rPr>
          <w:rFonts w:hint="default" w:ascii="仿宋" w:hAnsi="仿宋" w:eastAsia="仿宋" w:cstheme="minorBidi"/>
          <w:b w:val="0"/>
          <w:bCs w:val="0"/>
          <w:color w:val="auto"/>
          <w:kern w:val="0"/>
          <w:sz w:val="28"/>
          <w:szCs w:val="28"/>
          <w:lang w:val="en-US" w:eastAsia="zh-CN" w:bidi="ar-SA"/>
        </w:rPr>
        <w:t>要求的微小细部和结构都必须暴露，不得损伤化石本体和自然骨面，易碎和已破碎的化石标本必须拼接加固好。修复过程中，如出现修复质量问题，</w:t>
      </w:r>
      <w:r>
        <w:rPr>
          <w:rFonts w:hint="eastAsia" w:ascii="仿宋" w:hAnsi="仿宋" w:eastAsia="仿宋" w:cstheme="minorBidi"/>
          <w:b w:val="0"/>
          <w:bCs w:val="0"/>
          <w:color w:val="auto"/>
          <w:kern w:val="0"/>
          <w:sz w:val="28"/>
          <w:szCs w:val="28"/>
          <w:lang w:val="en-US" w:eastAsia="zh-CN" w:bidi="ar-SA"/>
        </w:rPr>
        <w:t>甲方</w:t>
      </w:r>
      <w:r>
        <w:rPr>
          <w:rFonts w:hint="default" w:ascii="仿宋" w:hAnsi="仿宋" w:eastAsia="仿宋" w:cstheme="minorBidi"/>
          <w:b w:val="0"/>
          <w:bCs w:val="0"/>
          <w:color w:val="auto"/>
          <w:kern w:val="0"/>
          <w:sz w:val="28"/>
          <w:szCs w:val="28"/>
          <w:lang w:val="en-US" w:eastAsia="zh-CN" w:bidi="ar-SA"/>
        </w:rPr>
        <w:t>将提出相关整改要求，</w:t>
      </w:r>
      <w:r>
        <w:rPr>
          <w:rFonts w:hint="eastAsia" w:ascii="仿宋" w:hAnsi="仿宋" w:eastAsia="仿宋" w:cstheme="minorBidi"/>
          <w:b w:val="0"/>
          <w:bCs w:val="0"/>
          <w:color w:val="auto"/>
          <w:kern w:val="0"/>
          <w:sz w:val="28"/>
          <w:szCs w:val="28"/>
          <w:lang w:val="en-US" w:eastAsia="zh-CN" w:bidi="ar-SA"/>
        </w:rPr>
        <w:t>乙方</w:t>
      </w:r>
      <w:r>
        <w:rPr>
          <w:rFonts w:hint="default" w:ascii="仿宋" w:hAnsi="仿宋" w:eastAsia="仿宋" w:cstheme="minorBidi"/>
          <w:b w:val="0"/>
          <w:bCs w:val="0"/>
          <w:color w:val="auto"/>
          <w:kern w:val="0"/>
          <w:sz w:val="28"/>
          <w:szCs w:val="28"/>
          <w:lang w:val="en-US" w:eastAsia="zh-CN" w:bidi="ar-SA"/>
        </w:rPr>
        <w:t>未能在规定时间内完成整改、达到</w:t>
      </w:r>
      <w:r>
        <w:rPr>
          <w:rFonts w:hint="eastAsia" w:ascii="仿宋" w:hAnsi="仿宋" w:eastAsia="仿宋" w:cstheme="minorBidi"/>
          <w:b w:val="0"/>
          <w:bCs w:val="0"/>
          <w:color w:val="auto"/>
          <w:kern w:val="0"/>
          <w:sz w:val="28"/>
          <w:szCs w:val="28"/>
          <w:lang w:val="en-US" w:eastAsia="zh-CN" w:bidi="ar-SA"/>
        </w:rPr>
        <w:t>甲方</w:t>
      </w:r>
      <w:r>
        <w:rPr>
          <w:rFonts w:hint="default" w:ascii="仿宋" w:hAnsi="仿宋" w:eastAsia="仿宋" w:cstheme="minorBidi"/>
          <w:b w:val="0"/>
          <w:bCs w:val="0"/>
          <w:color w:val="auto"/>
          <w:kern w:val="0"/>
          <w:sz w:val="28"/>
          <w:szCs w:val="28"/>
          <w:lang w:val="en-US" w:eastAsia="zh-CN" w:bidi="ar-SA"/>
        </w:rPr>
        <w:t>修复质量要求时，</w:t>
      </w:r>
      <w:r>
        <w:rPr>
          <w:rFonts w:hint="eastAsia" w:ascii="仿宋" w:hAnsi="仿宋" w:eastAsia="仿宋" w:cstheme="minorBidi"/>
          <w:b w:val="0"/>
          <w:bCs w:val="0"/>
          <w:color w:val="auto"/>
          <w:kern w:val="0"/>
          <w:sz w:val="28"/>
          <w:szCs w:val="28"/>
          <w:lang w:val="en-US" w:eastAsia="zh-CN" w:bidi="ar-SA"/>
        </w:rPr>
        <w:t>甲方</w:t>
      </w:r>
      <w:r>
        <w:rPr>
          <w:rFonts w:hint="default" w:ascii="仿宋" w:hAnsi="仿宋" w:eastAsia="仿宋" w:cstheme="minorBidi"/>
          <w:b w:val="0"/>
          <w:bCs w:val="0"/>
          <w:color w:val="auto"/>
          <w:kern w:val="0"/>
          <w:sz w:val="28"/>
          <w:szCs w:val="28"/>
          <w:lang w:val="en-US" w:eastAsia="zh-CN" w:bidi="ar-SA"/>
        </w:rPr>
        <w:t>有权单方终止合同并要求</w:t>
      </w:r>
      <w:r>
        <w:rPr>
          <w:rFonts w:hint="eastAsia" w:ascii="仿宋" w:hAnsi="仿宋" w:eastAsia="仿宋" w:cstheme="minorBidi"/>
          <w:b w:val="0"/>
          <w:bCs w:val="0"/>
          <w:color w:val="auto"/>
          <w:kern w:val="0"/>
          <w:sz w:val="28"/>
          <w:szCs w:val="28"/>
          <w:lang w:val="en-US" w:eastAsia="zh-CN" w:bidi="ar-SA"/>
        </w:rPr>
        <w:t>乙方</w:t>
      </w:r>
      <w:r>
        <w:rPr>
          <w:rFonts w:hint="default" w:ascii="仿宋" w:hAnsi="仿宋" w:eastAsia="仿宋" w:cstheme="minorBidi"/>
          <w:b w:val="0"/>
          <w:bCs w:val="0"/>
          <w:color w:val="auto"/>
          <w:kern w:val="0"/>
          <w:sz w:val="28"/>
          <w:szCs w:val="28"/>
          <w:lang w:val="en-US" w:eastAsia="zh-CN" w:bidi="ar-SA"/>
        </w:rPr>
        <w:t>赔偿损失。</w:t>
      </w:r>
    </w:p>
    <w:p w14:paraId="7A0937E4">
      <w:pPr>
        <w:keepNext w:val="0"/>
        <w:keepLines w:val="0"/>
        <w:pageBreakBefore w:val="0"/>
        <w:numPr>
          <w:ilvl w:val="-1"/>
          <w:numId w:val="0"/>
        </w:numPr>
        <w:kinsoku/>
        <w:wordWrap/>
        <w:overflowPunct/>
        <w:topLinePunct w:val="0"/>
        <w:autoSpaceDE/>
        <w:autoSpaceDN/>
        <w:bidi w:val="0"/>
        <w:adjustRightInd/>
        <w:snapToGrid/>
        <w:spacing w:line="500" w:lineRule="exact"/>
        <w:ind w:firstLine="560" w:firstLineChars="200"/>
        <w:jc w:val="left"/>
        <w:textAlignment w:val="auto"/>
        <w:outlineLvl w:val="9"/>
        <w:rPr>
          <w:rFonts w:hint="default" w:ascii="仿宋" w:hAnsi="仿宋" w:eastAsia="仿宋" w:cstheme="minorBidi"/>
          <w:b w:val="0"/>
          <w:bCs w:val="0"/>
          <w:color w:val="auto"/>
          <w:kern w:val="0"/>
          <w:sz w:val="28"/>
          <w:szCs w:val="28"/>
          <w:lang w:val="en-US" w:eastAsia="zh-CN" w:bidi="ar-SA"/>
        </w:rPr>
      </w:pPr>
      <w:r>
        <w:rPr>
          <w:rFonts w:hint="default" w:ascii="仿宋" w:hAnsi="仿宋" w:eastAsia="仿宋" w:cstheme="minorBidi"/>
          <w:b w:val="0"/>
          <w:bCs w:val="0"/>
          <w:color w:val="auto"/>
          <w:kern w:val="0"/>
          <w:sz w:val="28"/>
          <w:szCs w:val="28"/>
          <w:lang w:val="en-US" w:eastAsia="zh-CN" w:bidi="ar-SA"/>
        </w:rPr>
        <w:t>（3）当满足以下条件时，</w:t>
      </w:r>
      <w:r>
        <w:rPr>
          <w:rFonts w:hint="eastAsia" w:ascii="仿宋" w:hAnsi="仿宋" w:eastAsia="仿宋" w:cstheme="minorBidi"/>
          <w:b w:val="0"/>
          <w:bCs w:val="0"/>
          <w:color w:val="auto"/>
          <w:kern w:val="0"/>
          <w:sz w:val="28"/>
          <w:szCs w:val="28"/>
          <w:lang w:val="en-US" w:eastAsia="zh-CN" w:bidi="ar-SA"/>
        </w:rPr>
        <w:t>甲方</w:t>
      </w:r>
      <w:r>
        <w:rPr>
          <w:rFonts w:hint="default" w:ascii="仿宋" w:hAnsi="仿宋" w:eastAsia="仿宋" w:cstheme="minorBidi"/>
          <w:b w:val="0"/>
          <w:bCs w:val="0"/>
          <w:color w:val="auto"/>
          <w:kern w:val="0"/>
          <w:sz w:val="28"/>
          <w:szCs w:val="28"/>
          <w:lang w:val="en-US" w:eastAsia="zh-CN" w:bidi="ar-SA"/>
        </w:rPr>
        <w:t>才向</w:t>
      </w:r>
      <w:r>
        <w:rPr>
          <w:rFonts w:hint="eastAsia" w:ascii="仿宋" w:hAnsi="仿宋" w:eastAsia="仿宋" w:cstheme="minorBidi"/>
          <w:b w:val="0"/>
          <w:bCs w:val="0"/>
          <w:color w:val="auto"/>
          <w:kern w:val="0"/>
          <w:sz w:val="28"/>
          <w:szCs w:val="28"/>
          <w:lang w:val="en-US" w:eastAsia="zh-CN" w:bidi="ar-SA"/>
        </w:rPr>
        <w:t>乙方</w:t>
      </w:r>
      <w:r>
        <w:rPr>
          <w:rFonts w:hint="default" w:ascii="仿宋" w:hAnsi="仿宋" w:eastAsia="仿宋" w:cstheme="minorBidi"/>
          <w:b w:val="0"/>
          <w:bCs w:val="0"/>
          <w:color w:val="auto"/>
          <w:kern w:val="0"/>
          <w:sz w:val="28"/>
          <w:szCs w:val="28"/>
          <w:lang w:val="en-US" w:eastAsia="zh-CN" w:bidi="ar-SA"/>
        </w:rPr>
        <w:t>签发验收报告：</w:t>
      </w:r>
    </w:p>
    <w:p w14:paraId="62592BC5">
      <w:pPr>
        <w:keepNext w:val="0"/>
        <w:keepLines w:val="0"/>
        <w:pageBreakBefore w:val="0"/>
        <w:numPr>
          <w:ilvl w:val="-1"/>
          <w:numId w:val="0"/>
        </w:numPr>
        <w:kinsoku/>
        <w:wordWrap/>
        <w:overflowPunct/>
        <w:topLinePunct w:val="0"/>
        <w:autoSpaceDE/>
        <w:autoSpaceDN/>
        <w:bidi w:val="0"/>
        <w:adjustRightInd/>
        <w:snapToGrid/>
        <w:spacing w:line="500" w:lineRule="exact"/>
        <w:ind w:firstLine="560" w:firstLineChars="200"/>
        <w:jc w:val="left"/>
        <w:textAlignment w:val="auto"/>
        <w:outlineLvl w:val="9"/>
        <w:rPr>
          <w:rFonts w:hint="default" w:ascii="仿宋" w:hAnsi="仿宋" w:eastAsia="仿宋" w:cstheme="minorBidi"/>
          <w:b w:val="0"/>
          <w:bCs w:val="0"/>
          <w:color w:val="auto"/>
          <w:kern w:val="0"/>
          <w:sz w:val="28"/>
          <w:szCs w:val="28"/>
          <w:lang w:val="en-US" w:eastAsia="zh-CN" w:bidi="ar-SA"/>
        </w:rPr>
      </w:pPr>
      <w:r>
        <w:rPr>
          <w:rFonts w:hint="default" w:ascii="仿宋" w:hAnsi="仿宋" w:eastAsia="仿宋" w:cstheme="minorBidi"/>
          <w:b w:val="0"/>
          <w:bCs w:val="0"/>
          <w:color w:val="auto"/>
          <w:kern w:val="0"/>
          <w:sz w:val="28"/>
          <w:szCs w:val="28"/>
          <w:lang w:val="en-US" w:eastAsia="zh-CN" w:bidi="ar-SA"/>
        </w:rPr>
        <w:t>①修复后的标本符合招标文件技术规格书的要求，品质满足要求；</w:t>
      </w:r>
    </w:p>
    <w:p w14:paraId="5314094D">
      <w:pPr>
        <w:keepNext w:val="0"/>
        <w:keepLines w:val="0"/>
        <w:pageBreakBefore w:val="0"/>
        <w:numPr>
          <w:ilvl w:val="-1"/>
          <w:numId w:val="0"/>
        </w:numPr>
        <w:kinsoku/>
        <w:wordWrap/>
        <w:overflowPunct/>
        <w:topLinePunct w:val="0"/>
        <w:autoSpaceDE/>
        <w:autoSpaceDN/>
        <w:bidi w:val="0"/>
        <w:adjustRightInd/>
        <w:snapToGrid/>
        <w:spacing w:line="500" w:lineRule="exact"/>
        <w:ind w:firstLine="560" w:firstLineChars="200"/>
        <w:jc w:val="left"/>
        <w:textAlignment w:val="auto"/>
        <w:outlineLvl w:val="9"/>
        <w:rPr>
          <w:rFonts w:hint="default" w:ascii="仿宋" w:hAnsi="仿宋" w:eastAsia="仿宋" w:cstheme="minorBidi"/>
          <w:b w:val="0"/>
          <w:bCs w:val="0"/>
          <w:color w:val="auto"/>
          <w:kern w:val="0"/>
          <w:sz w:val="28"/>
          <w:szCs w:val="28"/>
          <w:lang w:val="en-US" w:eastAsia="zh-CN" w:bidi="ar-SA"/>
        </w:rPr>
      </w:pPr>
      <w:r>
        <w:rPr>
          <w:rFonts w:hint="default" w:ascii="仿宋" w:hAnsi="仿宋" w:eastAsia="仿宋" w:cstheme="minorBidi"/>
          <w:b w:val="0"/>
          <w:bCs w:val="0"/>
          <w:color w:val="auto"/>
          <w:kern w:val="0"/>
          <w:sz w:val="28"/>
          <w:szCs w:val="28"/>
          <w:lang w:val="en-US" w:eastAsia="zh-CN" w:bidi="ar-SA"/>
        </w:rPr>
        <w:t>②</w:t>
      </w:r>
      <w:r>
        <w:rPr>
          <w:rFonts w:hint="eastAsia" w:ascii="仿宋" w:hAnsi="仿宋" w:eastAsia="仿宋" w:cstheme="minorBidi"/>
          <w:b w:val="0"/>
          <w:bCs w:val="0"/>
          <w:color w:val="auto"/>
          <w:kern w:val="0"/>
          <w:sz w:val="28"/>
          <w:szCs w:val="28"/>
          <w:lang w:val="en-US" w:eastAsia="zh-CN" w:bidi="ar-SA"/>
        </w:rPr>
        <w:t>乙方</w:t>
      </w:r>
      <w:r>
        <w:rPr>
          <w:rFonts w:hint="default" w:ascii="仿宋" w:hAnsi="仿宋" w:eastAsia="仿宋" w:cstheme="minorBidi"/>
          <w:b w:val="0"/>
          <w:bCs w:val="0"/>
          <w:color w:val="auto"/>
          <w:kern w:val="0"/>
          <w:sz w:val="28"/>
          <w:szCs w:val="28"/>
          <w:lang w:val="en-US" w:eastAsia="zh-CN" w:bidi="ar-SA"/>
        </w:rPr>
        <w:t>已按照合同规定提供了全部修复后的标本及完整的技术资料；</w:t>
      </w:r>
    </w:p>
    <w:p w14:paraId="0AD25E9B">
      <w:pPr>
        <w:keepNext w:val="0"/>
        <w:keepLines w:val="0"/>
        <w:pageBreakBefore w:val="0"/>
        <w:numPr>
          <w:ilvl w:val="-1"/>
          <w:numId w:val="0"/>
        </w:numPr>
        <w:kinsoku/>
        <w:wordWrap/>
        <w:overflowPunct/>
        <w:topLinePunct w:val="0"/>
        <w:autoSpaceDE/>
        <w:autoSpaceDN/>
        <w:bidi w:val="0"/>
        <w:adjustRightInd/>
        <w:snapToGrid/>
        <w:spacing w:line="500" w:lineRule="exact"/>
        <w:ind w:firstLine="560" w:firstLineChars="200"/>
        <w:jc w:val="left"/>
        <w:textAlignment w:val="auto"/>
        <w:outlineLvl w:val="9"/>
        <w:rPr>
          <w:rFonts w:hint="default" w:ascii="仿宋" w:hAnsi="仿宋" w:eastAsia="仿宋" w:cstheme="minorBidi"/>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③</w:t>
      </w:r>
      <w:r>
        <w:rPr>
          <w:rFonts w:hint="eastAsia" w:ascii="仿宋" w:hAnsi="仿宋" w:eastAsia="仿宋" w:cs="仿宋"/>
          <w:b w:val="0"/>
          <w:bCs w:val="0"/>
          <w:color w:val="auto"/>
          <w:kern w:val="0"/>
          <w:sz w:val="28"/>
          <w:szCs w:val="28"/>
          <w:lang w:val="en-US" w:eastAsia="zh-CN" w:bidi="ar-SA"/>
        </w:rPr>
        <w:t>乙方已提供交付标本信息表。</w:t>
      </w:r>
      <w:r>
        <w:rPr>
          <w:rFonts w:hint="default" w:ascii="仿宋" w:hAnsi="仿宋" w:eastAsia="仿宋" w:cstheme="minorBidi"/>
          <w:b w:val="0"/>
          <w:bCs w:val="0"/>
          <w:color w:val="auto"/>
          <w:kern w:val="0"/>
          <w:sz w:val="28"/>
          <w:szCs w:val="28"/>
          <w:lang w:val="en-US" w:eastAsia="zh-CN" w:bidi="ar-SA"/>
        </w:rPr>
        <w:t xml:space="preserve"> </w:t>
      </w:r>
    </w:p>
    <w:p w14:paraId="0317DEDB">
      <w:pPr>
        <w:widowControl/>
        <w:spacing w:line="500" w:lineRule="exact"/>
        <w:ind w:firstLine="562" w:firstLineChars="200"/>
        <w:jc w:val="left"/>
        <w:outlineLvl w:val="9"/>
        <w:rPr>
          <w:rFonts w:hint="eastAsia" w:ascii="仿宋" w:hAnsi="仿宋" w:eastAsia="仿宋" w:cs="仿宋"/>
          <w:b/>
          <w:bCs/>
          <w:color w:val="auto"/>
          <w:sz w:val="24"/>
          <w:szCs w:val="24"/>
          <w:highlight w:val="none"/>
          <w:lang w:val="en-US"/>
        </w:rPr>
      </w:pPr>
      <w:r>
        <w:rPr>
          <w:rFonts w:ascii="仿宋" w:hAnsi="仿宋" w:eastAsia="仿宋"/>
          <w:b/>
          <w:bCs/>
          <w:color w:val="auto"/>
          <w:sz w:val="28"/>
          <w:szCs w:val="28"/>
        </w:rPr>
        <w:t>第</w:t>
      </w:r>
      <w:r>
        <w:rPr>
          <w:rFonts w:hint="eastAsia" w:ascii="仿宋" w:hAnsi="仿宋" w:eastAsia="仿宋"/>
          <w:b/>
          <w:bCs/>
          <w:color w:val="auto"/>
          <w:sz w:val="28"/>
          <w:szCs w:val="28"/>
          <w:lang w:val="en-US" w:eastAsia="zh-CN"/>
        </w:rPr>
        <w:t>四</w:t>
      </w:r>
      <w:r>
        <w:rPr>
          <w:rFonts w:ascii="仿宋" w:hAnsi="仿宋" w:eastAsia="仿宋"/>
          <w:b/>
          <w:bCs/>
          <w:color w:val="auto"/>
          <w:sz w:val="28"/>
          <w:szCs w:val="28"/>
        </w:rPr>
        <w:t xml:space="preserve">条 </w:t>
      </w:r>
      <w:r>
        <w:rPr>
          <w:rFonts w:hint="eastAsia" w:ascii="仿宋" w:hAnsi="仿宋" w:eastAsia="仿宋"/>
          <w:b/>
          <w:bCs/>
          <w:color w:val="auto"/>
          <w:sz w:val="28"/>
          <w:szCs w:val="28"/>
          <w:lang w:val="en-US" w:eastAsia="zh-CN"/>
        </w:rPr>
        <w:t xml:space="preserve"> </w:t>
      </w:r>
      <w:r>
        <w:rPr>
          <w:rFonts w:hint="eastAsia" w:ascii="仿宋" w:hAnsi="仿宋" w:eastAsia="仿宋" w:cs="仿宋"/>
          <w:b/>
          <w:bCs/>
          <w:color w:val="auto"/>
          <w:kern w:val="0"/>
          <w:sz w:val="28"/>
          <w:szCs w:val="28"/>
          <w:highlight w:val="none"/>
          <w:lang w:val="en-US"/>
        </w:rPr>
        <w:t>合同价款及支付</w:t>
      </w:r>
    </w:p>
    <w:p w14:paraId="633E6C9A">
      <w:pPr>
        <w:spacing w:line="520" w:lineRule="exact"/>
        <w:ind w:firstLine="560"/>
        <w:outlineLvl w:val="9"/>
        <w:rPr>
          <w:rFonts w:ascii="仿宋" w:hAnsi="仿宋" w:eastAsia="仿宋"/>
          <w:color w:val="auto"/>
          <w:sz w:val="28"/>
          <w:szCs w:val="28"/>
        </w:rPr>
      </w:pPr>
      <w:r>
        <w:rPr>
          <w:rFonts w:hint="eastAsia" w:ascii="仿宋" w:hAnsi="仿宋" w:eastAsia="仿宋" w:cs="仿宋"/>
          <w:color w:val="auto"/>
          <w:kern w:val="0"/>
          <w:sz w:val="28"/>
          <w:szCs w:val="28"/>
          <w:highlight w:val="none"/>
          <w:lang w:val="en-US"/>
        </w:rPr>
        <w:t>1</w:t>
      </w:r>
      <w:r>
        <w:rPr>
          <w:rFonts w:hint="eastAsia" w:ascii="仿宋" w:hAnsi="仿宋" w:eastAsia="仿宋" w:cs="仿宋"/>
          <w:color w:val="auto"/>
          <w:kern w:val="0"/>
          <w:sz w:val="28"/>
          <w:szCs w:val="28"/>
          <w:highlight w:val="none"/>
          <w:lang w:val="en-US" w:eastAsia="zh-CN"/>
        </w:rPr>
        <w:t>.</w:t>
      </w:r>
      <w:r>
        <w:rPr>
          <w:rFonts w:ascii="仿宋" w:hAnsi="仿宋" w:eastAsia="仿宋"/>
          <w:color w:val="auto"/>
          <w:sz w:val="28"/>
          <w:szCs w:val="28"/>
        </w:rPr>
        <w:t>合同</w:t>
      </w:r>
      <w:r>
        <w:rPr>
          <w:rFonts w:hint="eastAsia" w:ascii="仿宋" w:hAnsi="仿宋" w:eastAsia="仿宋"/>
          <w:color w:val="auto"/>
          <w:sz w:val="28"/>
          <w:szCs w:val="28"/>
          <w:lang w:val="en-US" w:eastAsia="zh-CN"/>
        </w:rPr>
        <w:t>支付上限金额</w:t>
      </w:r>
      <w:r>
        <w:rPr>
          <w:rFonts w:ascii="仿宋" w:hAnsi="仿宋" w:eastAsia="仿宋"/>
          <w:color w:val="auto"/>
          <w:sz w:val="28"/>
          <w:szCs w:val="28"/>
        </w:rPr>
        <w:t>：¥</w:t>
      </w:r>
      <w:r>
        <w:rPr>
          <w:rFonts w:hint="eastAsia" w:ascii="仿宋" w:hAnsi="仿宋" w:eastAsia="仿宋"/>
          <w:color w:val="auto"/>
          <w:sz w:val="28"/>
          <w:szCs w:val="28"/>
          <w:lang w:val="en-US" w:eastAsia="zh-CN"/>
        </w:rPr>
        <w:t>4,000,000.00</w:t>
      </w:r>
      <w:r>
        <w:rPr>
          <w:rFonts w:ascii="仿宋" w:hAnsi="仿宋" w:eastAsia="仿宋"/>
          <w:color w:val="auto"/>
          <w:sz w:val="28"/>
          <w:szCs w:val="28"/>
        </w:rPr>
        <w:t>（大写：人民币</w:t>
      </w:r>
      <w:r>
        <w:rPr>
          <w:rFonts w:hint="eastAsia" w:ascii="仿宋" w:hAnsi="仿宋" w:eastAsia="仿宋"/>
          <w:color w:val="auto"/>
          <w:sz w:val="28"/>
          <w:szCs w:val="28"/>
          <w:lang w:val="en-US" w:eastAsia="zh-CN"/>
        </w:rPr>
        <w:t>肆佰万元整</w:t>
      </w:r>
      <w:r>
        <w:rPr>
          <w:rFonts w:ascii="仿宋" w:hAnsi="仿宋" w:eastAsia="仿宋"/>
          <w:color w:val="auto"/>
          <w:sz w:val="28"/>
          <w:szCs w:val="28"/>
        </w:rPr>
        <w:t xml:space="preserve">）。 </w:t>
      </w:r>
      <w:r>
        <w:rPr>
          <w:rFonts w:hint="eastAsia" w:ascii="仿宋" w:hAnsi="仿宋" w:eastAsia="仿宋"/>
          <w:color w:val="auto"/>
          <w:sz w:val="28"/>
          <w:szCs w:val="28"/>
          <w:lang w:val="en-US" w:eastAsia="zh-CN"/>
        </w:rPr>
        <w:t>本项目单价合同，据实结算，单件标本修复结算价=对应类别、面积标本修复基准价*折扣率，</w:t>
      </w:r>
      <w:r>
        <w:rPr>
          <w:rFonts w:hint="eastAsia" w:ascii="仿宋" w:hAnsi="仿宋" w:eastAsia="仿宋"/>
          <w:color w:val="auto"/>
          <w:sz w:val="28"/>
          <w:szCs w:val="28"/>
          <w:highlight w:val="none"/>
          <w:lang w:val="en-US" w:eastAsia="zh-CN"/>
        </w:rPr>
        <w:t>合同标本修复基准价折扣率为</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lang w:val="en-US" w:eastAsia="zh-CN"/>
        </w:rPr>
        <w:t>。服务费包括服务成本、法定税费、修复工具及修复耗材成本、化石整饰及加固（包括但不限于背板钢架等）材料及人工费、包装运输及其过程中的安全保障费用、装卸摆放费用和乙方的利润</w:t>
      </w:r>
      <w:r>
        <w:rPr>
          <w:rFonts w:ascii="仿宋" w:hAnsi="仿宋" w:eastAsia="仿宋"/>
          <w:color w:val="auto"/>
          <w:sz w:val="28"/>
          <w:szCs w:val="28"/>
        </w:rPr>
        <w:t>。</w:t>
      </w:r>
    </w:p>
    <w:p w14:paraId="3C843FF7">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rPr>
        <w:t>2</w:t>
      </w:r>
      <w:r>
        <w:rPr>
          <w:rFonts w:hint="eastAsia" w:ascii="仿宋" w:hAnsi="仿宋" w:eastAsia="仿宋" w:cs="仿宋"/>
          <w:color w:val="auto"/>
          <w:kern w:val="0"/>
          <w:sz w:val="28"/>
          <w:szCs w:val="28"/>
          <w:highlight w:val="none"/>
          <w:lang w:val="en-US" w:eastAsia="zh-CN"/>
        </w:rPr>
        <w:t>.付款方式：</w:t>
      </w:r>
    </w:p>
    <w:p w14:paraId="307D1C28">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合同签订后，第一批甲方指定的至少50件标本修复完成送达甲方指定地点并经甲方验收合格后，凭乙方提供的发票及双方签字确认的结算单，甲方在10个工作日内与乙方据实结算项目款项。第二批甲方指定的至少100件标本修复完成送达甲方指定地点并经甲方验收合格后，凭乙方提供的发票及双方签字确认的结算单，甲方在10个工作日内与乙方据实结算项目款项。剩余标本修复完成送达甲方指定地点并经甲方验收合格后，凭乙方提供的发票及双方签字确认的结算单，甲方在10个工作日内与乙方据实结算项目款项。</w:t>
      </w:r>
    </w:p>
    <w:p w14:paraId="22BEBEEE">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（2）对于乙方根据合同约定和法律法规应当承担的违约金、损害赔偿金，以及其他应当承担的费用等，乙方拒不承担的，甲方有权直接在付款时做扣除处理。</w:t>
      </w:r>
    </w:p>
    <w:p w14:paraId="326A4A24">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rPr>
        <w:t>3</w:t>
      </w:r>
      <w:r>
        <w:rPr>
          <w:rFonts w:hint="eastAsia" w:ascii="仿宋" w:hAnsi="仿宋" w:eastAsia="仿宋" w:cs="仿宋"/>
          <w:color w:val="auto"/>
          <w:kern w:val="0"/>
          <w:sz w:val="28"/>
          <w:szCs w:val="28"/>
          <w:highlight w:val="none"/>
          <w:lang w:val="en-US" w:eastAsia="zh-CN"/>
        </w:rPr>
        <w:t>.</w:t>
      </w:r>
      <w:r>
        <w:rPr>
          <w:rFonts w:hint="eastAsia" w:ascii="仿宋" w:hAnsi="仿宋" w:eastAsia="仿宋" w:cs="仿宋"/>
          <w:color w:val="auto"/>
          <w:kern w:val="0"/>
          <w:sz w:val="28"/>
          <w:szCs w:val="28"/>
          <w:highlight w:val="none"/>
          <w:lang w:val="en-US"/>
        </w:rPr>
        <w:t>结算方式：资金支付采取转账形式，乙方指定如下账号为收款账号：</w:t>
      </w:r>
    </w:p>
    <w:p w14:paraId="38CEFC48">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rPr>
        <w:t>户 名：</w:t>
      </w:r>
    </w:p>
    <w:p w14:paraId="59F0B1AA">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rPr>
        <w:t>账 户：</w:t>
      </w:r>
    </w:p>
    <w:p w14:paraId="29A48D23">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rPr>
        <w:t>银 行：</w:t>
      </w:r>
    </w:p>
    <w:p w14:paraId="7481E15B">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rPr>
        <w:t>纳税人识别号：</w:t>
      </w:r>
    </w:p>
    <w:p w14:paraId="6ADA33F7">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rPr>
        <w:t>4</w:t>
      </w:r>
      <w:r>
        <w:rPr>
          <w:rFonts w:hint="eastAsia" w:ascii="仿宋" w:hAnsi="仿宋" w:eastAsia="仿宋" w:cs="仿宋"/>
          <w:color w:val="auto"/>
          <w:kern w:val="0"/>
          <w:sz w:val="28"/>
          <w:szCs w:val="28"/>
          <w:highlight w:val="none"/>
          <w:lang w:val="en-US" w:eastAsia="zh-CN"/>
        </w:rPr>
        <w:t>.</w:t>
      </w:r>
      <w:r>
        <w:rPr>
          <w:rFonts w:hint="eastAsia" w:ascii="仿宋" w:hAnsi="仿宋" w:eastAsia="仿宋" w:cs="仿宋"/>
          <w:color w:val="auto"/>
          <w:kern w:val="0"/>
          <w:sz w:val="28"/>
          <w:szCs w:val="28"/>
          <w:highlight w:val="none"/>
          <w:lang w:val="en-US"/>
        </w:rPr>
        <w:t>深圳博物馆开票信息如下：</w:t>
      </w:r>
    </w:p>
    <w:p w14:paraId="5A11AEB8">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rPr>
        <w:t>名    称：深圳博物馆</w:t>
      </w:r>
    </w:p>
    <w:p w14:paraId="1226C138">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rPr>
        <w:t>统一社会信用代码：124403004557541837</w:t>
      </w:r>
    </w:p>
    <w:p w14:paraId="7339D274">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rPr>
        <w:t>开户银行：平安银行深圳分行营业部</w:t>
      </w:r>
    </w:p>
    <w:p w14:paraId="58A957E6">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rPr>
        <w:t>银行账号：2000015987562</w:t>
      </w:r>
    </w:p>
    <w:p w14:paraId="2B34793F">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rPr>
        <w:t>地    址：深圳市福田区同心路6号</w:t>
      </w:r>
    </w:p>
    <w:p w14:paraId="2F5EC7DB">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lang w:val="en-US"/>
        </w:rPr>
        <w:t>乙方应保证合同收款账户信息准确真实,乙方的账户信息发生变化的，应至少于甲方付款前书面通知甲方，否则由此导致的错付、无法支付等所有法律后果均由乙方自行承担。</w:t>
      </w:r>
    </w:p>
    <w:p w14:paraId="72C875EA">
      <w:pPr>
        <w:keepNext w:val="0"/>
        <w:keepLines w:val="0"/>
        <w:numPr>
          <w:ilvl w:val="0"/>
          <w:numId w:val="0"/>
        </w:numPr>
        <w:shd w:val="clear"/>
        <w:spacing w:line="240" w:lineRule="auto"/>
        <w:ind w:firstLine="562"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b/>
          <w:color w:val="auto"/>
          <w:sz w:val="28"/>
          <w:szCs w:val="28"/>
          <w:lang w:val="en-US" w:eastAsia="zh-CN"/>
        </w:rPr>
        <w:t xml:space="preserve">第五条  </w:t>
      </w:r>
      <w:r>
        <w:rPr>
          <w:rFonts w:hint="eastAsia" w:ascii="仿宋" w:hAnsi="仿宋" w:eastAsia="仿宋"/>
          <w:b/>
          <w:color w:val="auto"/>
          <w:sz w:val="28"/>
          <w:szCs w:val="28"/>
        </w:rPr>
        <w:t>违约责任</w:t>
      </w:r>
    </w:p>
    <w:p w14:paraId="7FD596EC">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rPr>
        <w:t>1</w:t>
      </w:r>
      <w:r>
        <w:rPr>
          <w:rFonts w:hint="eastAsia" w:ascii="仿宋" w:hAnsi="仿宋" w:eastAsia="仿宋" w:cs="仿宋"/>
          <w:color w:val="auto"/>
          <w:kern w:val="0"/>
          <w:sz w:val="28"/>
          <w:szCs w:val="28"/>
          <w:highlight w:val="none"/>
          <w:lang w:val="en-US" w:eastAsia="zh-CN"/>
        </w:rPr>
        <w:t>.</w:t>
      </w:r>
      <w:r>
        <w:rPr>
          <w:rFonts w:hint="eastAsia" w:ascii="仿宋" w:hAnsi="仿宋" w:eastAsia="仿宋" w:cs="仿宋"/>
          <w:color w:val="auto"/>
          <w:kern w:val="0"/>
          <w:sz w:val="28"/>
          <w:szCs w:val="28"/>
          <w:highlight w:val="none"/>
          <w:lang w:val="en-US"/>
        </w:rPr>
        <w:t>乙方应在</w:t>
      </w:r>
      <w:r>
        <w:rPr>
          <w:rFonts w:hint="eastAsia" w:ascii="仿宋" w:hAnsi="仿宋" w:eastAsia="仿宋" w:cs="仿宋"/>
          <w:color w:val="auto"/>
          <w:kern w:val="0"/>
          <w:sz w:val="28"/>
          <w:szCs w:val="28"/>
          <w:highlight w:val="none"/>
          <w:lang w:val="en-US" w:eastAsia="zh-CN"/>
        </w:rPr>
        <w:t>合同规定</w:t>
      </w:r>
      <w:r>
        <w:rPr>
          <w:rFonts w:hint="eastAsia" w:ascii="仿宋" w:hAnsi="仿宋" w:eastAsia="仿宋" w:cs="仿宋"/>
          <w:color w:val="auto"/>
          <w:kern w:val="0"/>
          <w:sz w:val="28"/>
          <w:szCs w:val="28"/>
          <w:highlight w:val="none"/>
          <w:lang w:val="en-US"/>
        </w:rPr>
        <w:t>的时间内交付</w:t>
      </w:r>
      <w:r>
        <w:rPr>
          <w:rFonts w:hint="eastAsia" w:ascii="仿宋" w:hAnsi="仿宋" w:eastAsia="仿宋" w:cs="仿宋"/>
          <w:color w:val="auto"/>
          <w:kern w:val="0"/>
          <w:sz w:val="28"/>
          <w:szCs w:val="28"/>
          <w:highlight w:val="none"/>
          <w:lang w:val="en-US" w:eastAsia="zh-CN"/>
        </w:rPr>
        <w:t>完成修复的标本</w:t>
      </w:r>
      <w:r>
        <w:rPr>
          <w:rFonts w:hint="eastAsia" w:ascii="仿宋" w:hAnsi="仿宋" w:eastAsia="仿宋" w:cs="仿宋"/>
          <w:color w:val="auto"/>
          <w:kern w:val="0"/>
          <w:sz w:val="28"/>
          <w:szCs w:val="28"/>
          <w:highlight w:val="none"/>
          <w:lang w:val="en-US"/>
        </w:rPr>
        <w:t>，逾期交付的，每逾期一</w:t>
      </w:r>
      <w:r>
        <w:rPr>
          <w:rFonts w:hint="eastAsia" w:ascii="仿宋" w:hAnsi="仿宋" w:eastAsia="仿宋" w:cs="仿宋"/>
          <w:color w:val="auto"/>
          <w:kern w:val="0"/>
          <w:sz w:val="28"/>
          <w:szCs w:val="28"/>
          <w:highlight w:val="none"/>
          <w:lang w:val="en-US" w:eastAsia="zh-CN"/>
        </w:rPr>
        <w:t>个日历</w:t>
      </w:r>
      <w:r>
        <w:rPr>
          <w:rFonts w:hint="eastAsia" w:ascii="仿宋" w:hAnsi="仿宋" w:eastAsia="仿宋" w:cs="仿宋"/>
          <w:color w:val="auto"/>
          <w:kern w:val="0"/>
          <w:sz w:val="28"/>
          <w:szCs w:val="28"/>
          <w:highlight w:val="none"/>
          <w:lang w:val="en-US"/>
        </w:rPr>
        <w:t>日，</w:t>
      </w:r>
      <w:r>
        <w:rPr>
          <w:rFonts w:hint="eastAsia" w:ascii="仿宋" w:hAnsi="仿宋" w:eastAsia="仿宋" w:cs="仿宋"/>
          <w:color w:val="auto"/>
          <w:kern w:val="0"/>
          <w:sz w:val="28"/>
          <w:szCs w:val="28"/>
          <w:highlight w:val="none"/>
          <w:lang w:val="en-US" w:eastAsia="zh-CN"/>
        </w:rPr>
        <w:t>单件标本</w:t>
      </w:r>
      <w:r>
        <w:rPr>
          <w:rFonts w:hint="eastAsia" w:ascii="仿宋" w:hAnsi="仿宋" w:eastAsia="仿宋" w:cs="仿宋"/>
          <w:color w:val="auto"/>
          <w:kern w:val="0"/>
          <w:sz w:val="28"/>
          <w:szCs w:val="28"/>
          <w:highlight w:val="none"/>
          <w:lang w:val="en-US"/>
        </w:rPr>
        <w:t>乙方须向甲方支付合同总价款万分之</w:t>
      </w:r>
      <w:r>
        <w:rPr>
          <w:rFonts w:hint="eastAsia" w:ascii="仿宋" w:hAnsi="仿宋" w:eastAsia="仿宋" w:cs="仿宋"/>
          <w:color w:val="auto"/>
          <w:kern w:val="0"/>
          <w:sz w:val="28"/>
          <w:szCs w:val="28"/>
          <w:highlight w:val="none"/>
          <w:lang w:val="en-US" w:eastAsia="zh-CN"/>
        </w:rPr>
        <w:t>一</w:t>
      </w:r>
      <w:r>
        <w:rPr>
          <w:rFonts w:hint="eastAsia" w:ascii="仿宋" w:hAnsi="仿宋" w:eastAsia="仿宋" w:cs="仿宋"/>
          <w:color w:val="auto"/>
          <w:kern w:val="0"/>
          <w:sz w:val="28"/>
          <w:szCs w:val="28"/>
          <w:highlight w:val="none"/>
          <w:lang w:val="en-US"/>
        </w:rPr>
        <w:t>的违约金，逾期超过30</w:t>
      </w:r>
      <w:r>
        <w:rPr>
          <w:rFonts w:hint="eastAsia" w:ascii="仿宋" w:hAnsi="仿宋" w:eastAsia="仿宋" w:cs="仿宋"/>
          <w:color w:val="auto"/>
          <w:kern w:val="0"/>
          <w:sz w:val="28"/>
          <w:szCs w:val="28"/>
          <w:highlight w:val="none"/>
          <w:lang w:val="en-US" w:eastAsia="zh-CN"/>
        </w:rPr>
        <w:t>个日历</w:t>
      </w:r>
      <w:r>
        <w:rPr>
          <w:rFonts w:hint="eastAsia" w:ascii="仿宋" w:hAnsi="仿宋" w:eastAsia="仿宋" w:cs="仿宋"/>
          <w:color w:val="auto"/>
          <w:kern w:val="0"/>
          <w:sz w:val="28"/>
          <w:szCs w:val="28"/>
          <w:highlight w:val="none"/>
          <w:lang w:val="en-US"/>
        </w:rPr>
        <w:t>日的，</w:t>
      </w:r>
      <w:r>
        <w:rPr>
          <w:rFonts w:hint="eastAsia" w:ascii="仿宋" w:hAnsi="仿宋" w:eastAsia="仿宋" w:cs="仿宋"/>
          <w:color w:val="auto"/>
          <w:kern w:val="0"/>
          <w:sz w:val="28"/>
          <w:szCs w:val="28"/>
          <w:highlight w:val="none"/>
          <w:lang w:val="en-US" w:eastAsia="zh-CN"/>
        </w:rPr>
        <w:t>后续违约金按单件标本</w:t>
      </w:r>
      <w:r>
        <w:rPr>
          <w:rFonts w:hint="eastAsia" w:ascii="仿宋" w:hAnsi="仿宋" w:eastAsia="仿宋" w:cs="仿宋"/>
          <w:color w:val="auto"/>
          <w:kern w:val="0"/>
          <w:sz w:val="28"/>
          <w:szCs w:val="28"/>
          <w:highlight w:val="none"/>
          <w:lang w:val="en-US"/>
        </w:rPr>
        <w:t>乙方须向甲方支付合同总价款万分之</w:t>
      </w:r>
      <w:r>
        <w:rPr>
          <w:rFonts w:hint="eastAsia" w:ascii="仿宋" w:hAnsi="仿宋" w:eastAsia="仿宋" w:cs="仿宋"/>
          <w:color w:val="auto"/>
          <w:kern w:val="0"/>
          <w:sz w:val="28"/>
          <w:szCs w:val="28"/>
          <w:highlight w:val="none"/>
          <w:lang w:val="en-US" w:eastAsia="zh-CN"/>
        </w:rPr>
        <w:t>二计算；</w:t>
      </w:r>
      <w:r>
        <w:rPr>
          <w:rFonts w:hint="eastAsia" w:ascii="仿宋" w:hAnsi="仿宋" w:eastAsia="仿宋" w:cs="仿宋"/>
          <w:color w:val="auto"/>
          <w:kern w:val="0"/>
          <w:sz w:val="28"/>
          <w:szCs w:val="28"/>
          <w:highlight w:val="none"/>
          <w:lang w:val="en-US"/>
        </w:rPr>
        <w:t>逾期超过</w:t>
      </w:r>
      <w:r>
        <w:rPr>
          <w:rFonts w:hint="eastAsia" w:ascii="仿宋" w:hAnsi="仿宋" w:eastAsia="仿宋" w:cs="仿宋"/>
          <w:color w:val="auto"/>
          <w:kern w:val="0"/>
          <w:sz w:val="28"/>
          <w:szCs w:val="28"/>
          <w:highlight w:val="none"/>
          <w:lang w:val="en-US" w:eastAsia="zh-CN"/>
        </w:rPr>
        <w:t>45个日历</w:t>
      </w:r>
      <w:r>
        <w:rPr>
          <w:rFonts w:hint="eastAsia" w:ascii="仿宋" w:hAnsi="仿宋" w:eastAsia="仿宋" w:cs="仿宋"/>
          <w:color w:val="auto"/>
          <w:kern w:val="0"/>
          <w:sz w:val="28"/>
          <w:szCs w:val="28"/>
          <w:highlight w:val="none"/>
          <w:lang w:val="en-US"/>
        </w:rPr>
        <w:t>日的</w:t>
      </w:r>
      <w:r>
        <w:rPr>
          <w:rFonts w:hint="eastAsia" w:ascii="仿宋" w:hAnsi="仿宋" w:eastAsia="仿宋" w:cs="仿宋"/>
          <w:color w:val="auto"/>
          <w:kern w:val="0"/>
          <w:sz w:val="28"/>
          <w:szCs w:val="28"/>
          <w:highlight w:val="none"/>
          <w:lang w:val="en-US" w:eastAsia="zh-CN"/>
        </w:rPr>
        <w:t>，</w:t>
      </w:r>
      <w:r>
        <w:rPr>
          <w:rFonts w:hint="eastAsia" w:ascii="仿宋" w:hAnsi="仿宋" w:eastAsia="仿宋" w:cs="仿宋"/>
          <w:color w:val="auto"/>
          <w:kern w:val="0"/>
          <w:sz w:val="28"/>
          <w:szCs w:val="28"/>
          <w:highlight w:val="none"/>
          <w:lang w:val="en-US"/>
        </w:rPr>
        <w:t>甲方有权解除合同，</w:t>
      </w:r>
      <w:r>
        <w:rPr>
          <w:rFonts w:hint="eastAsia" w:ascii="仿宋" w:hAnsi="仿宋" w:eastAsia="仿宋" w:cs="仿宋"/>
          <w:color w:val="auto"/>
          <w:kern w:val="0"/>
          <w:sz w:val="28"/>
          <w:szCs w:val="28"/>
          <w:highlight w:val="none"/>
          <w:lang w:val="en-US" w:eastAsia="zh-CN"/>
        </w:rPr>
        <w:t>且</w:t>
      </w:r>
      <w:r>
        <w:rPr>
          <w:rFonts w:hint="eastAsia" w:ascii="仿宋" w:hAnsi="仿宋" w:eastAsia="仿宋" w:cs="仿宋"/>
          <w:color w:val="auto"/>
          <w:kern w:val="0"/>
          <w:sz w:val="28"/>
          <w:szCs w:val="28"/>
          <w:highlight w:val="none"/>
          <w:lang w:val="en-US"/>
        </w:rPr>
        <w:t>乙方应向甲方支付合同总价款的20%作为违约金。</w:t>
      </w:r>
    </w:p>
    <w:p w14:paraId="3043A239">
      <w:pPr>
        <w:widowControl/>
        <w:spacing w:line="500" w:lineRule="exact"/>
        <w:ind w:firstLine="560" w:firstLineChars="200"/>
        <w:jc w:val="left"/>
        <w:outlineLvl w:val="9"/>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2.若在修复过程中造成</w:t>
      </w:r>
      <w:r>
        <w:rPr>
          <w:rFonts w:hint="eastAsia" w:ascii="仿宋" w:hAnsi="仿宋" w:eastAsia="仿宋"/>
          <w:color w:val="auto"/>
          <w:sz w:val="28"/>
          <w:szCs w:val="28"/>
          <w:lang w:val="en-US" w:eastAsia="zh-CN"/>
        </w:rPr>
        <w:t>化石损伤，乙方根据损伤情况按该化石征集价格的1-2倍进行赔偿</w:t>
      </w:r>
      <w:r>
        <w:rPr>
          <w:rFonts w:hint="eastAsia" w:ascii="仿宋" w:hAnsi="仿宋" w:eastAsia="仿宋" w:cs="仿宋"/>
          <w:color w:val="auto"/>
          <w:kern w:val="0"/>
          <w:sz w:val="28"/>
          <w:szCs w:val="28"/>
          <w:highlight w:val="none"/>
          <w:lang w:val="en-US" w:eastAsia="zh-CN"/>
        </w:rPr>
        <w:t>。</w:t>
      </w:r>
    </w:p>
    <w:p w14:paraId="414DDDFF">
      <w:pPr>
        <w:widowControl/>
        <w:numPr>
          <w:ilvl w:val="0"/>
          <w:numId w:val="0"/>
        </w:numPr>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w w:val="100"/>
          <w:kern w:val="0"/>
          <w:sz w:val="28"/>
          <w:szCs w:val="28"/>
          <w:shd w:val="clear"/>
          <w:lang w:val="en-US" w:eastAsia="zh-CN"/>
        </w:rPr>
        <w:t>3.</w:t>
      </w:r>
      <w:r>
        <w:rPr>
          <w:rFonts w:hint="eastAsia" w:ascii="仿宋" w:hAnsi="仿宋" w:eastAsia="仿宋" w:cs="仿宋"/>
          <w:color w:val="auto"/>
          <w:kern w:val="0"/>
          <w:sz w:val="28"/>
          <w:szCs w:val="28"/>
          <w:highlight w:val="none"/>
          <w:lang w:val="en-US"/>
        </w:rPr>
        <w:t>乙方交付的标本不得存在伪造、侵犯第三人合法权益等情形，否则，每发生一次，乙方须向甲方支付合同总价款的20%作为违约金，同时甲方有权解除合同。因此产生的对第三人的责任，均由乙方承担。</w:t>
      </w:r>
    </w:p>
    <w:p w14:paraId="6D10A98F">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lang w:val="en-US"/>
        </w:rPr>
        <w:t xml:space="preserve">未经甲方书面同意，乙方不得将本合同项下的权利义务转让给第三方，否则乙方应向甲方支付合同总金额10%的违约金，同时甲方有权解除合同，乙方应当返还甲方已经支付的全部价款。 </w:t>
      </w:r>
    </w:p>
    <w:p w14:paraId="3F6DE186">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lang w:val="en-US"/>
        </w:rPr>
        <w:t xml:space="preserve">乙方对本合同的内容、因履行本合同所知悉的甲方的商业秘密及其他保密信息负有保密义务。未经甲方书面同意，乙方不得将相关信息披露给任何第三方，乙方违反本条保密约定，除立即停止违约行为并采取补救措施外，还应向甲方支付合同总金额5%的违约金，并承担全部法律责任并赔偿因此给甲方造成的全部损失。本条规定持续有效，不因本合同终止、解除等而失效。 </w:t>
      </w:r>
    </w:p>
    <w:p w14:paraId="2B3E0444">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lang w:val="en-US"/>
        </w:rPr>
        <w:t>除本合同另有约定外，乙方违反合同约定的其他义务的，经甲方催告后10</w:t>
      </w:r>
      <w:r>
        <w:rPr>
          <w:rFonts w:hint="eastAsia" w:ascii="仿宋" w:hAnsi="仿宋" w:eastAsia="仿宋" w:cs="仿宋"/>
          <w:color w:val="auto"/>
          <w:kern w:val="0"/>
          <w:sz w:val="28"/>
          <w:szCs w:val="28"/>
          <w:highlight w:val="none"/>
          <w:lang w:val="en-US" w:eastAsia="zh-CN"/>
        </w:rPr>
        <w:t>个日历</w:t>
      </w:r>
      <w:r>
        <w:rPr>
          <w:rFonts w:hint="eastAsia" w:ascii="仿宋" w:hAnsi="仿宋" w:eastAsia="仿宋" w:cs="仿宋"/>
          <w:color w:val="auto"/>
          <w:kern w:val="0"/>
          <w:sz w:val="28"/>
          <w:szCs w:val="28"/>
          <w:highlight w:val="none"/>
          <w:lang w:val="en-US"/>
        </w:rPr>
        <w:t>日内仍不改正或改正后仍不符合合同约定的，乙方应向甲方支付合同总金额5%的违约金，同时，甲方有权解除本合同</w:t>
      </w:r>
      <w:r>
        <w:rPr>
          <w:rFonts w:hint="eastAsia" w:ascii="仿宋" w:hAnsi="仿宋" w:eastAsia="仿宋" w:cs="仿宋"/>
          <w:color w:val="auto"/>
          <w:kern w:val="0"/>
          <w:sz w:val="28"/>
          <w:szCs w:val="28"/>
          <w:highlight w:val="none"/>
          <w:lang w:val="en-US" w:eastAsia="zh-CN"/>
        </w:rPr>
        <w:t>并要求乙方赔偿损失</w:t>
      </w:r>
      <w:r>
        <w:rPr>
          <w:rFonts w:hint="eastAsia" w:ascii="仿宋" w:hAnsi="仿宋" w:eastAsia="仿宋" w:cs="仿宋"/>
          <w:color w:val="auto"/>
          <w:kern w:val="0"/>
          <w:sz w:val="28"/>
          <w:szCs w:val="28"/>
          <w:highlight w:val="none"/>
          <w:lang w:val="en-US"/>
        </w:rPr>
        <w:t xml:space="preserve">。 </w:t>
      </w:r>
    </w:p>
    <w:p w14:paraId="3C3AD1AF">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eastAsia="zh-CN"/>
        </w:rPr>
        <w:t>7.</w:t>
      </w:r>
      <w:r>
        <w:rPr>
          <w:rFonts w:hint="eastAsia" w:ascii="仿宋" w:hAnsi="仿宋" w:eastAsia="仿宋" w:cs="仿宋"/>
          <w:color w:val="auto"/>
          <w:kern w:val="0"/>
          <w:sz w:val="28"/>
          <w:szCs w:val="28"/>
          <w:highlight w:val="none"/>
          <w:lang w:val="en-US"/>
        </w:rPr>
        <w:t xml:space="preserve">因乙方违反本合同约定而需要向甲方支付的任何费用（包括但不限于损失赔偿费用、违约金等），甲方均有权在向乙方支付合同款时予以扣除。 </w:t>
      </w:r>
    </w:p>
    <w:p w14:paraId="71FE3E83">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eastAsia="zh-CN"/>
        </w:rPr>
        <w:t>8.</w:t>
      </w:r>
      <w:r>
        <w:rPr>
          <w:rFonts w:hint="eastAsia" w:ascii="仿宋" w:hAnsi="仿宋" w:eastAsia="仿宋" w:cs="仿宋"/>
          <w:color w:val="auto"/>
          <w:kern w:val="0"/>
          <w:sz w:val="28"/>
          <w:szCs w:val="28"/>
          <w:highlight w:val="none"/>
          <w:lang w:val="en-US"/>
        </w:rPr>
        <w:t>乙方基于本合同应向甲方支付的违约金不足以弥补甲方所受损失的，应当予以补足。本合同所约定的甲方损失包括但不限于甲方经济利益的减损、</w:t>
      </w:r>
      <w:r>
        <w:rPr>
          <w:rFonts w:hint="eastAsia" w:ascii="仿宋" w:hAnsi="仿宋" w:eastAsia="仿宋" w:cs="仿宋"/>
          <w:color w:val="auto"/>
          <w:kern w:val="0"/>
          <w:sz w:val="28"/>
          <w:szCs w:val="28"/>
          <w:highlight w:val="none"/>
          <w:lang w:val="en-US" w:eastAsia="zh-CN"/>
        </w:rPr>
        <w:t>商誉损失、</w:t>
      </w:r>
      <w:r>
        <w:rPr>
          <w:rFonts w:hint="eastAsia" w:ascii="仿宋" w:hAnsi="仿宋" w:eastAsia="仿宋" w:cs="仿宋"/>
          <w:color w:val="auto"/>
          <w:kern w:val="0"/>
          <w:sz w:val="28"/>
          <w:szCs w:val="28"/>
          <w:highlight w:val="none"/>
          <w:lang w:val="en-US"/>
        </w:rPr>
        <w:t>甲方为证实乙方违约行为所支付的调查取证费、公证费用、甲方为寻求救济所支付的诉讼费、保全费、律师代理费、咨询费、差旅费、向第三方支付的赔偿款等。</w:t>
      </w:r>
    </w:p>
    <w:p w14:paraId="4DCCD73E">
      <w:pPr>
        <w:widowControl/>
        <w:spacing w:line="500" w:lineRule="exact"/>
        <w:ind w:firstLine="560" w:firstLineChars="200"/>
        <w:jc w:val="left"/>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eastAsia="zh-CN"/>
        </w:rPr>
        <w:t>9</w:t>
      </w:r>
      <w:r>
        <w:rPr>
          <w:rFonts w:hint="eastAsia" w:ascii="仿宋" w:hAnsi="仿宋" w:eastAsia="仿宋" w:cs="仿宋"/>
          <w:color w:val="auto"/>
          <w:kern w:val="0"/>
          <w:sz w:val="28"/>
          <w:szCs w:val="28"/>
          <w:highlight w:val="none"/>
          <w:lang w:val="en-US"/>
        </w:rPr>
        <w:t>.因乙方原因导致本合同解除的，乙方应返还甲方已支付的费用。</w:t>
      </w:r>
    </w:p>
    <w:p w14:paraId="31F8DA78">
      <w:pPr>
        <w:spacing w:line="500" w:lineRule="exact"/>
        <w:ind w:firstLine="560" w:firstLineChars="200"/>
        <w:jc w:val="left"/>
        <w:outlineLvl w:val="9"/>
        <w:rPr>
          <w:rFonts w:ascii="仿宋" w:hAnsi="仿宋" w:eastAsia="仿宋"/>
          <w:color w:val="auto"/>
          <w:sz w:val="28"/>
          <w:szCs w:val="28"/>
        </w:rPr>
      </w:pPr>
      <w:r>
        <w:rPr>
          <w:rFonts w:hint="eastAsia" w:ascii="仿宋" w:hAnsi="仿宋" w:eastAsia="仿宋" w:cs="仿宋"/>
          <w:color w:val="auto"/>
          <w:kern w:val="0"/>
          <w:sz w:val="28"/>
          <w:szCs w:val="28"/>
          <w:highlight w:val="none"/>
          <w:lang w:val="en-US" w:eastAsia="zh-CN"/>
        </w:rPr>
        <w:t>10.若甲方无正当理由逾期支付本合同价款，每延误一个日历日，未付款项按合同订立时1年期贷款市场报价利率（LPR）计算违约金。因特殊情况导致甲方无法按时付款的，不视为甲方违约。</w:t>
      </w:r>
    </w:p>
    <w:p w14:paraId="6976DA5A">
      <w:pPr>
        <w:spacing w:line="520" w:lineRule="exact"/>
        <w:ind w:firstLine="562" w:firstLineChars="200"/>
        <w:jc w:val="both"/>
        <w:outlineLvl w:val="9"/>
        <w:rPr>
          <w:rFonts w:hint="eastAsia" w:ascii="仿宋" w:hAnsi="仿宋" w:eastAsia="仿宋"/>
          <w:b/>
          <w:bCs/>
          <w:color w:val="auto"/>
          <w:sz w:val="28"/>
          <w:szCs w:val="28"/>
        </w:rPr>
      </w:pPr>
      <w:r>
        <w:rPr>
          <w:rFonts w:hint="eastAsia" w:ascii="仿宋" w:hAnsi="仿宋" w:eastAsia="仿宋"/>
          <w:b/>
          <w:bCs/>
          <w:color w:val="auto"/>
          <w:sz w:val="28"/>
          <w:szCs w:val="28"/>
        </w:rPr>
        <w:t>第</w:t>
      </w:r>
      <w:r>
        <w:rPr>
          <w:rFonts w:hint="eastAsia" w:ascii="仿宋" w:hAnsi="仿宋" w:eastAsia="仿宋"/>
          <w:b/>
          <w:bCs/>
          <w:color w:val="auto"/>
          <w:sz w:val="28"/>
          <w:szCs w:val="28"/>
          <w:lang w:val="en-US" w:eastAsia="zh-CN"/>
        </w:rPr>
        <w:t>六</w:t>
      </w:r>
      <w:r>
        <w:rPr>
          <w:rFonts w:hint="eastAsia" w:ascii="仿宋" w:hAnsi="仿宋" w:eastAsia="仿宋"/>
          <w:b/>
          <w:bCs/>
          <w:color w:val="auto"/>
          <w:sz w:val="28"/>
          <w:szCs w:val="28"/>
        </w:rPr>
        <w:t>条  保密要求</w:t>
      </w:r>
    </w:p>
    <w:p w14:paraId="6070C051">
      <w:pPr>
        <w:ind w:firstLine="560" w:firstLineChars="200"/>
        <w:outlineLvl w:val="9"/>
      </w:pPr>
      <w:r>
        <w:rPr>
          <w:rFonts w:hint="eastAsia" w:ascii="仿宋" w:hAnsi="仿宋" w:eastAsia="仿宋" w:cstheme="minorBidi"/>
          <w:i w:val="0"/>
          <w:iCs w:val="0"/>
          <w:caps w:val="0"/>
          <w:color w:val="auto"/>
          <w:spacing w:val="0"/>
          <w:w w:val="100"/>
          <w:kern w:val="0"/>
          <w:sz w:val="28"/>
          <w:szCs w:val="28"/>
          <w:highlight w:val="none"/>
          <w:shd w:val="clear"/>
          <w:lang w:val="en-US" w:eastAsia="zh-CN" w:bidi="ar"/>
        </w:rPr>
        <w:t>乙方须严格遵守保密义务，不得擅自研究、翻制或泄露化石相关信息。</w:t>
      </w:r>
      <w:r>
        <w:rPr>
          <w:rFonts w:hint="eastAsia"/>
        </w:rPr>
        <w:t xml:space="preserve"> </w:t>
      </w:r>
    </w:p>
    <w:p w14:paraId="32573482">
      <w:pPr>
        <w:spacing w:line="520" w:lineRule="exact"/>
        <w:ind w:firstLine="562" w:firstLineChars="200"/>
        <w:jc w:val="both"/>
        <w:outlineLvl w:val="9"/>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第七条  甲方的权利与义务</w:t>
      </w:r>
    </w:p>
    <w:p w14:paraId="19E4066F">
      <w:pPr>
        <w:keepNext w:val="0"/>
        <w:keepLines w:val="0"/>
        <w:widowControl/>
        <w:suppressLineNumbers w:val="0"/>
        <w:shd w:val="clear"/>
        <w:spacing w:line="520" w:lineRule="exact"/>
        <w:ind w:left="0" w:firstLine="560"/>
        <w:jc w:val="left"/>
        <w:outlineLvl w:val="9"/>
        <w:rPr>
          <w:rFonts w:hint="default" w:ascii="仿宋" w:hAnsi="仿宋" w:eastAsia="仿宋" w:cstheme="minorBidi"/>
          <w:i w:val="0"/>
          <w:iCs w:val="0"/>
          <w:caps w:val="0"/>
          <w:color w:val="auto"/>
          <w:spacing w:val="0"/>
          <w:sz w:val="28"/>
          <w:szCs w:val="28"/>
          <w:highlight w:val="none"/>
          <w:lang w:val="en-US" w:eastAsia="zh-CN"/>
        </w:rPr>
      </w:pPr>
      <w:r>
        <w:rPr>
          <w:rFonts w:hint="default" w:ascii="仿宋" w:hAnsi="仿宋" w:eastAsia="仿宋" w:cstheme="minorBidi"/>
          <w:i w:val="0"/>
          <w:iCs w:val="0"/>
          <w:caps w:val="0"/>
          <w:color w:val="auto"/>
          <w:spacing w:val="0"/>
          <w:w w:val="100"/>
          <w:kern w:val="0"/>
          <w:sz w:val="28"/>
          <w:szCs w:val="28"/>
          <w:highlight w:val="none"/>
          <w:shd w:val="clear"/>
          <w:lang w:val="en-US" w:eastAsia="zh-CN" w:bidi="ar"/>
        </w:rPr>
        <w:t>1.甲方有权要求乙方及时、如实报告进展。</w:t>
      </w:r>
    </w:p>
    <w:p w14:paraId="5BAE2BFD">
      <w:pPr>
        <w:keepNext w:val="0"/>
        <w:keepLines w:val="0"/>
        <w:widowControl/>
        <w:suppressLineNumbers w:val="0"/>
        <w:shd w:val="clear"/>
        <w:spacing w:line="520" w:lineRule="exact"/>
        <w:ind w:left="0" w:firstLine="560"/>
        <w:jc w:val="left"/>
        <w:outlineLvl w:val="9"/>
        <w:rPr>
          <w:rFonts w:hint="default" w:ascii="仿宋" w:hAnsi="仿宋" w:eastAsia="仿宋" w:cstheme="minorBidi"/>
          <w:i w:val="0"/>
          <w:iCs w:val="0"/>
          <w:caps w:val="0"/>
          <w:color w:val="auto"/>
          <w:spacing w:val="0"/>
          <w:sz w:val="28"/>
          <w:szCs w:val="28"/>
          <w:highlight w:val="none"/>
          <w:lang w:val="en-US" w:eastAsia="zh-CN"/>
        </w:rPr>
      </w:pPr>
      <w:r>
        <w:rPr>
          <w:rFonts w:hint="eastAsia" w:ascii="仿宋" w:hAnsi="仿宋" w:eastAsia="仿宋" w:cstheme="minorBidi"/>
          <w:i w:val="0"/>
          <w:iCs w:val="0"/>
          <w:caps w:val="0"/>
          <w:color w:val="auto"/>
          <w:spacing w:val="0"/>
          <w:w w:val="100"/>
          <w:kern w:val="0"/>
          <w:sz w:val="28"/>
          <w:szCs w:val="28"/>
          <w:highlight w:val="none"/>
          <w:shd w:val="clear"/>
          <w:lang w:val="en-US" w:eastAsia="zh-CN" w:bidi="ar"/>
        </w:rPr>
        <w:t>2.</w:t>
      </w:r>
      <w:r>
        <w:rPr>
          <w:rFonts w:hint="default" w:ascii="仿宋" w:hAnsi="仿宋" w:eastAsia="仿宋" w:cstheme="minorBidi"/>
          <w:i w:val="0"/>
          <w:iCs w:val="0"/>
          <w:caps w:val="0"/>
          <w:color w:val="auto"/>
          <w:spacing w:val="0"/>
          <w:w w:val="100"/>
          <w:kern w:val="0"/>
          <w:sz w:val="28"/>
          <w:szCs w:val="28"/>
          <w:highlight w:val="none"/>
          <w:shd w:val="clear"/>
          <w:lang w:val="en-US" w:eastAsia="zh-CN" w:bidi="ar"/>
        </w:rPr>
        <w:t>甲方应当按照本合同约定向乙方及时足额支付费用。</w:t>
      </w:r>
    </w:p>
    <w:p w14:paraId="3BBEB68A">
      <w:pPr>
        <w:keepNext w:val="0"/>
        <w:keepLines w:val="0"/>
        <w:widowControl/>
        <w:suppressLineNumbers w:val="0"/>
        <w:shd w:val="clear"/>
        <w:spacing w:line="520" w:lineRule="exact"/>
        <w:ind w:left="0" w:firstLine="560"/>
        <w:jc w:val="left"/>
        <w:outlineLvl w:val="9"/>
        <w:rPr>
          <w:rFonts w:hint="default" w:ascii="仿宋" w:hAnsi="仿宋" w:eastAsia="仿宋" w:cstheme="minorBidi"/>
          <w:i w:val="0"/>
          <w:iCs w:val="0"/>
          <w:caps w:val="0"/>
          <w:color w:val="auto"/>
          <w:spacing w:val="0"/>
          <w:w w:val="100"/>
          <w:kern w:val="0"/>
          <w:sz w:val="28"/>
          <w:szCs w:val="28"/>
          <w:highlight w:val="none"/>
          <w:shd w:val="clear"/>
          <w:lang w:val="en-US" w:eastAsia="zh-CN" w:bidi="ar"/>
        </w:rPr>
      </w:pPr>
      <w:r>
        <w:rPr>
          <w:rFonts w:hint="eastAsia" w:ascii="仿宋" w:hAnsi="仿宋" w:eastAsia="仿宋" w:cstheme="minorBidi"/>
          <w:i w:val="0"/>
          <w:iCs w:val="0"/>
          <w:caps w:val="0"/>
          <w:color w:val="auto"/>
          <w:spacing w:val="0"/>
          <w:w w:val="100"/>
          <w:kern w:val="0"/>
          <w:sz w:val="28"/>
          <w:szCs w:val="28"/>
          <w:highlight w:val="none"/>
          <w:shd w:val="clear"/>
          <w:lang w:val="en-US" w:eastAsia="zh-CN" w:bidi="ar"/>
        </w:rPr>
        <w:t>3.乙方</w:t>
      </w:r>
      <w:r>
        <w:rPr>
          <w:rFonts w:hint="default" w:ascii="仿宋" w:hAnsi="仿宋" w:eastAsia="仿宋" w:cstheme="minorBidi"/>
          <w:i w:val="0"/>
          <w:iCs w:val="0"/>
          <w:caps w:val="0"/>
          <w:color w:val="auto"/>
          <w:spacing w:val="0"/>
          <w:w w:val="100"/>
          <w:kern w:val="0"/>
          <w:sz w:val="28"/>
          <w:szCs w:val="28"/>
          <w:highlight w:val="none"/>
          <w:shd w:val="clear"/>
          <w:lang w:val="en-US" w:eastAsia="zh-CN" w:bidi="ar"/>
        </w:rPr>
        <w:t>未经甲方</w:t>
      </w:r>
      <w:r>
        <w:rPr>
          <w:rFonts w:hint="eastAsia" w:ascii="仿宋" w:hAnsi="仿宋" w:eastAsia="仿宋" w:cstheme="minorBidi"/>
          <w:i w:val="0"/>
          <w:iCs w:val="0"/>
          <w:caps w:val="0"/>
          <w:color w:val="auto"/>
          <w:spacing w:val="0"/>
          <w:w w:val="100"/>
          <w:kern w:val="0"/>
          <w:sz w:val="28"/>
          <w:szCs w:val="28"/>
          <w:highlight w:val="none"/>
          <w:shd w:val="clear"/>
          <w:lang w:val="en-US" w:eastAsia="zh-CN" w:bidi="ar"/>
        </w:rPr>
        <w:t>书面</w:t>
      </w:r>
      <w:r>
        <w:rPr>
          <w:rFonts w:hint="default" w:ascii="仿宋" w:hAnsi="仿宋" w:eastAsia="仿宋" w:cstheme="minorBidi"/>
          <w:i w:val="0"/>
          <w:iCs w:val="0"/>
          <w:caps w:val="0"/>
          <w:color w:val="auto"/>
          <w:spacing w:val="0"/>
          <w:w w:val="100"/>
          <w:kern w:val="0"/>
          <w:sz w:val="28"/>
          <w:szCs w:val="28"/>
          <w:highlight w:val="none"/>
          <w:shd w:val="clear"/>
          <w:lang w:val="en-US" w:eastAsia="zh-CN" w:bidi="ar"/>
        </w:rPr>
        <w:t>允许，不得将本合同项下任何义务委托给第三方</w:t>
      </w:r>
      <w:r>
        <w:rPr>
          <w:rFonts w:hint="eastAsia" w:ascii="仿宋" w:hAnsi="仿宋" w:eastAsia="仿宋" w:cstheme="minorBidi"/>
          <w:i w:val="0"/>
          <w:iCs w:val="0"/>
          <w:caps w:val="0"/>
          <w:color w:val="auto"/>
          <w:spacing w:val="0"/>
          <w:w w:val="100"/>
          <w:kern w:val="0"/>
          <w:sz w:val="28"/>
          <w:szCs w:val="28"/>
          <w:highlight w:val="none"/>
          <w:shd w:val="clear"/>
          <w:lang w:val="en-US" w:eastAsia="zh-CN" w:bidi="ar"/>
        </w:rPr>
        <w:t>履行</w:t>
      </w:r>
      <w:r>
        <w:rPr>
          <w:rFonts w:hint="default" w:ascii="仿宋" w:hAnsi="仿宋" w:eastAsia="仿宋" w:cstheme="minorBidi"/>
          <w:i w:val="0"/>
          <w:iCs w:val="0"/>
          <w:caps w:val="0"/>
          <w:color w:val="auto"/>
          <w:spacing w:val="0"/>
          <w:w w:val="100"/>
          <w:kern w:val="0"/>
          <w:sz w:val="28"/>
          <w:szCs w:val="28"/>
          <w:highlight w:val="none"/>
          <w:shd w:val="clear"/>
          <w:lang w:val="en-US" w:eastAsia="zh-CN" w:bidi="ar"/>
        </w:rPr>
        <w:t>。</w:t>
      </w:r>
    </w:p>
    <w:p w14:paraId="33F87145">
      <w:pPr>
        <w:keepNext w:val="0"/>
        <w:keepLines w:val="0"/>
        <w:widowControl/>
        <w:suppressLineNumbers w:val="0"/>
        <w:shd w:val="clear"/>
        <w:spacing w:line="520" w:lineRule="exact"/>
        <w:ind w:left="0" w:firstLine="560"/>
        <w:jc w:val="left"/>
        <w:outlineLvl w:val="9"/>
        <w:rPr>
          <w:rFonts w:hint="default" w:ascii="仿宋" w:hAnsi="仿宋" w:eastAsia="仿宋" w:cstheme="minorBidi"/>
          <w:i w:val="0"/>
          <w:iCs w:val="0"/>
          <w:caps w:val="0"/>
          <w:color w:val="auto"/>
          <w:spacing w:val="0"/>
          <w:sz w:val="28"/>
          <w:szCs w:val="28"/>
          <w:highlight w:val="none"/>
          <w:lang w:val="en-US" w:eastAsia="zh-CN"/>
        </w:rPr>
      </w:pPr>
      <w:r>
        <w:rPr>
          <w:rFonts w:hint="default" w:ascii="仿宋" w:hAnsi="仿宋" w:eastAsia="仿宋" w:cstheme="minorBidi"/>
          <w:i w:val="0"/>
          <w:iCs w:val="0"/>
          <w:caps w:val="0"/>
          <w:color w:val="auto"/>
          <w:spacing w:val="0"/>
          <w:w w:val="100"/>
          <w:kern w:val="0"/>
          <w:sz w:val="28"/>
          <w:szCs w:val="28"/>
          <w:highlight w:val="none"/>
          <w:shd w:val="clear"/>
          <w:lang w:val="en-US" w:eastAsia="zh-CN" w:bidi="ar"/>
        </w:rPr>
        <w:t>4.甲方有权对乙方履约过程进行不定期质量抽查，乙方应配合提供必要的技术资料与现场查验条件。</w:t>
      </w:r>
    </w:p>
    <w:p w14:paraId="50365D81">
      <w:pPr>
        <w:keepNext w:val="0"/>
        <w:keepLines w:val="0"/>
        <w:widowControl/>
        <w:suppressLineNumbers w:val="0"/>
        <w:shd w:val="clear"/>
        <w:spacing w:line="520" w:lineRule="exact"/>
        <w:ind w:left="0" w:firstLine="560"/>
        <w:jc w:val="left"/>
        <w:outlineLvl w:val="9"/>
        <w:rPr>
          <w:rFonts w:hint="default" w:ascii="仿宋" w:hAnsi="仿宋" w:eastAsia="仿宋" w:cstheme="minorBidi"/>
          <w:i w:val="0"/>
          <w:iCs w:val="0"/>
          <w:caps w:val="0"/>
          <w:color w:val="auto"/>
          <w:spacing w:val="0"/>
          <w:sz w:val="28"/>
          <w:szCs w:val="28"/>
          <w:highlight w:val="none"/>
          <w:lang w:val="en-US" w:eastAsia="zh-CN"/>
        </w:rPr>
      </w:pPr>
      <w:r>
        <w:rPr>
          <w:rFonts w:hint="eastAsia" w:ascii="仿宋" w:hAnsi="仿宋" w:eastAsia="仿宋" w:cstheme="minorBidi"/>
          <w:i w:val="0"/>
          <w:iCs w:val="0"/>
          <w:caps w:val="0"/>
          <w:color w:val="auto"/>
          <w:spacing w:val="0"/>
          <w:w w:val="100"/>
          <w:kern w:val="0"/>
          <w:sz w:val="28"/>
          <w:szCs w:val="28"/>
          <w:highlight w:val="none"/>
          <w:shd w:val="clear"/>
          <w:lang w:val="en-US" w:eastAsia="zh-CN" w:bidi="ar"/>
        </w:rPr>
        <w:t>5.</w:t>
      </w:r>
      <w:r>
        <w:rPr>
          <w:rFonts w:hint="default" w:ascii="仿宋" w:hAnsi="仿宋" w:eastAsia="仿宋" w:cstheme="minorBidi"/>
          <w:i w:val="0"/>
          <w:iCs w:val="0"/>
          <w:caps w:val="0"/>
          <w:color w:val="auto"/>
          <w:spacing w:val="0"/>
          <w:w w:val="100"/>
          <w:kern w:val="0"/>
          <w:sz w:val="28"/>
          <w:szCs w:val="28"/>
          <w:highlight w:val="none"/>
          <w:shd w:val="clear"/>
          <w:lang w:val="en-US" w:eastAsia="zh-CN" w:bidi="ar"/>
        </w:rPr>
        <w:t>法律规定或者本合同约定的其他权利义务。</w:t>
      </w:r>
    </w:p>
    <w:p w14:paraId="268262D4">
      <w:pPr>
        <w:numPr>
          <w:ilvl w:val="0"/>
          <w:numId w:val="0"/>
        </w:numPr>
        <w:ind w:firstLine="562" w:firstLineChars="200"/>
        <w:outlineLvl w:val="9"/>
        <w:rPr>
          <w:rFonts w:ascii="仿宋" w:hAnsi="仿宋" w:eastAsia="仿宋"/>
          <w:b/>
          <w:color w:val="auto"/>
          <w:sz w:val="28"/>
          <w:szCs w:val="28"/>
        </w:rPr>
      </w:pPr>
      <w:r>
        <w:rPr>
          <w:rFonts w:hint="eastAsia" w:ascii="仿宋" w:hAnsi="仿宋" w:eastAsia="仿宋" w:cstheme="minorBidi"/>
          <w:b/>
          <w:color w:val="auto"/>
          <w:w w:val="100"/>
          <w:sz w:val="28"/>
          <w:szCs w:val="28"/>
          <w:shd w:val="clear"/>
        </w:rPr>
        <w:t>第</w:t>
      </w:r>
      <w:r>
        <w:rPr>
          <w:rFonts w:hint="eastAsia" w:ascii="仿宋" w:hAnsi="仿宋" w:eastAsia="仿宋" w:cstheme="minorBidi"/>
          <w:b/>
          <w:color w:val="auto"/>
          <w:w w:val="100"/>
          <w:sz w:val="28"/>
          <w:szCs w:val="28"/>
          <w:shd w:val="clear"/>
          <w:lang w:val="en-US" w:eastAsia="zh-CN"/>
        </w:rPr>
        <w:t>八</w:t>
      </w:r>
      <w:r>
        <w:rPr>
          <w:rFonts w:hint="eastAsia" w:ascii="仿宋" w:hAnsi="仿宋" w:eastAsia="仿宋" w:cstheme="minorBidi"/>
          <w:b/>
          <w:color w:val="auto"/>
          <w:w w:val="100"/>
          <w:sz w:val="28"/>
          <w:szCs w:val="28"/>
          <w:shd w:val="clear"/>
        </w:rPr>
        <w:t>条</w:t>
      </w:r>
      <w:r>
        <w:rPr>
          <w:rFonts w:hint="eastAsia" w:ascii="仿宋" w:hAnsi="仿宋" w:eastAsia="仿宋" w:cstheme="minorBidi"/>
          <w:b/>
          <w:color w:val="auto"/>
          <w:w w:val="100"/>
          <w:sz w:val="28"/>
          <w:szCs w:val="28"/>
          <w:shd w:val="clear"/>
          <w:lang w:val="en-US" w:eastAsia="zh-CN"/>
        </w:rPr>
        <w:t xml:space="preserve"> </w:t>
      </w:r>
      <w:r>
        <w:rPr>
          <w:rFonts w:hint="default" w:ascii="仿宋" w:hAnsi="仿宋" w:eastAsia="仿宋"/>
          <w:b/>
          <w:color w:val="auto"/>
          <w:sz w:val="28"/>
          <w:szCs w:val="28"/>
          <w:lang w:val="en-US" w:eastAsia="zh-CN"/>
        </w:rPr>
        <w:t xml:space="preserve"> 乙方的权利与义务</w:t>
      </w:r>
    </w:p>
    <w:p w14:paraId="1D41C5BF">
      <w:pPr>
        <w:keepNext w:val="0"/>
        <w:keepLines w:val="0"/>
        <w:widowControl/>
        <w:suppressLineNumbers w:val="0"/>
        <w:shd w:val="clear"/>
        <w:spacing w:line="520" w:lineRule="exact"/>
        <w:ind w:left="0" w:firstLine="560"/>
        <w:jc w:val="left"/>
        <w:outlineLvl w:val="9"/>
        <w:rPr>
          <w:rFonts w:hint="default" w:ascii="仿宋" w:hAnsi="仿宋" w:eastAsia="仿宋" w:cstheme="minorBidi"/>
          <w:i w:val="0"/>
          <w:iCs w:val="0"/>
          <w:caps w:val="0"/>
          <w:color w:val="auto"/>
          <w:spacing w:val="0"/>
          <w:sz w:val="28"/>
          <w:szCs w:val="28"/>
          <w:highlight w:val="none"/>
          <w:lang w:val="en-US" w:eastAsia="zh-CN" w:bidi="ar"/>
        </w:rPr>
      </w:pPr>
      <w:r>
        <w:rPr>
          <w:rFonts w:hint="eastAsia" w:ascii="仿宋" w:hAnsi="仿宋" w:eastAsia="仿宋" w:cstheme="minorBidi"/>
          <w:i w:val="0"/>
          <w:iCs w:val="0"/>
          <w:caps w:val="0"/>
          <w:color w:val="auto"/>
          <w:spacing w:val="0"/>
          <w:w w:val="100"/>
          <w:kern w:val="0"/>
          <w:sz w:val="28"/>
          <w:szCs w:val="28"/>
          <w:highlight w:val="none"/>
          <w:shd w:val="clear"/>
          <w:lang w:val="en-US" w:eastAsia="zh-CN" w:bidi="ar"/>
        </w:rPr>
        <w:t>1.</w:t>
      </w:r>
      <w:r>
        <w:rPr>
          <w:rFonts w:hint="default" w:ascii="仿宋" w:hAnsi="仿宋" w:eastAsia="仿宋" w:cstheme="minorBidi"/>
          <w:i w:val="0"/>
          <w:iCs w:val="0"/>
          <w:caps w:val="0"/>
          <w:color w:val="auto"/>
          <w:spacing w:val="0"/>
          <w:w w:val="100"/>
          <w:kern w:val="0"/>
          <w:sz w:val="28"/>
          <w:szCs w:val="28"/>
          <w:highlight w:val="none"/>
          <w:shd w:val="clear"/>
          <w:lang w:val="en-US" w:eastAsia="zh-CN" w:bidi="ar"/>
        </w:rPr>
        <w:t>乙方应当保证自身及己方工作人员具备需要的资质及许可条件。</w:t>
      </w:r>
    </w:p>
    <w:p w14:paraId="47A8F568">
      <w:pPr>
        <w:keepNext w:val="0"/>
        <w:keepLines w:val="0"/>
        <w:widowControl/>
        <w:suppressLineNumbers w:val="0"/>
        <w:shd w:val="clear"/>
        <w:spacing w:line="520" w:lineRule="exact"/>
        <w:ind w:left="0" w:firstLine="560"/>
        <w:jc w:val="left"/>
        <w:outlineLvl w:val="9"/>
        <w:rPr>
          <w:rFonts w:hint="default" w:ascii="仿宋" w:hAnsi="仿宋" w:eastAsia="仿宋" w:cstheme="minorBidi"/>
          <w:i w:val="0"/>
          <w:iCs w:val="0"/>
          <w:caps w:val="0"/>
          <w:color w:val="auto"/>
          <w:spacing w:val="0"/>
          <w:sz w:val="28"/>
          <w:szCs w:val="28"/>
          <w:highlight w:val="none"/>
          <w:lang w:val="en-US" w:eastAsia="zh-CN" w:bidi="ar"/>
        </w:rPr>
      </w:pPr>
      <w:r>
        <w:rPr>
          <w:rFonts w:hint="eastAsia" w:ascii="仿宋" w:hAnsi="仿宋" w:eastAsia="仿宋" w:cstheme="minorBidi"/>
          <w:i w:val="0"/>
          <w:iCs w:val="0"/>
          <w:caps w:val="0"/>
          <w:color w:val="auto"/>
          <w:spacing w:val="0"/>
          <w:w w:val="100"/>
          <w:kern w:val="0"/>
          <w:sz w:val="28"/>
          <w:szCs w:val="28"/>
          <w:highlight w:val="none"/>
          <w:shd w:val="clear"/>
          <w:lang w:val="en-US" w:eastAsia="zh-CN" w:bidi="ar"/>
        </w:rPr>
        <w:t>2.</w:t>
      </w:r>
      <w:r>
        <w:rPr>
          <w:rFonts w:hint="default" w:ascii="仿宋" w:hAnsi="仿宋" w:eastAsia="仿宋" w:cstheme="minorBidi"/>
          <w:i w:val="0"/>
          <w:iCs w:val="0"/>
          <w:caps w:val="0"/>
          <w:color w:val="auto"/>
          <w:spacing w:val="0"/>
          <w:w w:val="100"/>
          <w:kern w:val="0"/>
          <w:sz w:val="28"/>
          <w:szCs w:val="28"/>
          <w:highlight w:val="none"/>
          <w:shd w:val="clear"/>
          <w:lang w:val="en-US" w:eastAsia="zh-CN" w:bidi="ar"/>
        </w:rPr>
        <w:t>乙方应当及时、如实向甲方汇报进展。</w:t>
      </w:r>
    </w:p>
    <w:p w14:paraId="396D635E">
      <w:pPr>
        <w:keepNext w:val="0"/>
        <w:keepLines w:val="0"/>
        <w:widowControl/>
        <w:suppressLineNumbers w:val="0"/>
        <w:shd w:val="clear"/>
        <w:spacing w:line="520" w:lineRule="exact"/>
        <w:ind w:left="0" w:firstLine="560"/>
        <w:jc w:val="left"/>
        <w:outlineLvl w:val="9"/>
        <w:rPr>
          <w:rFonts w:hint="default" w:ascii="仿宋" w:hAnsi="仿宋" w:eastAsia="仿宋" w:cstheme="minorBidi"/>
          <w:i w:val="0"/>
          <w:iCs w:val="0"/>
          <w:caps w:val="0"/>
          <w:color w:val="auto"/>
          <w:spacing w:val="0"/>
          <w:sz w:val="28"/>
          <w:szCs w:val="28"/>
          <w:highlight w:val="none"/>
          <w:lang w:val="en-US" w:eastAsia="zh-CN" w:bidi="ar"/>
        </w:rPr>
      </w:pPr>
      <w:r>
        <w:rPr>
          <w:rFonts w:hint="eastAsia" w:ascii="仿宋" w:hAnsi="仿宋" w:eastAsia="仿宋" w:cstheme="minorBidi"/>
          <w:i w:val="0"/>
          <w:iCs w:val="0"/>
          <w:caps w:val="0"/>
          <w:color w:val="auto"/>
          <w:spacing w:val="0"/>
          <w:w w:val="100"/>
          <w:kern w:val="0"/>
          <w:sz w:val="28"/>
          <w:szCs w:val="28"/>
          <w:highlight w:val="none"/>
          <w:shd w:val="clear"/>
          <w:lang w:val="en-US" w:eastAsia="zh-CN" w:bidi="ar"/>
        </w:rPr>
        <w:t>3.</w:t>
      </w:r>
      <w:r>
        <w:rPr>
          <w:rFonts w:hint="default" w:ascii="仿宋" w:hAnsi="仿宋" w:eastAsia="仿宋" w:cstheme="minorBidi"/>
          <w:i w:val="0"/>
          <w:iCs w:val="0"/>
          <w:caps w:val="0"/>
          <w:color w:val="auto"/>
          <w:spacing w:val="0"/>
          <w:w w:val="100"/>
          <w:kern w:val="0"/>
          <w:sz w:val="28"/>
          <w:szCs w:val="28"/>
          <w:highlight w:val="none"/>
          <w:shd w:val="clear"/>
          <w:lang w:val="en-US" w:eastAsia="zh-CN" w:bidi="ar"/>
        </w:rPr>
        <w:t>乙方有权要求甲方按照本合同约定及时足额支付费用。</w:t>
      </w:r>
    </w:p>
    <w:p w14:paraId="7362DE74">
      <w:pPr>
        <w:keepNext w:val="0"/>
        <w:keepLines w:val="0"/>
        <w:shd w:val="clear"/>
        <w:spacing w:line="520" w:lineRule="exact"/>
        <w:ind w:firstLine="560"/>
        <w:jc w:val="left"/>
        <w:outlineLvl w:val="9"/>
        <w:rPr>
          <w:rFonts w:hint="default" w:ascii="仿宋" w:hAnsi="仿宋" w:eastAsia="仿宋"/>
          <w:color w:val="auto"/>
          <w:sz w:val="28"/>
          <w:szCs w:val="28"/>
          <w:highlight w:val="none"/>
          <w:lang w:val="en-US" w:eastAsia="zh-CN" w:bidi="ar"/>
        </w:rPr>
      </w:pPr>
      <w:r>
        <w:rPr>
          <w:rFonts w:hint="eastAsia" w:ascii="仿宋" w:hAnsi="仿宋" w:eastAsia="仿宋" w:cstheme="minorBidi"/>
          <w:i w:val="0"/>
          <w:iCs w:val="0"/>
          <w:caps w:val="0"/>
          <w:color w:val="auto"/>
          <w:spacing w:val="0"/>
          <w:w w:val="100"/>
          <w:kern w:val="0"/>
          <w:sz w:val="28"/>
          <w:szCs w:val="28"/>
          <w:highlight w:val="none"/>
          <w:shd w:val="clear"/>
          <w:lang w:val="en-US" w:eastAsia="zh-CN" w:bidi="ar"/>
        </w:rPr>
        <w:t>4.</w:t>
      </w:r>
      <w:r>
        <w:rPr>
          <w:rFonts w:hint="default" w:ascii="仿宋" w:hAnsi="仿宋" w:eastAsia="仿宋" w:cstheme="minorBidi"/>
          <w:i w:val="0"/>
          <w:iCs w:val="0"/>
          <w:caps w:val="0"/>
          <w:color w:val="auto"/>
          <w:spacing w:val="0"/>
          <w:w w:val="100"/>
          <w:kern w:val="0"/>
          <w:sz w:val="28"/>
          <w:szCs w:val="28"/>
          <w:highlight w:val="none"/>
          <w:shd w:val="clear"/>
          <w:lang w:val="en-US" w:eastAsia="zh-CN" w:bidi="ar"/>
        </w:rPr>
        <w:t>法律规定或者本合同约定的其他权利义务。</w:t>
      </w:r>
    </w:p>
    <w:p w14:paraId="53DD74D0">
      <w:pPr>
        <w:spacing w:line="520" w:lineRule="exact"/>
        <w:ind w:firstLine="562" w:firstLineChars="200"/>
        <w:outlineLvl w:val="9"/>
        <w:rPr>
          <w:rFonts w:hint="eastAsia" w:ascii="仿宋" w:hAnsi="仿宋" w:eastAsia="仿宋" w:cs="仿宋"/>
          <w:b/>
          <w:bCs/>
          <w:color w:val="auto"/>
          <w:sz w:val="24"/>
          <w:highlight w:val="none"/>
          <w:lang w:val="en-US"/>
        </w:rPr>
      </w:pPr>
      <w:r>
        <w:rPr>
          <w:rFonts w:ascii="仿宋" w:hAnsi="仿宋" w:eastAsia="仿宋"/>
          <w:b/>
          <w:color w:val="auto"/>
          <w:sz w:val="28"/>
          <w:szCs w:val="28"/>
        </w:rPr>
        <w:t>第</w:t>
      </w:r>
      <w:r>
        <w:rPr>
          <w:rFonts w:hint="eastAsia" w:ascii="仿宋" w:hAnsi="仿宋" w:eastAsia="仿宋"/>
          <w:b/>
          <w:color w:val="auto"/>
          <w:sz w:val="28"/>
          <w:szCs w:val="28"/>
          <w:lang w:val="en-US" w:eastAsia="zh-CN"/>
        </w:rPr>
        <w:t>九</w:t>
      </w:r>
      <w:r>
        <w:rPr>
          <w:rFonts w:ascii="仿宋" w:hAnsi="仿宋" w:eastAsia="仿宋"/>
          <w:b/>
          <w:color w:val="auto"/>
          <w:sz w:val="28"/>
          <w:szCs w:val="28"/>
        </w:rPr>
        <w:t xml:space="preserve">条  </w:t>
      </w:r>
      <w:r>
        <w:rPr>
          <w:rFonts w:hint="eastAsia" w:ascii="仿宋" w:hAnsi="仿宋" w:eastAsia="仿宋"/>
          <w:b/>
          <w:color w:val="auto"/>
          <w:sz w:val="28"/>
          <w:szCs w:val="28"/>
          <w:lang w:val="en-US"/>
        </w:rPr>
        <w:t>不可抗力</w:t>
      </w:r>
    </w:p>
    <w:p w14:paraId="4E613E94">
      <w:pPr>
        <w:keepNext w:val="0"/>
        <w:keepLines w:val="0"/>
        <w:widowControl/>
        <w:suppressLineNumbers w:val="0"/>
        <w:shd w:val="clear"/>
        <w:spacing w:line="520" w:lineRule="exact"/>
        <w:ind w:left="0" w:firstLine="560"/>
        <w:jc w:val="left"/>
        <w:outlineLvl w:val="9"/>
        <w:rPr>
          <w:rFonts w:ascii="仿宋" w:hAnsi="仿宋" w:eastAsia="仿宋"/>
          <w:b/>
          <w:color w:val="auto"/>
          <w:sz w:val="28"/>
          <w:szCs w:val="28"/>
        </w:rPr>
      </w:pPr>
      <w:r>
        <w:rPr>
          <w:rFonts w:hint="eastAsia" w:ascii="仿宋" w:hAnsi="仿宋" w:eastAsia="仿宋" w:cstheme="minorBidi"/>
          <w:i w:val="0"/>
          <w:iCs w:val="0"/>
          <w:caps w:val="0"/>
          <w:color w:val="auto"/>
          <w:spacing w:val="0"/>
          <w:w w:val="100"/>
          <w:kern w:val="0"/>
          <w:sz w:val="28"/>
          <w:szCs w:val="28"/>
          <w:highlight w:val="none"/>
          <w:shd w:val="clear"/>
          <w:lang w:val="en-US" w:eastAsia="zh-CN" w:bidi="ar"/>
        </w:rPr>
        <w:t xml:space="preserve">1.由于不可抗力的原因，致使合同不能履行或不能完全履行的，发生不可抗力的一方应在不可抗力事件发生的 24 小时内通知对方，并应采取措施尽量避免和减少损失的扩大，任何一方当事人没有采取有效措施导致损失扩大的，应对扩大的损失承担责任。迟延履行合同后发生不可抗力的，不能免除责任。本合同所述之不可抗力系指以当事人的能力不能预见、不能抗拒、不能避免的客观情况，包括但不限于：地震、山洪、海啸、台风、战争、政府禁令及其他属于不可抗力的情形。 </w:t>
      </w:r>
    </w:p>
    <w:p w14:paraId="02EC1551">
      <w:pPr>
        <w:spacing w:line="520" w:lineRule="exact"/>
        <w:ind w:firstLine="562" w:firstLineChars="200"/>
        <w:outlineLvl w:val="9"/>
        <w:rPr>
          <w:rFonts w:ascii="仿宋" w:hAnsi="仿宋" w:eastAsia="仿宋"/>
          <w:b/>
          <w:color w:val="auto"/>
          <w:sz w:val="28"/>
          <w:szCs w:val="28"/>
        </w:rPr>
      </w:pPr>
      <w:r>
        <w:rPr>
          <w:rFonts w:ascii="仿宋" w:hAnsi="仿宋" w:eastAsia="仿宋"/>
          <w:b/>
          <w:color w:val="auto"/>
          <w:sz w:val="28"/>
          <w:szCs w:val="28"/>
        </w:rPr>
        <w:t>第</w:t>
      </w:r>
      <w:r>
        <w:rPr>
          <w:rFonts w:hint="eastAsia" w:ascii="仿宋" w:hAnsi="仿宋" w:eastAsia="仿宋"/>
          <w:b/>
          <w:color w:val="auto"/>
          <w:sz w:val="28"/>
          <w:szCs w:val="28"/>
          <w:lang w:val="en-US" w:eastAsia="zh-CN"/>
        </w:rPr>
        <w:t>十</w:t>
      </w:r>
      <w:r>
        <w:rPr>
          <w:rFonts w:ascii="仿宋" w:hAnsi="仿宋" w:eastAsia="仿宋"/>
          <w:b/>
          <w:color w:val="auto"/>
          <w:sz w:val="28"/>
          <w:szCs w:val="28"/>
        </w:rPr>
        <w:t>条  争议解决</w:t>
      </w:r>
    </w:p>
    <w:p w14:paraId="0DEECDA9">
      <w:pPr>
        <w:spacing w:line="520" w:lineRule="exact"/>
        <w:ind w:firstLine="560"/>
        <w:outlineLvl w:val="9"/>
        <w:rPr>
          <w:rFonts w:ascii="仿宋" w:hAnsi="仿宋" w:eastAsia="仿宋"/>
          <w:color w:val="auto"/>
          <w:sz w:val="28"/>
          <w:szCs w:val="28"/>
        </w:rPr>
      </w:pPr>
      <w:r>
        <w:rPr>
          <w:rFonts w:ascii="仿宋" w:hAnsi="仿宋" w:eastAsia="仿宋"/>
          <w:color w:val="auto"/>
          <w:sz w:val="28"/>
          <w:szCs w:val="28"/>
        </w:rPr>
        <w:t>1</w:t>
      </w:r>
      <w:r>
        <w:rPr>
          <w:rFonts w:hint="eastAsia" w:ascii="仿宋" w:hAnsi="仿宋" w:eastAsia="仿宋"/>
          <w:color w:val="auto"/>
          <w:sz w:val="28"/>
          <w:szCs w:val="28"/>
          <w:lang w:val="en-US" w:eastAsia="zh-CN"/>
        </w:rPr>
        <w:t>.</w:t>
      </w:r>
      <w:r>
        <w:rPr>
          <w:rFonts w:ascii="仿宋" w:hAnsi="仿宋" w:eastAsia="仿宋"/>
          <w:color w:val="auto"/>
          <w:sz w:val="28"/>
          <w:szCs w:val="28"/>
        </w:rPr>
        <w:t>甲、乙双方因履行本合同产生的争议，应友好协商解决；如协商不成，任何一方有权向甲方所在地</w:t>
      </w:r>
      <w:r>
        <w:rPr>
          <w:rFonts w:hint="eastAsia" w:ascii="仿宋" w:hAnsi="仿宋" w:eastAsia="仿宋"/>
          <w:color w:val="auto"/>
          <w:sz w:val="28"/>
          <w:szCs w:val="28"/>
          <w:lang w:val="en-US" w:eastAsia="zh-CN"/>
        </w:rPr>
        <w:t>有管辖权的</w:t>
      </w:r>
      <w:r>
        <w:rPr>
          <w:rFonts w:ascii="仿宋" w:hAnsi="仿宋" w:eastAsia="仿宋"/>
          <w:color w:val="auto"/>
          <w:sz w:val="28"/>
          <w:szCs w:val="28"/>
        </w:rPr>
        <w:t>人民法院提起诉讼。</w:t>
      </w:r>
    </w:p>
    <w:p w14:paraId="31CEDD1D">
      <w:pPr>
        <w:spacing w:line="520" w:lineRule="exact"/>
        <w:ind w:firstLine="560"/>
        <w:outlineLvl w:val="9"/>
        <w:rPr>
          <w:rFonts w:ascii="仿宋" w:hAnsi="仿宋" w:eastAsia="仿宋"/>
          <w:color w:val="auto"/>
          <w:sz w:val="28"/>
          <w:szCs w:val="28"/>
        </w:rPr>
      </w:pPr>
      <w:r>
        <w:rPr>
          <w:rFonts w:ascii="仿宋" w:hAnsi="仿宋" w:eastAsia="仿宋"/>
          <w:color w:val="auto"/>
          <w:sz w:val="28"/>
          <w:szCs w:val="28"/>
        </w:rPr>
        <w:t>2</w:t>
      </w:r>
      <w:r>
        <w:rPr>
          <w:rFonts w:hint="eastAsia" w:ascii="仿宋" w:hAnsi="仿宋" w:eastAsia="仿宋"/>
          <w:color w:val="auto"/>
          <w:sz w:val="28"/>
          <w:szCs w:val="28"/>
          <w:lang w:val="en-US" w:eastAsia="zh-CN"/>
        </w:rPr>
        <w:t>.</w:t>
      </w:r>
      <w:r>
        <w:rPr>
          <w:rFonts w:ascii="仿宋" w:hAnsi="仿宋" w:eastAsia="仿宋"/>
          <w:color w:val="auto"/>
          <w:sz w:val="28"/>
          <w:szCs w:val="28"/>
        </w:rPr>
        <w:t>在协商或诉讼期间，双方应本着诚信原则继续履行本合同不涉及争议的部分。</w:t>
      </w:r>
    </w:p>
    <w:p w14:paraId="4DE0A306">
      <w:pPr>
        <w:spacing w:line="520" w:lineRule="exact"/>
        <w:ind w:firstLine="562" w:firstLineChars="200"/>
        <w:outlineLvl w:val="9"/>
        <w:rPr>
          <w:rFonts w:ascii="仿宋" w:hAnsi="仿宋" w:eastAsia="仿宋"/>
          <w:b/>
          <w:color w:val="auto"/>
          <w:sz w:val="28"/>
          <w:szCs w:val="28"/>
        </w:rPr>
      </w:pPr>
      <w:r>
        <w:rPr>
          <w:rFonts w:ascii="仿宋" w:hAnsi="仿宋" w:eastAsia="仿宋"/>
          <w:b/>
          <w:color w:val="auto"/>
          <w:sz w:val="28"/>
          <w:szCs w:val="28"/>
        </w:rPr>
        <w:t>第</w:t>
      </w:r>
      <w:r>
        <w:rPr>
          <w:rFonts w:hint="eastAsia" w:ascii="仿宋" w:hAnsi="仿宋" w:eastAsia="仿宋"/>
          <w:b/>
          <w:color w:val="auto"/>
          <w:sz w:val="28"/>
          <w:szCs w:val="28"/>
          <w:lang w:val="en-US" w:eastAsia="zh-CN"/>
        </w:rPr>
        <w:t>十一</w:t>
      </w:r>
      <w:r>
        <w:rPr>
          <w:rFonts w:ascii="仿宋" w:hAnsi="仿宋" w:eastAsia="仿宋"/>
          <w:b/>
          <w:color w:val="auto"/>
          <w:sz w:val="28"/>
          <w:szCs w:val="28"/>
        </w:rPr>
        <w:t>条  其他</w:t>
      </w:r>
    </w:p>
    <w:p w14:paraId="561A47C7">
      <w:pPr>
        <w:spacing w:line="520" w:lineRule="exact"/>
        <w:ind w:firstLine="560"/>
        <w:outlineLvl w:val="9"/>
        <w:rPr>
          <w:rFonts w:ascii="仿宋" w:hAnsi="仿宋" w:eastAsia="仿宋"/>
          <w:color w:val="auto"/>
          <w:sz w:val="28"/>
          <w:szCs w:val="28"/>
        </w:rPr>
      </w:pPr>
      <w:r>
        <w:rPr>
          <w:rFonts w:ascii="仿宋" w:hAnsi="仿宋" w:eastAsia="仿宋"/>
          <w:color w:val="auto"/>
          <w:sz w:val="28"/>
          <w:szCs w:val="28"/>
        </w:rPr>
        <w:t>1</w:t>
      </w:r>
      <w:r>
        <w:rPr>
          <w:rFonts w:hint="eastAsia" w:ascii="仿宋" w:hAnsi="仿宋" w:eastAsia="仿宋"/>
          <w:color w:val="auto"/>
          <w:sz w:val="28"/>
          <w:szCs w:val="28"/>
          <w:lang w:val="en-US" w:eastAsia="zh-CN"/>
        </w:rPr>
        <w:t>.</w:t>
      </w:r>
      <w:r>
        <w:rPr>
          <w:rFonts w:ascii="仿宋" w:hAnsi="仿宋" w:eastAsia="仿宋"/>
          <w:color w:val="auto"/>
          <w:sz w:val="28"/>
          <w:szCs w:val="28"/>
        </w:rPr>
        <w:t>合同自双方法定代表人或授权代表签字并加盖公章或合同专用章之日起生效。在合同履行过程中，经过双方同意，可签订书面补充合同，补充合同与本合同具有同等法律效力，补充合同与本合同不一致的部分，以补充合同为准。</w:t>
      </w:r>
    </w:p>
    <w:p w14:paraId="02D47251">
      <w:pPr>
        <w:spacing w:line="520" w:lineRule="exact"/>
        <w:ind w:firstLine="560"/>
        <w:outlineLvl w:val="9"/>
        <w:rPr>
          <w:rFonts w:ascii="仿宋" w:hAnsi="仿宋" w:eastAsia="仿宋"/>
          <w:color w:val="auto"/>
          <w:sz w:val="28"/>
          <w:szCs w:val="28"/>
        </w:rPr>
      </w:pPr>
      <w:r>
        <w:rPr>
          <w:rFonts w:ascii="仿宋" w:hAnsi="仿宋" w:eastAsia="仿宋"/>
          <w:color w:val="auto"/>
          <w:sz w:val="28"/>
          <w:szCs w:val="28"/>
        </w:rPr>
        <w:t>2</w:t>
      </w:r>
      <w:r>
        <w:rPr>
          <w:rFonts w:hint="eastAsia" w:ascii="仿宋" w:hAnsi="仿宋" w:eastAsia="仿宋"/>
          <w:color w:val="auto"/>
          <w:sz w:val="28"/>
          <w:szCs w:val="28"/>
          <w:lang w:val="en-US" w:eastAsia="zh-CN"/>
        </w:rPr>
        <w:t>.</w:t>
      </w:r>
      <w:r>
        <w:rPr>
          <w:rFonts w:ascii="仿宋" w:hAnsi="仿宋" w:eastAsia="仿宋"/>
          <w:color w:val="auto"/>
          <w:sz w:val="28"/>
          <w:szCs w:val="28"/>
        </w:rPr>
        <w:t>下列文件均为本合同的组成部分：</w:t>
      </w:r>
    </w:p>
    <w:p w14:paraId="2D0A58BE">
      <w:pPr>
        <w:spacing w:line="520" w:lineRule="exact"/>
        <w:ind w:firstLine="560"/>
        <w:outlineLvl w:val="9"/>
        <w:rPr>
          <w:rFonts w:hint="eastAsia" w:ascii="仿宋" w:hAnsi="仿宋" w:eastAsia="仿宋"/>
          <w:color w:val="auto"/>
          <w:sz w:val="28"/>
          <w:szCs w:val="28"/>
          <w:lang w:val="en-US"/>
        </w:rPr>
      </w:pPr>
      <w:r>
        <w:rPr>
          <w:rFonts w:hint="eastAsia" w:ascii="仿宋" w:hAnsi="仿宋" w:eastAsia="仿宋"/>
          <w:color w:val="auto"/>
          <w:sz w:val="28"/>
          <w:szCs w:val="28"/>
          <w:lang w:val="en-US"/>
        </w:rPr>
        <w:t>（1）中标通知书；</w:t>
      </w:r>
    </w:p>
    <w:p w14:paraId="549626C7">
      <w:pPr>
        <w:spacing w:line="520" w:lineRule="exact"/>
        <w:ind w:firstLine="560"/>
        <w:outlineLvl w:val="9"/>
        <w:rPr>
          <w:rFonts w:hint="eastAsia" w:ascii="仿宋" w:hAnsi="仿宋" w:eastAsia="仿宋"/>
          <w:color w:val="auto"/>
          <w:sz w:val="28"/>
          <w:szCs w:val="28"/>
          <w:lang w:val="en-US"/>
        </w:rPr>
      </w:pPr>
      <w:r>
        <w:rPr>
          <w:rFonts w:hint="eastAsia" w:ascii="仿宋" w:hAnsi="仿宋" w:eastAsia="仿宋"/>
          <w:color w:val="auto"/>
          <w:sz w:val="28"/>
          <w:szCs w:val="28"/>
          <w:lang w:val="en-US"/>
        </w:rPr>
        <w:t>（</w:t>
      </w:r>
      <w:r>
        <w:rPr>
          <w:rFonts w:hint="eastAsia" w:ascii="仿宋" w:hAnsi="仿宋" w:eastAsia="仿宋"/>
          <w:color w:val="auto"/>
          <w:sz w:val="28"/>
          <w:szCs w:val="28"/>
          <w:lang w:val="en-US" w:eastAsia="zh-CN"/>
        </w:rPr>
        <w:t>2</w:t>
      </w:r>
      <w:r>
        <w:rPr>
          <w:rFonts w:hint="eastAsia" w:ascii="仿宋" w:hAnsi="仿宋" w:eastAsia="仿宋"/>
          <w:color w:val="auto"/>
          <w:sz w:val="28"/>
          <w:szCs w:val="28"/>
          <w:lang w:val="en-US"/>
        </w:rPr>
        <w:t>）招标文件、答疑及补充通知；</w:t>
      </w:r>
    </w:p>
    <w:p w14:paraId="2124AB59">
      <w:pPr>
        <w:spacing w:line="520" w:lineRule="exact"/>
        <w:ind w:firstLine="560"/>
        <w:outlineLvl w:val="9"/>
        <w:rPr>
          <w:rFonts w:hint="eastAsia" w:ascii="仿宋" w:hAnsi="仿宋" w:eastAsia="仿宋"/>
          <w:color w:val="auto"/>
          <w:sz w:val="28"/>
          <w:szCs w:val="28"/>
          <w:lang w:val="en-US"/>
        </w:rPr>
      </w:pPr>
      <w:r>
        <w:rPr>
          <w:rFonts w:hint="eastAsia" w:ascii="仿宋" w:hAnsi="仿宋" w:eastAsia="仿宋"/>
          <w:color w:val="auto"/>
          <w:sz w:val="28"/>
          <w:szCs w:val="28"/>
          <w:lang w:val="en-US"/>
        </w:rPr>
        <w:t>（</w:t>
      </w:r>
      <w:r>
        <w:rPr>
          <w:rFonts w:hint="eastAsia" w:ascii="仿宋" w:hAnsi="仿宋" w:eastAsia="仿宋"/>
          <w:color w:val="auto"/>
          <w:sz w:val="28"/>
          <w:szCs w:val="28"/>
          <w:lang w:val="en-US" w:eastAsia="zh-CN"/>
        </w:rPr>
        <w:t>3</w:t>
      </w:r>
      <w:r>
        <w:rPr>
          <w:rFonts w:hint="eastAsia" w:ascii="仿宋" w:hAnsi="仿宋" w:eastAsia="仿宋"/>
          <w:color w:val="auto"/>
          <w:sz w:val="28"/>
          <w:szCs w:val="28"/>
          <w:lang w:val="en-US"/>
        </w:rPr>
        <w:t>）乙方的投标文件；</w:t>
      </w:r>
    </w:p>
    <w:p w14:paraId="75FD4C4E">
      <w:pPr>
        <w:spacing w:line="520" w:lineRule="exact"/>
        <w:ind w:firstLine="560"/>
        <w:outlineLvl w:val="9"/>
        <w:rPr>
          <w:rFonts w:hint="eastAsia" w:ascii="仿宋" w:hAnsi="仿宋" w:eastAsia="仿宋"/>
          <w:color w:val="auto"/>
          <w:sz w:val="28"/>
          <w:szCs w:val="28"/>
          <w:lang w:val="en-US"/>
        </w:rPr>
      </w:pPr>
      <w:r>
        <w:rPr>
          <w:rFonts w:hint="eastAsia" w:ascii="仿宋" w:hAnsi="仿宋" w:eastAsia="仿宋"/>
          <w:color w:val="auto"/>
          <w:sz w:val="28"/>
          <w:szCs w:val="28"/>
          <w:lang w:val="en-US"/>
        </w:rPr>
        <w:t>（</w:t>
      </w:r>
      <w:r>
        <w:rPr>
          <w:rFonts w:hint="eastAsia" w:ascii="仿宋" w:hAnsi="仿宋" w:eastAsia="仿宋"/>
          <w:color w:val="auto"/>
          <w:sz w:val="28"/>
          <w:szCs w:val="28"/>
          <w:lang w:val="en-US" w:eastAsia="zh-CN"/>
        </w:rPr>
        <w:t>4</w:t>
      </w:r>
      <w:r>
        <w:rPr>
          <w:rFonts w:hint="eastAsia" w:ascii="仿宋" w:hAnsi="仿宋" w:eastAsia="仿宋"/>
          <w:color w:val="auto"/>
          <w:sz w:val="28"/>
          <w:szCs w:val="28"/>
          <w:lang w:val="en-US"/>
        </w:rPr>
        <w:t>）合同及附件内容；</w:t>
      </w:r>
    </w:p>
    <w:p w14:paraId="0595D841">
      <w:pPr>
        <w:spacing w:line="520" w:lineRule="exact"/>
        <w:ind w:firstLine="560"/>
        <w:outlineLvl w:val="9"/>
        <w:rPr>
          <w:rFonts w:hint="eastAsia" w:ascii="仿宋" w:hAnsi="仿宋" w:eastAsia="仿宋"/>
          <w:color w:val="auto"/>
          <w:sz w:val="28"/>
          <w:szCs w:val="28"/>
          <w:lang w:val="en-US"/>
        </w:rPr>
      </w:pPr>
      <w:r>
        <w:rPr>
          <w:rFonts w:hint="eastAsia" w:ascii="仿宋" w:hAnsi="仿宋" w:eastAsia="仿宋"/>
          <w:color w:val="auto"/>
          <w:sz w:val="28"/>
          <w:szCs w:val="28"/>
          <w:lang w:val="en-US"/>
        </w:rPr>
        <w:t>（</w:t>
      </w:r>
      <w:r>
        <w:rPr>
          <w:rFonts w:hint="eastAsia" w:ascii="仿宋" w:hAnsi="仿宋" w:eastAsia="仿宋"/>
          <w:color w:val="auto"/>
          <w:sz w:val="28"/>
          <w:szCs w:val="28"/>
          <w:lang w:val="en-US" w:eastAsia="zh-CN"/>
        </w:rPr>
        <w:t>5</w:t>
      </w:r>
      <w:r>
        <w:rPr>
          <w:rFonts w:hint="eastAsia" w:ascii="仿宋" w:hAnsi="仿宋" w:eastAsia="仿宋"/>
          <w:color w:val="auto"/>
          <w:sz w:val="28"/>
          <w:szCs w:val="28"/>
          <w:lang w:val="en-US"/>
        </w:rPr>
        <w:t>）本合同执行中甲乙双方共同签署的补充与修正文件。</w:t>
      </w:r>
    </w:p>
    <w:p w14:paraId="22369AFF">
      <w:pPr>
        <w:spacing w:line="520" w:lineRule="exact"/>
        <w:ind w:firstLine="560"/>
        <w:outlineLvl w:val="9"/>
        <w:rPr>
          <w:rFonts w:hint="eastAsia" w:ascii="仿宋" w:hAnsi="仿宋" w:eastAsia="仿宋" w:cs="仿宋"/>
          <w:color w:val="auto"/>
          <w:kern w:val="0"/>
          <w:sz w:val="24"/>
          <w:szCs w:val="24"/>
          <w:highlight w:val="none"/>
          <w:lang w:val="en-US"/>
        </w:rPr>
      </w:pPr>
      <w:r>
        <w:rPr>
          <w:rFonts w:hint="eastAsia" w:ascii="仿宋" w:hAnsi="仿宋" w:eastAsia="仿宋"/>
          <w:color w:val="auto"/>
          <w:sz w:val="28"/>
          <w:szCs w:val="28"/>
          <w:lang w:val="en-US"/>
        </w:rPr>
        <w:t>3</w:t>
      </w:r>
      <w:r>
        <w:rPr>
          <w:rFonts w:hint="eastAsia" w:ascii="仿宋" w:hAnsi="仿宋" w:eastAsia="仿宋"/>
          <w:color w:val="auto"/>
          <w:sz w:val="28"/>
          <w:szCs w:val="28"/>
          <w:lang w:val="en-US" w:eastAsia="zh-CN"/>
        </w:rPr>
        <w:t>.</w:t>
      </w:r>
      <w:r>
        <w:rPr>
          <w:rFonts w:hint="eastAsia" w:ascii="仿宋" w:hAnsi="仿宋" w:eastAsia="仿宋"/>
          <w:color w:val="auto"/>
          <w:sz w:val="28"/>
          <w:szCs w:val="28"/>
          <w:lang w:val="en-US"/>
        </w:rPr>
        <w:t xml:space="preserve">甲乙双方因履行本合同或与本合同有关的一切通知都必须按照本合同中的地址，以书面形式或双方确认的传真、电子送达方式（含电子邮件）或类似的通讯方式进行。采用信函形式的应使用挂号信或者具有良好信誉的特快专递送达。如使用传真、电子送达方式（含电子邮件）或类似的通讯方式，通知日期即为通讯发出日期，如使用挂号信件或特快专递，通知日期即为邮件寄出日期，并以邮戳为准。 </w:t>
      </w:r>
    </w:p>
    <w:p w14:paraId="0815A2FE">
      <w:pPr>
        <w:spacing w:line="520" w:lineRule="exact"/>
        <w:ind w:firstLine="560"/>
        <w:outlineLvl w:val="9"/>
        <w:rPr>
          <w:rFonts w:ascii="仿宋" w:hAnsi="仿宋" w:eastAsia="仿宋"/>
          <w:color w:val="auto"/>
          <w:sz w:val="28"/>
          <w:szCs w:val="28"/>
        </w:rPr>
      </w:pPr>
      <w:r>
        <w:rPr>
          <w:rFonts w:hint="eastAsia" w:ascii="仿宋" w:hAnsi="仿宋" w:eastAsia="仿宋"/>
          <w:color w:val="auto"/>
          <w:sz w:val="28"/>
          <w:szCs w:val="28"/>
          <w:lang w:val="en-US" w:eastAsia="zh-CN"/>
        </w:rPr>
        <w:t>4.</w:t>
      </w:r>
      <w:r>
        <w:rPr>
          <w:rFonts w:ascii="仿宋" w:hAnsi="仿宋" w:eastAsia="仿宋"/>
          <w:color w:val="auto"/>
          <w:sz w:val="28"/>
          <w:szCs w:val="28"/>
        </w:rPr>
        <w:t>本合同一式肆份，甲乙双方各执贰份，具有同等法律效力。</w:t>
      </w:r>
    </w:p>
    <w:p w14:paraId="5F29E868">
      <w:pPr>
        <w:pStyle w:val="13"/>
        <w:ind w:firstLine="560" w:firstLineChars="200"/>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附件：中标清单</w:t>
      </w:r>
    </w:p>
    <w:p w14:paraId="22037A55">
      <w:pPr>
        <w:pStyle w:val="13"/>
        <w:ind w:firstLine="560" w:firstLineChars="200"/>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（以下无正文）</w:t>
      </w:r>
    </w:p>
    <w:p w14:paraId="1918A9A1">
      <w:pPr>
        <w:pStyle w:val="35"/>
        <w:outlineLvl w:val="9"/>
        <w:rPr>
          <w:rFonts w:hint="default"/>
          <w:color w:val="auto"/>
          <w:lang w:val="en-US" w:eastAsia="zh-CN"/>
        </w:rPr>
      </w:pPr>
    </w:p>
    <w:tbl>
      <w:tblPr>
        <w:tblStyle w:val="44"/>
        <w:tblW w:w="86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5"/>
        <w:gridCol w:w="4084"/>
      </w:tblGrid>
      <w:tr w14:paraId="7AF24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jc w:val="center"/>
        </w:trPr>
        <w:tc>
          <w:tcPr>
            <w:tcW w:w="4575" w:type="dxa"/>
          </w:tcPr>
          <w:p w14:paraId="0B3711D5">
            <w:pPr>
              <w:keepNext w:val="0"/>
              <w:keepLines w:val="0"/>
              <w:widowControl/>
              <w:suppressLineNumbers w:val="0"/>
              <w:spacing w:before="0" w:beforeAutospacing="0" w:after="0" w:afterAutospacing="0" w:line="560" w:lineRule="exact"/>
              <w:ind w:left="0" w:right="0"/>
              <w:outlineLvl w:val="9"/>
              <w:rPr>
                <w:rFonts w:hint="eastAsia" w:ascii="仿宋" w:hAnsi="仿宋" w:eastAsia="仿宋" w:cs="仿宋"/>
                <w:color w:val="auto"/>
                <w:sz w:val="28"/>
                <w:szCs w:val="28"/>
              </w:rPr>
            </w:pPr>
            <w:r>
              <w:rPr>
                <w:rFonts w:hint="eastAsia" w:ascii="仿宋" w:hAnsi="仿宋" w:eastAsia="仿宋" w:cs="仿宋"/>
                <w:color w:val="auto"/>
                <w:sz w:val="28"/>
                <w:szCs w:val="28"/>
              </w:rPr>
              <w:t>甲方：</w:t>
            </w:r>
            <w:r>
              <w:rPr>
                <w:rFonts w:hint="default" w:ascii="仿宋" w:hAnsi="仿宋" w:eastAsia="仿宋"/>
                <w:color w:val="auto"/>
                <w:sz w:val="28"/>
                <w:szCs w:val="28"/>
              </w:rPr>
              <w:t>深圳博物馆</w:t>
            </w:r>
          </w:p>
          <w:p w14:paraId="3D8232FE">
            <w:pPr>
              <w:keepNext w:val="0"/>
              <w:keepLines w:val="0"/>
              <w:widowControl/>
              <w:suppressLineNumbers w:val="0"/>
              <w:spacing w:before="0" w:beforeAutospacing="0" w:after="0" w:afterAutospacing="0" w:line="560" w:lineRule="exact"/>
              <w:ind w:left="0" w:right="0" w:firstLine="1120" w:firstLineChars="400"/>
              <w:outlineLvl w:val="9"/>
              <w:rPr>
                <w:rFonts w:hint="eastAsia" w:ascii="仿宋" w:hAnsi="仿宋" w:eastAsia="仿宋" w:cs="仿宋"/>
                <w:color w:val="auto"/>
                <w:sz w:val="28"/>
                <w:szCs w:val="28"/>
              </w:rPr>
            </w:pPr>
            <w:r>
              <w:rPr>
                <w:rFonts w:hint="eastAsia" w:ascii="仿宋" w:hAnsi="仿宋" w:eastAsia="仿宋" w:cs="仿宋"/>
                <w:color w:val="auto"/>
                <w:sz w:val="28"/>
                <w:szCs w:val="28"/>
              </w:rPr>
              <w:t>（盖章）</w:t>
            </w:r>
            <w:r>
              <w:rPr>
                <w:rFonts w:hint="eastAsia" w:ascii="仿宋" w:hAnsi="仿宋" w:eastAsia="仿宋" w:cs="仿宋"/>
                <w:color w:val="auto"/>
                <w:sz w:val="28"/>
                <w:szCs w:val="28"/>
                <w:lang w:val="en-US" w:eastAsia="zh-CN"/>
              </w:rPr>
              <w:t xml:space="preserve">          </w:t>
            </w:r>
          </w:p>
        </w:tc>
        <w:tc>
          <w:tcPr>
            <w:tcW w:w="4084" w:type="dxa"/>
          </w:tcPr>
          <w:p w14:paraId="25B4769B">
            <w:pPr>
              <w:keepNext w:val="0"/>
              <w:keepLines w:val="0"/>
              <w:widowControl/>
              <w:suppressLineNumbers w:val="0"/>
              <w:spacing w:before="0" w:beforeAutospacing="0" w:after="0" w:afterAutospacing="0" w:line="560" w:lineRule="exact"/>
              <w:ind w:left="0" w:right="0"/>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乙方：</w:t>
            </w:r>
            <w:r>
              <w:rPr>
                <w:rFonts w:hint="eastAsia" w:ascii="仿宋" w:hAnsi="仿宋" w:eastAsia="仿宋" w:cs="仿宋"/>
                <w:color w:val="auto"/>
                <w:sz w:val="28"/>
                <w:szCs w:val="28"/>
                <w:lang w:val="en-US" w:eastAsia="zh-CN"/>
              </w:rPr>
              <w:t xml:space="preserve"> </w:t>
            </w:r>
          </w:p>
          <w:p w14:paraId="293B0B6C">
            <w:pPr>
              <w:keepNext w:val="0"/>
              <w:keepLines w:val="0"/>
              <w:widowControl/>
              <w:suppressLineNumbers w:val="0"/>
              <w:spacing w:before="0" w:beforeAutospacing="0" w:after="0" w:afterAutospacing="0" w:line="560" w:lineRule="exact"/>
              <w:ind w:left="0" w:right="0"/>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（盖章）</w:t>
            </w:r>
          </w:p>
        </w:tc>
      </w:tr>
      <w:tr w14:paraId="0D8F5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1" w:hRule="atLeast"/>
          <w:jc w:val="center"/>
        </w:trPr>
        <w:tc>
          <w:tcPr>
            <w:tcW w:w="4575" w:type="dxa"/>
          </w:tcPr>
          <w:p w14:paraId="599DFFD3">
            <w:pPr>
              <w:keepNext w:val="0"/>
              <w:keepLines w:val="0"/>
              <w:widowControl/>
              <w:suppressLineNumbers w:val="0"/>
              <w:spacing w:before="0" w:beforeAutospacing="0" w:after="0" w:afterAutospacing="0" w:line="560" w:lineRule="exact"/>
              <w:ind w:left="0" w:right="0"/>
              <w:outlineLvl w:val="9"/>
              <w:rPr>
                <w:rFonts w:hint="default" w:ascii="仿宋" w:hAnsi="仿宋" w:eastAsia="仿宋"/>
                <w:color w:val="auto"/>
                <w:sz w:val="28"/>
                <w:szCs w:val="28"/>
              </w:rPr>
            </w:pPr>
            <w:r>
              <w:rPr>
                <w:rFonts w:hint="default" w:ascii="仿宋" w:hAnsi="仿宋" w:eastAsia="仿宋"/>
                <w:color w:val="auto"/>
                <w:sz w:val="28"/>
                <w:szCs w:val="28"/>
              </w:rPr>
              <w:t xml:space="preserve">法定代表人或 </w:t>
            </w:r>
          </w:p>
          <w:p w14:paraId="0519B1EE">
            <w:pPr>
              <w:pStyle w:val="150"/>
              <w:keepNext w:val="0"/>
              <w:keepLines w:val="0"/>
              <w:suppressLineNumbers w:val="0"/>
              <w:wordWrap/>
              <w:spacing w:before="0" w:beforeAutospacing="0" w:after="0" w:afterAutospacing="0"/>
              <w:ind w:left="0" w:right="0"/>
              <w:jc w:val="both"/>
              <w:outlineLvl w:val="9"/>
              <w:rPr>
                <w:rFonts w:hint="default"/>
                <w:color w:val="auto"/>
                <w:sz w:val="28"/>
                <w:szCs w:val="28"/>
              </w:rPr>
            </w:pPr>
            <w:r>
              <w:rPr>
                <w:rFonts w:hint="default" w:ascii="仿宋" w:hAnsi="仿宋" w:eastAsia="仿宋"/>
                <w:color w:val="auto"/>
                <w:sz w:val="28"/>
                <w:szCs w:val="28"/>
              </w:rPr>
              <w:t>授权代表（签字）：</w:t>
            </w:r>
          </w:p>
          <w:p w14:paraId="6359ADB6">
            <w:pPr>
              <w:keepNext w:val="0"/>
              <w:keepLines w:val="0"/>
              <w:widowControl/>
              <w:suppressLineNumbers w:val="0"/>
              <w:spacing w:before="0" w:beforeAutospacing="0" w:after="0" w:afterAutospacing="0" w:line="560" w:lineRule="exact"/>
              <w:ind w:left="0" w:right="0"/>
              <w:outlineLvl w:val="9"/>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 xml:space="preserve">日期： </w:t>
            </w:r>
            <w:r>
              <w:rPr>
                <w:rFonts w:hint="eastAsia" w:ascii="仿宋" w:hAnsi="仿宋" w:eastAsia="仿宋" w:cs="仿宋"/>
                <w:color w:val="auto"/>
                <w:sz w:val="28"/>
                <w:szCs w:val="28"/>
                <w:lang w:val="en-US" w:eastAsia="zh-CN"/>
              </w:rPr>
              <w:t xml:space="preserve">  </w:t>
            </w:r>
            <w:r>
              <w:rPr>
                <w:rFonts w:hint="default" w:ascii="仿宋" w:hAnsi="仿宋" w:eastAsia="仿宋"/>
                <w:color w:val="auto"/>
                <w:sz w:val="28"/>
                <w:szCs w:val="28"/>
              </w:rPr>
              <w:t>年   月   日</w:t>
            </w:r>
          </w:p>
        </w:tc>
        <w:tc>
          <w:tcPr>
            <w:tcW w:w="4084" w:type="dxa"/>
          </w:tcPr>
          <w:p w14:paraId="05053382">
            <w:pPr>
              <w:keepNext w:val="0"/>
              <w:keepLines w:val="0"/>
              <w:widowControl/>
              <w:suppressLineNumbers w:val="0"/>
              <w:spacing w:before="0" w:beforeAutospacing="0" w:after="0" w:afterAutospacing="0" w:line="560" w:lineRule="exact"/>
              <w:ind w:left="0" w:right="0"/>
              <w:outlineLvl w:val="9"/>
              <w:rPr>
                <w:rFonts w:hint="default" w:ascii="仿宋" w:hAnsi="仿宋" w:eastAsia="仿宋"/>
                <w:color w:val="auto"/>
                <w:sz w:val="28"/>
                <w:szCs w:val="28"/>
              </w:rPr>
            </w:pPr>
            <w:r>
              <w:rPr>
                <w:rFonts w:hint="default" w:ascii="仿宋" w:hAnsi="仿宋" w:eastAsia="仿宋"/>
                <w:color w:val="auto"/>
                <w:sz w:val="28"/>
                <w:szCs w:val="28"/>
              </w:rPr>
              <w:t xml:space="preserve">法定代表人或 </w:t>
            </w:r>
          </w:p>
          <w:p w14:paraId="119B066A">
            <w:pPr>
              <w:pStyle w:val="150"/>
              <w:keepNext w:val="0"/>
              <w:keepLines w:val="0"/>
              <w:suppressLineNumbers w:val="0"/>
              <w:wordWrap/>
              <w:spacing w:before="0" w:beforeAutospacing="0" w:after="0" w:afterAutospacing="0"/>
              <w:ind w:left="0" w:right="0"/>
              <w:jc w:val="both"/>
              <w:outlineLvl w:val="9"/>
              <w:rPr>
                <w:rFonts w:hint="eastAsia" w:ascii="仿宋" w:hAnsi="仿宋" w:eastAsia="仿宋" w:cs="仿宋"/>
                <w:color w:val="auto"/>
                <w:sz w:val="28"/>
                <w:szCs w:val="28"/>
              </w:rPr>
            </w:pPr>
            <w:r>
              <w:rPr>
                <w:rFonts w:hint="default" w:ascii="仿宋" w:hAnsi="仿宋" w:eastAsia="仿宋"/>
                <w:color w:val="auto"/>
                <w:sz w:val="28"/>
                <w:szCs w:val="28"/>
              </w:rPr>
              <w:t>授权代表（签字）：</w:t>
            </w:r>
            <w:r>
              <w:rPr>
                <w:rFonts w:hint="eastAsia" w:ascii="仿宋" w:hAnsi="仿宋" w:eastAsia="仿宋" w:cs="仿宋"/>
                <w:color w:val="auto"/>
                <w:sz w:val="28"/>
                <w:szCs w:val="28"/>
              </w:rPr>
              <w:t>　</w:t>
            </w:r>
          </w:p>
          <w:p w14:paraId="02C4BA41">
            <w:pPr>
              <w:keepNext w:val="0"/>
              <w:keepLines w:val="0"/>
              <w:widowControl/>
              <w:suppressLineNumbers w:val="0"/>
              <w:spacing w:before="0" w:beforeAutospacing="0" w:after="0" w:afterAutospacing="0" w:line="560" w:lineRule="exact"/>
              <w:ind w:left="0" w:right="0"/>
              <w:outlineLvl w:val="9"/>
              <w:rPr>
                <w:rFonts w:hint="eastAsia" w:ascii="仿宋" w:hAnsi="仿宋" w:eastAsia="仿宋" w:cs="仿宋"/>
                <w:color w:val="auto"/>
                <w:sz w:val="28"/>
                <w:szCs w:val="28"/>
              </w:rPr>
            </w:pPr>
            <w:r>
              <w:rPr>
                <w:rFonts w:hint="eastAsia" w:ascii="仿宋" w:hAnsi="仿宋" w:eastAsia="仿宋" w:cs="仿宋"/>
                <w:color w:val="auto"/>
                <w:sz w:val="28"/>
                <w:szCs w:val="28"/>
              </w:rPr>
              <w:t xml:space="preserve">日期： </w:t>
            </w:r>
            <w:r>
              <w:rPr>
                <w:rFonts w:hint="eastAsia" w:ascii="仿宋" w:hAnsi="仿宋" w:eastAsia="仿宋" w:cs="仿宋"/>
                <w:color w:val="auto"/>
                <w:sz w:val="28"/>
                <w:szCs w:val="28"/>
                <w:lang w:val="en-US" w:eastAsia="zh-CN"/>
              </w:rPr>
              <w:t xml:space="preserve">  </w:t>
            </w:r>
            <w:r>
              <w:rPr>
                <w:rFonts w:hint="default" w:ascii="仿宋" w:hAnsi="仿宋" w:eastAsia="仿宋"/>
                <w:color w:val="auto"/>
                <w:sz w:val="28"/>
                <w:szCs w:val="28"/>
              </w:rPr>
              <w:t>年   月   日</w:t>
            </w:r>
            <w:r>
              <w:rPr>
                <w:rFonts w:hint="eastAsia" w:ascii="仿宋" w:hAnsi="仿宋" w:eastAsia="仿宋" w:cs="仿宋"/>
                <w:color w:val="auto"/>
                <w:sz w:val="28"/>
                <w:szCs w:val="28"/>
              </w:rPr>
              <w:t xml:space="preserve"> </w:t>
            </w:r>
          </w:p>
        </w:tc>
      </w:tr>
    </w:tbl>
    <w:p w14:paraId="35A50D28">
      <w:pPr>
        <w:outlineLvl w:val="9"/>
        <w:rPr>
          <w:color w:val="auto"/>
        </w:rPr>
      </w:pPr>
    </w:p>
    <w:p w14:paraId="0C93F7B2">
      <w:pPr>
        <w:pageBreakBefore w:val="0"/>
        <w:widowControl/>
        <w:kinsoku/>
        <w:wordWrap/>
        <w:overflowPunct/>
        <w:topLinePunct w:val="0"/>
        <w:autoSpaceDE/>
        <w:autoSpaceDN/>
        <w:bidi w:val="0"/>
        <w:snapToGrid/>
        <w:textAlignment w:val="auto"/>
        <w:outlineLvl w:val="9"/>
        <w:rPr>
          <w:rFonts w:ascii="Times New Roman" w:hAnsi="Times New Roman" w:eastAsia="Times New Roman" w:cs="Times New Roman"/>
          <w:color w:val="auto"/>
          <w:w w:val="100"/>
          <w:kern w:val="0"/>
          <w:szCs w:val="21"/>
          <w:shd w:val="clear"/>
        </w:rPr>
      </w:pPr>
      <w:bookmarkStart w:id="257" w:name="合同协议书"/>
    </w:p>
    <w:p w14:paraId="0171717A">
      <w:pPr>
        <w:pageBreakBefore w:val="0"/>
        <w:kinsoku/>
        <w:wordWrap/>
        <w:overflowPunct/>
        <w:topLinePunct w:val="0"/>
        <w:bidi w:val="0"/>
        <w:snapToGrid/>
        <w:textAlignment w:val="auto"/>
        <w:outlineLvl w:val="9"/>
        <w:rPr>
          <w:rFonts w:hint="eastAsia" w:ascii="仿宋" w:hAnsi="仿宋" w:eastAsia="仿宋" w:cs="仿宋"/>
          <w:highlight w:val="none"/>
        </w:rPr>
      </w:pPr>
      <w:r>
        <w:rPr>
          <w:rFonts w:hint="eastAsia" w:ascii="仿宋" w:hAnsi="仿宋" w:eastAsia="仿宋" w:cs="仿宋"/>
          <w:highlight w:val="none"/>
        </w:rPr>
        <w:br w:type="page"/>
      </w:r>
    </w:p>
    <w:p w14:paraId="49E3D0ED">
      <w:pPr>
        <w:pStyle w:val="3"/>
        <w:jc w:val="center"/>
        <w:rPr>
          <w:rFonts w:hint="eastAsia" w:ascii="仿宋" w:hAnsi="仿宋" w:eastAsia="仿宋" w:cs="仿宋"/>
          <w:highlight w:val="none"/>
        </w:rPr>
      </w:pPr>
      <w:bookmarkStart w:id="258" w:name="_Toc12743"/>
      <w:r>
        <w:rPr>
          <w:rFonts w:hint="eastAsia" w:ascii="仿宋" w:hAnsi="仿宋" w:eastAsia="仿宋" w:cs="仿宋"/>
          <w:highlight w:val="none"/>
        </w:rPr>
        <w:t>第五章</w:t>
      </w:r>
      <w:r>
        <w:rPr>
          <w:rFonts w:hint="eastAsia" w:ascii="仿宋" w:hAnsi="仿宋" w:eastAsia="仿宋" w:cs="仿宋"/>
          <w:highlight w:val="none"/>
          <w:lang w:val="en-US" w:eastAsia="zh-CN"/>
        </w:rPr>
        <w:t xml:space="preserve">  </w:t>
      </w:r>
      <w:r>
        <w:rPr>
          <w:rFonts w:hint="eastAsia" w:ascii="仿宋" w:hAnsi="仿宋" w:eastAsia="仿宋" w:cs="仿宋"/>
          <w:highlight w:val="none"/>
        </w:rPr>
        <w:t>投标文件的格式、附件</w:t>
      </w:r>
      <w:bookmarkEnd w:id="258"/>
    </w:p>
    <w:p w14:paraId="4FB065A3">
      <w:pPr>
        <w:spacing w:line="360" w:lineRule="auto"/>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特别提醒：投标人在编辑投标文件时，在投标文件目录中属于本节点内容的必须在本节点中填写，填写到其他节点或附件的将可能导致投标无效，一切后果由供应商自行承担。</w:t>
      </w:r>
    </w:p>
    <w:p w14:paraId="0819DB14">
      <w:pPr>
        <w:jc w:val="center"/>
        <w:rPr>
          <w:rFonts w:hint="eastAsia" w:ascii="仿宋" w:hAnsi="仿宋" w:eastAsia="仿宋" w:cs="仿宋"/>
          <w:b/>
          <w:sz w:val="32"/>
          <w:szCs w:val="32"/>
          <w:highlight w:val="none"/>
        </w:rPr>
      </w:pPr>
      <w:r>
        <w:rPr>
          <w:rFonts w:hint="eastAsia" w:ascii="仿宋" w:hAnsi="仿宋" w:eastAsia="仿宋" w:cs="仿宋"/>
          <w:sz w:val="24"/>
          <w:highlight w:val="none"/>
        </w:rPr>
        <w:br w:type="page"/>
      </w:r>
      <w:r>
        <w:rPr>
          <w:rFonts w:hint="eastAsia" w:ascii="仿宋" w:hAnsi="仿宋" w:eastAsia="仿宋" w:cs="仿宋"/>
          <w:b/>
          <w:sz w:val="32"/>
          <w:szCs w:val="32"/>
          <w:highlight w:val="none"/>
        </w:rPr>
        <w:t>密封袋封条格式</w:t>
      </w:r>
    </w:p>
    <w:p w14:paraId="428A0E04">
      <w:pPr>
        <w:spacing w:line="360" w:lineRule="auto"/>
        <w:jc w:val="center"/>
        <w:rPr>
          <w:rFonts w:hint="eastAsia" w:ascii="仿宋" w:hAnsi="仿宋" w:eastAsia="仿宋" w:cs="仿宋"/>
          <w:b/>
          <w:bCs/>
          <w:sz w:val="28"/>
          <w:szCs w:val="28"/>
          <w:highlight w:val="none"/>
        </w:rPr>
      </w:pPr>
    </w:p>
    <w:p w14:paraId="18C07C73">
      <w:pPr>
        <w:spacing w:line="360" w:lineRule="auto"/>
        <w:jc w:val="center"/>
        <w:rPr>
          <w:rFonts w:hint="eastAsia" w:ascii="仿宋" w:hAnsi="仿宋" w:eastAsia="仿宋" w:cs="仿宋"/>
          <w:b/>
          <w:bCs/>
          <w:sz w:val="28"/>
          <w:szCs w:val="28"/>
          <w:highlight w:val="none"/>
        </w:rPr>
      </w:pPr>
    </w:p>
    <w:p w14:paraId="7872ED09">
      <w:pPr>
        <w:spacing w:line="360" w:lineRule="auto"/>
        <w:jc w:val="center"/>
        <w:rPr>
          <w:rFonts w:hint="eastAsia" w:ascii="仿宋" w:hAnsi="仿宋" w:eastAsia="仿宋" w:cs="仿宋"/>
          <w:b/>
          <w:bCs/>
          <w:sz w:val="28"/>
          <w:szCs w:val="28"/>
          <w:highlight w:val="none"/>
        </w:rPr>
      </w:pPr>
    </w:p>
    <w:p w14:paraId="1207F2A9">
      <w:pPr>
        <w:spacing w:line="360" w:lineRule="auto"/>
        <w:jc w:val="center"/>
        <w:rPr>
          <w:rFonts w:hint="eastAsia" w:ascii="仿宋" w:hAnsi="仿宋" w:eastAsia="仿宋" w:cs="仿宋"/>
          <w:b/>
          <w:bCs/>
          <w:sz w:val="28"/>
          <w:szCs w:val="28"/>
          <w:highlight w:val="none"/>
        </w:rPr>
      </w:pPr>
    </w:p>
    <w:p w14:paraId="7B95AB7A">
      <w:pPr>
        <w:spacing w:line="360" w:lineRule="auto"/>
        <w:jc w:val="center"/>
        <w:rPr>
          <w:rFonts w:hint="eastAsia" w:ascii="仿宋" w:hAnsi="仿宋" w:eastAsia="仿宋" w:cs="仿宋"/>
          <w:b/>
          <w:bCs/>
          <w:sz w:val="52"/>
          <w:szCs w:val="52"/>
          <w:highlight w:val="none"/>
        </w:rPr>
      </w:pPr>
      <w:r>
        <w:rPr>
          <w:rFonts w:hint="eastAsia" w:ascii="仿宋" w:hAnsi="仿宋" w:eastAsia="仿宋" w:cs="仿宋"/>
          <w:b/>
          <w:bCs/>
          <w:sz w:val="52"/>
          <w:szCs w:val="52"/>
          <w:highlight w:val="none"/>
        </w:rPr>
        <w:t>投标文件/开标一览表</w:t>
      </w:r>
    </w:p>
    <w:p w14:paraId="2E6A23BB">
      <w:pPr>
        <w:spacing w:line="360" w:lineRule="auto"/>
        <w:jc w:val="center"/>
        <w:rPr>
          <w:rFonts w:hint="eastAsia" w:ascii="仿宋" w:hAnsi="仿宋" w:eastAsia="仿宋" w:cs="仿宋"/>
          <w:b/>
          <w:bCs/>
          <w:sz w:val="28"/>
          <w:szCs w:val="28"/>
          <w:highlight w:val="none"/>
        </w:rPr>
      </w:pPr>
    </w:p>
    <w:p w14:paraId="015EAC90">
      <w:pPr>
        <w:spacing w:line="360" w:lineRule="auto"/>
        <w:jc w:val="center"/>
        <w:rPr>
          <w:rFonts w:hint="eastAsia" w:ascii="仿宋" w:hAnsi="仿宋" w:eastAsia="仿宋" w:cs="仿宋"/>
          <w:b/>
          <w:bCs/>
          <w:sz w:val="28"/>
          <w:szCs w:val="28"/>
          <w:highlight w:val="none"/>
        </w:rPr>
      </w:pPr>
    </w:p>
    <w:p w14:paraId="7DB05C30">
      <w:pPr>
        <w:spacing w:line="360" w:lineRule="auto"/>
        <w:jc w:val="center"/>
        <w:rPr>
          <w:rFonts w:hint="eastAsia" w:ascii="仿宋" w:hAnsi="仿宋" w:eastAsia="仿宋" w:cs="仿宋"/>
          <w:b/>
          <w:bCs/>
          <w:sz w:val="28"/>
          <w:szCs w:val="28"/>
          <w:highlight w:val="none"/>
        </w:rPr>
      </w:pPr>
    </w:p>
    <w:p w14:paraId="3692B877">
      <w:pPr>
        <w:spacing w:line="360" w:lineRule="auto"/>
        <w:jc w:val="center"/>
        <w:rPr>
          <w:rFonts w:hint="eastAsia" w:ascii="仿宋" w:hAnsi="仿宋" w:eastAsia="仿宋" w:cs="仿宋"/>
          <w:b/>
          <w:bCs/>
          <w:sz w:val="28"/>
          <w:szCs w:val="28"/>
          <w:highlight w:val="none"/>
        </w:rPr>
      </w:pPr>
    </w:p>
    <w:p w14:paraId="34D1C222">
      <w:pPr>
        <w:spacing w:line="360" w:lineRule="auto"/>
        <w:jc w:val="center"/>
        <w:rPr>
          <w:rFonts w:hint="eastAsia" w:ascii="仿宋" w:hAnsi="仿宋" w:eastAsia="仿宋" w:cs="仿宋"/>
          <w:b/>
          <w:bCs/>
          <w:sz w:val="28"/>
          <w:szCs w:val="28"/>
          <w:highlight w:val="none"/>
        </w:rPr>
      </w:pPr>
    </w:p>
    <w:p w14:paraId="232D2F9C">
      <w:pPr>
        <w:spacing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项目名称：深圳自然博物馆展品征集（古生物标本修复）服务</w:t>
      </w:r>
    </w:p>
    <w:p w14:paraId="3B024F65">
      <w:pPr>
        <w:spacing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项目编号：UHOSZC20250792</w:t>
      </w:r>
    </w:p>
    <w:p w14:paraId="6F1FE364">
      <w:pPr>
        <w:spacing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投标单位：</w:t>
      </w:r>
      <w:r>
        <w:rPr>
          <w:rFonts w:hint="eastAsia" w:ascii="仿宋" w:hAnsi="仿宋" w:eastAsia="仿宋" w:cs="仿宋"/>
          <w:b/>
          <w:bCs/>
          <w:color w:val="000000"/>
          <w:sz w:val="28"/>
          <w:szCs w:val="28"/>
          <w:highlight w:val="none"/>
          <w:u w:val="single"/>
        </w:rPr>
        <w:t xml:space="preserve">                                   （加盖公章）</w:t>
      </w:r>
    </w:p>
    <w:p w14:paraId="3808F853">
      <w:pPr>
        <w:spacing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单位地址：</w:t>
      </w:r>
    </w:p>
    <w:p w14:paraId="79B2F00D">
      <w:pPr>
        <w:spacing w:line="360" w:lineRule="auto"/>
        <w:jc w:val="left"/>
        <w:rPr>
          <w:rFonts w:hint="eastAsia" w:ascii="仿宋" w:hAnsi="仿宋" w:eastAsia="仿宋" w:cs="仿宋"/>
          <w:b/>
          <w:bCs/>
          <w:sz w:val="28"/>
          <w:szCs w:val="28"/>
          <w:highlight w:val="none"/>
          <w:u w:val="single"/>
        </w:rPr>
      </w:pPr>
      <w:r>
        <w:rPr>
          <w:rFonts w:hint="eastAsia" w:ascii="仿宋" w:hAnsi="仿宋" w:eastAsia="仿宋" w:cs="仿宋"/>
          <w:b/>
          <w:bCs/>
          <w:sz w:val="28"/>
          <w:szCs w:val="28"/>
          <w:highlight w:val="none"/>
        </w:rPr>
        <w:t>法定代表人/被授权人：</w:t>
      </w:r>
    </w:p>
    <w:p w14:paraId="5AA0131F">
      <w:pPr>
        <w:spacing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联系电话：</w:t>
      </w:r>
    </w:p>
    <w:p w14:paraId="0CF2ECCA">
      <w:pPr>
        <w:spacing w:line="36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    年  月  日  时  分之前不得启封】</w:t>
      </w:r>
    </w:p>
    <w:p w14:paraId="1C04F182">
      <w:pPr>
        <w:spacing w:line="360" w:lineRule="auto"/>
        <w:rPr>
          <w:rFonts w:hint="eastAsia" w:ascii="仿宋" w:hAnsi="仿宋" w:eastAsia="仿宋" w:cs="仿宋"/>
          <w:bCs/>
          <w:sz w:val="28"/>
          <w:szCs w:val="28"/>
          <w:highlight w:val="none"/>
        </w:rPr>
      </w:pPr>
    </w:p>
    <w:p w14:paraId="44600848">
      <w:pPr>
        <w:spacing w:line="360" w:lineRule="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备注：本封条应粘贴在投标文件/开标一览表的密封袋封面。</w:t>
      </w:r>
    </w:p>
    <w:p w14:paraId="77BA38F2">
      <w:pPr>
        <w:spacing w:line="360" w:lineRule="auto"/>
        <w:rPr>
          <w:rFonts w:hint="eastAsia" w:ascii="仿宋" w:hAnsi="仿宋" w:eastAsia="仿宋" w:cs="仿宋"/>
          <w:bCs/>
          <w:sz w:val="24"/>
          <w:highlight w:val="none"/>
        </w:rPr>
      </w:pPr>
    </w:p>
    <w:p w14:paraId="59A1EB55">
      <w:pPr>
        <w:jc w:val="center"/>
        <w:rPr>
          <w:rFonts w:hint="eastAsia" w:ascii="仿宋" w:hAnsi="仿宋" w:eastAsia="仿宋" w:cs="仿宋"/>
          <w:b/>
          <w:sz w:val="32"/>
          <w:szCs w:val="32"/>
          <w:highlight w:val="none"/>
        </w:rPr>
      </w:pPr>
    </w:p>
    <w:p w14:paraId="28E02A67">
      <w:pPr>
        <w:pStyle w:val="4"/>
        <w:spacing w:before="120" w:after="120"/>
        <w:jc w:val="center"/>
        <w:rPr>
          <w:rFonts w:hint="eastAsia" w:ascii="仿宋" w:hAnsi="仿宋" w:eastAsia="仿宋" w:cs="仿宋"/>
          <w:b/>
          <w:bCs/>
          <w:sz w:val="28"/>
          <w:szCs w:val="28"/>
          <w:highlight w:val="none"/>
        </w:rPr>
      </w:pPr>
      <w:bookmarkStart w:id="259" w:name="_Toc28619"/>
      <w:bookmarkStart w:id="260" w:name="_Toc28203"/>
      <w:r>
        <w:rPr>
          <w:rFonts w:hint="eastAsia" w:ascii="仿宋" w:hAnsi="仿宋" w:eastAsia="仿宋" w:cs="仿宋"/>
          <w:b/>
          <w:bCs/>
          <w:sz w:val="28"/>
          <w:szCs w:val="28"/>
          <w:highlight w:val="none"/>
        </w:rPr>
        <w:t>开标一览表</w:t>
      </w:r>
      <w:bookmarkEnd w:id="259"/>
      <w:bookmarkEnd w:id="260"/>
    </w:p>
    <w:tbl>
      <w:tblPr>
        <w:tblStyle w:val="43"/>
        <w:tblW w:w="4998"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2656"/>
        <w:gridCol w:w="2924"/>
        <w:gridCol w:w="1253"/>
      </w:tblGrid>
      <w:tr w14:paraId="054358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842" w:type="pct"/>
            <w:tcBorders>
              <w:top w:val="double" w:color="auto" w:sz="4" w:space="0"/>
              <w:bottom w:val="single" w:color="auto" w:sz="4" w:space="0"/>
            </w:tcBorders>
            <w:noWrap w:val="0"/>
            <w:vAlign w:val="center"/>
          </w:tcPr>
          <w:p w14:paraId="36CF8C42">
            <w:pPr>
              <w:keepNext w:val="0"/>
              <w:keepLines w:val="0"/>
              <w:suppressLineNumbers w:val="0"/>
              <w:spacing w:before="0" w:beforeAutospacing="0" w:after="0" w:afterAutospacing="0"/>
              <w:ind w:left="0" w:right="0"/>
              <w:jc w:val="center"/>
              <w:rPr>
                <w:rFonts w:hint="eastAsia" w:ascii="仿宋" w:hAnsi="仿宋" w:eastAsia="仿宋" w:cs="仿宋"/>
                <w:snapToGrid w:val="0"/>
                <w:kern w:val="0"/>
                <w:sz w:val="24"/>
                <w:szCs w:val="32"/>
                <w:highlight w:val="none"/>
              </w:rPr>
            </w:pPr>
            <w:r>
              <w:rPr>
                <w:rFonts w:hint="eastAsia" w:ascii="仿宋" w:hAnsi="仿宋" w:eastAsia="仿宋" w:cs="仿宋"/>
                <w:snapToGrid w:val="0"/>
                <w:kern w:val="0"/>
                <w:sz w:val="24"/>
                <w:szCs w:val="32"/>
                <w:highlight w:val="none"/>
              </w:rPr>
              <w:t>项目编号</w:t>
            </w:r>
          </w:p>
        </w:tc>
        <w:tc>
          <w:tcPr>
            <w:tcW w:w="1608" w:type="pct"/>
            <w:tcBorders>
              <w:top w:val="double" w:color="auto" w:sz="4" w:space="0"/>
              <w:bottom w:val="single" w:color="auto" w:sz="4" w:space="0"/>
            </w:tcBorders>
            <w:noWrap w:val="0"/>
            <w:vAlign w:val="center"/>
          </w:tcPr>
          <w:p w14:paraId="78C1B881">
            <w:pPr>
              <w:keepNext w:val="0"/>
              <w:keepLines w:val="0"/>
              <w:suppressLineNumbers w:val="0"/>
              <w:spacing w:before="0" w:beforeAutospacing="0" w:after="0" w:afterAutospacing="0"/>
              <w:ind w:left="0" w:right="0"/>
              <w:jc w:val="center"/>
              <w:rPr>
                <w:rFonts w:hint="eastAsia" w:ascii="仿宋" w:hAnsi="仿宋" w:eastAsia="仿宋" w:cs="仿宋"/>
                <w:snapToGrid w:val="0"/>
                <w:kern w:val="0"/>
                <w:sz w:val="24"/>
                <w:szCs w:val="32"/>
                <w:highlight w:val="none"/>
              </w:rPr>
            </w:pPr>
            <w:r>
              <w:rPr>
                <w:rFonts w:hint="eastAsia" w:ascii="仿宋" w:hAnsi="仿宋" w:eastAsia="仿宋" w:cs="仿宋"/>
                <w:snapToGrid w:val="0"/>
                <w:kern w:val="0"/>
                <w:sz w:val="24"/>
                <w:szCs w:val="32"/>
                <w:highlight w:val="none"/>
              </w:rPr>
              <w:t>项目名称</w:t>
            </w:r>
          </w:p>
        </w:tc>
        <w:tc>
          <w:tcPr>
            <w:tcW w:w="1765" w:type="pct"/>
            <w:tcBorders>
              <w:top w:val="double" w:color="auto" w:sz="4" w:space="0"/>
              <w:bottom w:val="single" w:color="auto" w:sz="4" w:space="0"/>
            </w:tcBorders>
            <w:noWrap w:val="0"/>
            <w:vAlign w:val="center"/>
          </w:tcPr>
          <w:p w14:paraId="1E566645">
            <w:pPr>
              <w:keepNext w:val="0"/>
              <w:keepLines w:val="0"/>
              <w:suppressLineNumbers w:val="0"/>
              <w:spacing w:before="0" w:beforeAutospacing="0" w:after="0" w:afterAutospacing="0"/>
              <w:ind w:left="0" w:right="0"/>
              <w:jc w:val="center"/>
              <w:rPr>
                <w:rFonts w:hint="eastAsia" w:ascii="仿宋" w:hAnsi="仿宋" w:eastAsia="仿宋" w:cs="仿宋"/>
                <w:snapToGrid w:val="0"/>
                <w:kern w:val="0"/>
                <w:sz w:val="24"/>
                <w:szCs w:val="32"/>
                <w:highlight w:val="none"/>
                <w:lang w:eastAsia="zh-CN"/>
              </w:rPr>
            </w:pPr>
            <w:r>
              <w:rPr>
                <w:rFonts w:hint="eastAsia" w:ascii="仿宋" w:hAnsi="仿宋" w:eastAsia="仿宋" w:cs="仿宋"/>
                <w:snapToGrid w:val="0"/>
                <w:kern w:val="0"/>
                <w:sz w:val="24"/>
                <w:szCs w:val="32"/>
                <w:highlight w:val="none"/>
              </w:rPr>
              <w:t>投标</w:t>
            </w:r>
            <w:r>
              <w:rPr>
                <w:rFonts w:hint="eastAsia" w:ascii="仿宋" w:hAnsi="仿宋" w:eastAsia="仿宋" w:cs="仿宋"/>
                <w:snapToGrid w:val="0"/>
                <w:kern w:val="0"/>
                <w:sz w:val="24"/>
                <w:szCs w:val="32"/>
                <w:highlight w:val="none"/>
                <w:lang w:val="en-US" w:eastAsia="zh-CN"/>
              </w:rPr>
              <w:t>折扣率</w:t>
            </w:r>
          </w:p>
        </w:tc>
        <w:tc>
          <w:tcPr>
            <w:tcW w:w="784" w:type="pct"/>
            <w:tcBorders>
              <w:top w:val="double" w:color="auto" w:sz="4" w:space="0"/>
              <w:bottom w:val="single" w:color="auto" w:sz="4" w:space="0"/>
            </w:tcBorders>
            <w:noWrap w:val="0"/>
            <w:vAlign w:val="center"/>
          </w:tcPr>
          <w:p w14:paraId="26364425">
            <w:pPr>
              <w:keepNext w:val="0"/>
              <w:keepLines w:val="0"/>
              <w:suppressLineNumbers w:val="0"/>
              <w:spacing w:before="0" w:beforeAutospacing="0" w:after="0" w:afterAutospacing="0"/>
              <w:ind w:left="0" w:right="0"/>
              <w:jc w:val="center"/>
              <w:rPr>
                <w:rFonts w:hint="eastAsia" w:ascii="仿宋" w:hAnsi="仿宋" w:eastAsia="仿宋" w:cs="仿宋"/>
                <w:snapToGrid w:val="0"/>
                <w:kern w:val="0"/>
                <w:sz w:val="24"/>
                <w:szCs w:val="32"/>
                <w:highlight w:val="none"/>
              </w:rPr>
            </w:pPr>
            <w:r>
              <w:rPr>
                <w:rFonts w:hint="eastAsia" w:ascii="仿宋" w:hAnsi="仿宋" w:eastAsia="仿宋" w:cs="仿宋"/>
                <w:snapToGrid w:val="0"/>
                <w:kern w:val="0"/>
                <w:sz w:val="24"/>
                <w:szCs w:val="32"/>
                <w:highlight w:val="none"/>
              </w:rPr>
              <w:t>备注</w:t>
            </w:r>
          </w:p>
        </w:tc>
      </w:tr>
      <w:tr w14:paraId="370955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trPr>
        <w:tc>
          <w:tcPr>
            <w:tcW w:w="842" w:type="pct"/>
            <w:tcBorders>
              <w:top w:val="single" w:color="auto" w:sz="4" w:space="0"/>
            </w:tcBorders>
            <w:noWrap w:val="0"/>
            <w:vAlign w:val="center"/>
          </w:tcPr>
          <w:p w14:paraId="1D818854">
            <w:pPr>
              <w:keepNext w:val="0"/>
              <w:keepLines w:val="0"/>
              <w:suppressLineNumbers w:val="0"/>
              <w:spacing w:before="0" w:beforeAutospacing="0" w:after="0" w:afterAutospacing="0"/>
              <w:ind w:left="0" w:right="0"/>
              <w:jc w:val="center"/>
              <w:rPr>
                <w:rFonts w:hint="eastAsia" w:ascii="仿宋" w:hAnsi="仿宋" w:eastAsia="仿宋" w:cs="仿宋"/>
                <w:snapToGrid w:val="0"/>
                <w:kern w:val="0"/>
                <w:highlight w:val="none"/>
                <w:u w:val="single"/>
              </w:rPr>
            </w:pPr>
            <w:r>
              <w:rPr>
                <w:rFonts w:hint="eastAsia" w:ascii="仿宋" w:hAnsi="仿宋" w:eastAsia="仿宋" w:cs="仿宋"/>
                <w:snapToGrid w:val="0"/>
                <w:kern w:val="0"/>
                <w:highlight w:val="none"/>
                <w:u w:val="single"/>
              </w:rPr>
              <w:t>UHOSZC20250792</w:t>
            </w:r>
          </w:p>
        </w:tc>
        <w:tc>
          <w:tcPr>
            <w:tcW w:w="1608" w:type="pct"/>
            <w:tcBorders>
              <w:top w:val="single" w:color="auto" w:sz="4" w:space="0"/>
            </w:tcBorders>
            <w:noWrap w:val="0"/>
            <w:vAlign w:val="center"/>
          </w:tcPr>
          <w:p w14:paraId="1F70D6C6">
            <w:pPr>
              <w:keepNext w:val="0"/>
              <w:keepLines w:val="0"/>
              <w:suppressLineNumbers w:val="0"/>
              <w:spacing w:before="0" w:beforeAutospacing="0" w:after="0" w:afterAutospacing="0"/>
              <w:ind w:left="0" w:right="0"/>
              <w:rPr>
                <w:rFonts w:hint="eastAsia" w:ascii="仿宋" w:hAnsi="仿宋" w:eastAsia="仿宋" w:cs="仿宋"/>
                <w:snapToGrid w:val="0"/>
                <w:kern w:val="0"/>
                <w:highlight w:val="none"/>
                <w:u w:val="single"/>
                <w:lang w:eastAsia="zh-CN"/>
              </w:rPr>
            </w:pPr>
            <w:r>
              <w:rPr>
                <w:rFonts w:hint="eastAsia" w:ascii="仿宋" w:hAnsi="仿宋" w:eastAsia="仿宋" w:cs="仿宋"/>
                <w:snapToGrid w:val="0"/>
                <w:kern w:val="0"/>
                <w:highlight w:val="none"/>
                <w:u w:val="none"/>
                <w:lang w:eastAsia="zh-CN"/>
              </w:rPr>
              <w:t>深圳自然博物馆展品征集（古生物标本修复）服务</w:t>
            </w:r>
          </w:p>
        </w:tc>
        <w:tc>
          <w:tcPr>
            <w:tcW w:w="1765" w:type="pct"/>
            <w:tcBorders>
              <w:top w:val="single" w:color="auto" w:sz="4" w:space="0"/>
            </w:tcBorders>
            <w:noWrap w:val="0"/>
            <w:vAlign w:val="center"/>
          </w:tcPr>
          <w:p w14:paraId="15ECC5C4">
            <w:pPr>
              <w:keepNext w:val="0"/>
              <w:keepLines w:val="0"/>
              <w:suppressLineNumbers w:val="0"/>
              <w:spacing w:before="0" w:beforeAutospacing="0" w:after="0" w:afterAutospacing="0"/>
              <w:ind w:left="0" w:right="0"/>
              <w:rPr>
                <w:rFonts w:hint="eastAsia" w:ascii="仿宋" w:hAnsi="仿宋" w:eastAsia="仿宋" w:cs="仿宋"/>
                <w:snapToGrid w:val="0"/>
                <w:kern w:val="0"/>
                <w:highlight w:val="none"/>
              </w:rPr>
            </w:pPr>
          </w:p>
        </w:tc>
        <w:tc>
          <w:tcPr>
            <w:tcW w:w="784" w:type="pct"/>
            <w:tcBorders>
              <w:top w:val="single" w:color="auto" w:sz="4" w:space="0"/>
            </w:tcBorders>
            <w:noWrap w:val="0"/>
            <w:vAlign w:val="center"/>
          </w:tcPr>
          <w:p w14:paraId="65B4BC28">
            <w:pPr>
              <w:keepNext w:val="0"/>
              <w:keepLines w:val="0"/>
              <w:suppressLineNumbers w:val="0"/>
              <w:spacing w:before="0" w:beforeAutospacing="0" w:after="0" w:afterAutospacing="0"/>
              <w:ind w:left="0" w:right="0"/>
              <w:jc w:val="center"/>
              <w:rPr>
                <w:rFonts w:hint="eastAsia" w:ascii="仿宋" w:hAnsi="仿宋" w:eastAsia="仿宋" w:cs="仿宋"/>
                <w:snapToGrid w:val="0"/>
                <w:kern w:val="0"/>
                <w:highlight w:val="none"/>
              </w:rPr>
            </w:pPr>
          </w:p>
        </w:tc>
      </w:tr>
    </w:tbl>
    <w:p w14:paraId="4CB59C95">
      <w:pPr>
        <w:ind w:firstLine="420"/>
        <w:rPr>
          <w:rFonts w:hint="eastAsia" w:ascii="仿宋" w:hAnsi="仿宋" w:eastAsia="仿宋" w:cs="仿宋"/>
          <w:snapToGrid w:val="0"/>
          <w:color w:val="000000"/>
          <w:kern w:val="0"/>
          <w:highlight w:val="none"/>
        </w:rPr>
      </w:pPr>
      <w:r>
        <w:rPr>
          <w:rFonts w:hint="eastAsia" w:ascii="仿宋" w:hAnsi="仿宋" w:eastAsia="仿宋" w:cs="仿宋"/>
          <w:snapToGrid w:val="0"/>
          <w:color w:val="000000"/>
          <w:kern w:val="0"/>
          <w:highlight w:val="none"/>
        </w:rPr>
        <w:t>注：</w:t>
      </w:r>
    </w:p>
    <w:p w14:paraId="730D9ADA">
      <w:pPr>
        <w:ind w:firstLine="420" w:firstLineChars="200"/>
        <w:rPr>
          <w:rFonts w:hint="eastAsia" w:ascii="仿宋" w:hAnsi="仿宋" w:eastAsia="仿宋" w:cs="仿宋"/>
          <w:color w:val="000000"/>
          <w:highlight w:val="none"/>
        </w:rPr>
      </w:pPr>
      <w:r>
        <w:rPr>
          <w:rFonts w:hint="eastAsia" w:ascii="仿宋" w:hAnsi="仿宋" w:eastAsia="仿宋" w:cs="仿宋"/>
          <w:snapToGrid w:val="0"/>
          <w:color w:val="000000"/>
          <w:kern w:val="0"/>
          <w:highlight w:val="none"/>
          <w:lang w:val="en-US" w:eastAsia="zh-CN"/>
        </w:rPr>
        <w:t>1</w:t>
      </w:r>
      <w:r>
        <w:rPr>
          <w:rFonts w:hint="eastAsia" w:ascii="仿宋" w:hAnsi="仿宋" w:eastAsia="仿宋" w:cs="仿宋"/>
          <w:snapToGrid w:val="0"/>
          <w:color w:val="000000"/>
          <w:kern w:val="0"/>
          <w:highlight w:val="none"/>
        </w:rPr>
        <w:t>.投标人如果需要对报价或其他内容加以说明，可在备注栏填写。</w:t>
      </w:r>
    </w:p>
    <w:p w14:paraId="7D811569">
      <w:pPr>
        <w:ind w:firstLine="422" w:firstLineChars="200"/>
        <w:rPr>
          <w:rFonts w:hint="eastAsia" w:ascii="仿宋" w:hAnsi="仿宋" w:eastAsia="仿宋" w:cs="仿宋"/>
          <w:b/>
          <w:snapToGrid w:val="0"/>
          <w:color w:val="000000"/>
          <w:kern w:val="0"/>
          <w:highlight w:val="none"/>
        </w:rPr>
      </w:pPr>
      <w:r>
        <w:rPr>
          <w:rFonts w:hint="eastAsia" w:ascii="仿宋" w:hAnsi="仿宋" w:eastAsia="仿宋" w:cs="仿宋"/>
          <w:b/>
          <w:snapToGrid w:val="0"/>
          <w:color w:val="000000"/>
          <w:kern w:val="0"/>
          <w:highlight w:val="none"/>
          <w:lang w:val="en-US" w:eastAsia="zh-CN"/>
        </w:rPr>
        <w:t>2</w:t>
      </w:r>
      <w:r>
        <w:rPr>
          <w:rFonts w:hint="eastAsia" w:ascii="仿宋" w:hAnsi="仿宋" w:eastAsia="仿宋" w:cs="仿宋"/>
          <w:b/>
          <w:snapToGrid w:val="0"/>
          <w:color w:val="000000"/>
          <w:kern w:val="0"/>
          <w:highlight w:val="none"/>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6E5508FC">
      <w:pPr>
        <w:ind w:firstLine="422" w:firstLineChars="200"/>
        <w:rPr>
          <w:rFonts w:hint="eastAsia" w:ascii="仿宋" w:hAnsi="仿宋" w:eastAsia="仿宋" w:cs="仿宋"/>
          <w:b/>
          <w:snapToGrid w:val="0"/>
          <w:color w:val="000000"/>
          <w:kern w:val="0"/>
          <w:highlight w:val="none"/>
        </w:rPr>
      </w:pPr>
      <w:r>
        <w:rPr>
          <w:rFonts w:hint="eastAsia" w:ascii="仿宋" w:hAnsi="仿宋" w:eastAsia="仿宋" w:cs="仿宋"/>
          <w:b/>
          <w:snapToGrid w:val="0"/>
          <w:color w:val="000000"/>
          <w:kern w:val="0"/>
          <w:highlight w:val="none"/>
          <w:lang w:val="en-US" w:eastAsia="zh-CN"/>
        </w:rPr>
        <w:t>3</w:t>
      </w:r>
      <w:r>
        <w:rPr>
          <w:rFonts w:hint="eastAsia" w:ascii="仿宋" w:hAnsi="仿宋" w:eastAsia="仿宋" w:cs="仿宋"/>
          <w:b/>
          <w:snapToGrid w:val="0"/>
          <w:color w:val="000000"/>
          <w:kern w:val="0"/>
          <w:highlight w:val="none"/>
        </w:rPr>
        <w:t>.《开标一览表》未按招标文件规定签字、盖章、密封的，将导致废标。</w:t>
      </w:r>
    </w:p>
    <w:p w14:paraId="58142137">
      <w:pPr>
        <w:snapToGrid w:val="0"/>
        <w:ind w:firstLine="420" w:firstLineChars="200"/>
        <w:rPr>
          <w:rFonts w:hint="eastAsia" w:ascii="仿宋" w:hAnsi="仿宋" w:eastAsia="仿宋" w:cs="仿宋"/>
          <w:color w:val="FF0000"/>
          <w:szCs w:val="21"/>
          <w:highlight w:val="none"/>
        </w:rPr>
      </w:pPr>
      <w:r>
        <w:rPr>
          <w:rFonts w:hint="eastAsia" w:ascii="仿宋" w:hAnsi="仿宋" w:eastAsia="仿宋" w:cs="仿宋"/>
          <w:color w:val="FF0000"/>
          <w:highlight w:val="none"/>
          <w:lang w:val="en-US" w:eastAsia="zh-CN"/>
        </w:rPr>
        <w:t>4</w:t>
      </w:r>
      <w:r>
        <w:rPr>
          <w:rFonts w:hint="eastAsia" w:ascii="仿宋" w:hAnsi="仿宋" w:eastAsia="仿宋" w:cs="仿宋"/>
          <w:color w:val="FF0000"/>
          <w:highlight w:val="none"/>
        </w:rPr>
        <w:t>.</w:t>
      </w:r>
      <w:r>
        <w:rPr>
          <w:rFonts w:hint="eastAsia" w:ascii="仿宋" w:hAnsi="仿宋" w:eastAsia="仿宋" w:cs="仿宋"/>
          <w:color w:val="FF0000"/>
          <w:szCs w:val="21"/>
          <w:highlight w:val="none"/>
        </w:rPr>
        <w:t>本项目由投标供应商根据各类别、面积标本修复基准价报整体折扣率，单件标本修复结算价=对应类别、面积标本修复基准价*折扣率。</w:t>
      </w:r>
    </w:p>
    <w:p w14:paraId="1E2CD91E">
      <w:pPr>
        <w:snapToGrid w:val="0"/>
        <w:ind w:firstLine="420" w:firstLineChars="200"/>
        <w:rPr>
          <w:rFonts w:hint="eastAsia" w:ascii="仿宋" w:hAnsi="仿宋" w:eastAsia="仿宋" w:cs="仿宋"/>
          <w:color w:val="FF0000"/>
          <w:szCs w:val="21"/>
          <w:highlight w:val="none"/>
        </w:rPr>
      </w:pPr>
      <w:r>
        <w:rPr>
          <w:rFonts w:hint="eastAsia" w:ascii="仿宋" w:hAnsi="仿宋" w:eastAsia="仿宋" w:cs="仿宋"/>
          <w:color w:val="FF0000"/>
          <w:szCs w:val="21"/>
          <w:highlight w:val="none"/>
        </w:rPr>
        <w:t xml:space="preserve">（1）填写要求：0＜折扣率≤1，未按此要求填写将视为无效投标； </w:t>
      </w:r>
    </w:p>
    <w:p w14:paraId="3A9FA732">
      <w:pPr>
        <w:snapToGrid w:val="0"/>
        <w:ind w:firstLine="420" w:firstLineChars="200"/>
        <w:rPr>
          <w:rFonts w:hint="eastAsia" w:ascii="仿宋" w:hAnsi="仿宋" w:eastAsia="仿宋" w:cs="仿宋"/>
          <w:color w:val="FF0000"/>
          <w:szCs w:val="21"/>
          <w:highlight w:val="none"/>
        </w:rPr>
      </w:pPr>
      <w:r>
        <w:rPr>
          <w:rFonts w:hint="eastAsia" w:ascii="仿宋" w:hAnsi="仿宋" w:eastAsia="仿宋" w:cs="仿宋"/>
          <w:color w:val="FF0000"/>
          <w:szCs w:val="21"/>
          <w:highlight w:val="none"/>
        </w:rPr>
        <w:t>（2）填写的“折扣率”应为两位小数；如0.99、0.85、0.80等；</w:t>
      </w:r>
    </w:p>
    <w:p w14:paraId="2FE2CEEC">
      <w:pPr>
        <w:snapToGrid w:val="0"/>
        <w:ind w:firstLine="420" w:firstLineChars="200"/>
        <w:rPr>
          <w:rFonts w:hint="eastAsia" w:ascii="仿宋" w:hAnsi="仿宋" w:eastAsia="仿宋" w:cs="仿宋"/>
          <w:color w:val="FF0000"/>
          <w:szCs w:val="21"/>
          <w:highlight w:val="none"/>
        </w:rPr>
      </w:pPr>
      <w:r>
        <w:rPr>
          <w:rFonts w:hint="eastAsia" w:ascii="仿宋" w:hAnsi="仿宋" w:eastAsia="仿宋" w:cs="仿宋"/>
          <w:color w:val="FF0000"/>
          <w:szCs w:val="21"/>
          <w:highlight w:val="none"/>
        </w:rPr>
        <w:t>（3）投标人参与投标只允许填报唯一1个“折扣率”，不允许填报2个（或以上）的“折扣率”；填报了2个或以上“折扣率”的，其投标将直接作投标无效处理；</w:t>
      </w:r>
    </w:p>
    <w:p w14:paraId="6AE86856">
      <w:pPr>
        <w:snapToGrid w:val="0"/>
        <w:ind w:firstLine="420" w:firstLineChars="200"/>
        <w:rPr>
          <w:rFonts w:hint="eastAsia" w:ascii="仿宋" w:hAnsi="仿宋" w:eastAsia="仿宋" w:cs="仿宋"/>
          <w:color w:val="FF0000"/>
          <w:szCs w:val="21"/>
          <w:highlight w:val="none"/>
        </w:rPr>
      </w:pPr>
      <w:r>
        <w:rPr>
          <w:rFonts w:hint="eastAsia" w:ascii="仿宋" w:hAnsi="仿宋" w:eastAsia="仿宋" w:cs="仿宋"/>
          <w:color w:val="FF0000"/>
          <w:szCs w:val="21"/>
          <w:highlight w:val="none"/>
        </w:rPr>
        <w:t>（4）“折扣率”缺填、漏填的将直接作投标无效处理。</w:t>
      </w:r>
    </w:p>
    <w:p w14:paraId="4424F9D8">
      <w:pPr>
        <w:ind w:firstLine="420"/>
        <w:jc w:val="left"/>
        <w:rPr>
          <w:rFonts w:hint="eastAsia" w:ascii="仿宋" w:hAnsi="仿宋" w:eastAsia="仿宋" w:cs="仿宋"/>
          <w:color w:val="000000"/>
          <w:highlight w:val="none"/>
        </w:rPr>
      </w:pPr>
    </w:p>
    <w:p w14:paraId="64E1A387">
      <w:pPr>
        <w:ind w:firstLine="420"/>
        <w:jc w:val="left"/>
        <w:rPr>
          <w:rFonts w:hint="eastAsia" w:ascii="仿宋" w:hAnsi="仿宋" w:eastAsia="仿宋" w:cs="仿宋"/>
          <w:color w:val="000000"/>
          <w:highlight w:val="none"/>
        </w:rPr>
      </w:pPr>
    </w:p>
    <w:p w14:paraId="70921DEE">
      <w:pPr>
        <w:ind w:firstLine="3150" w:firstLineChars="1500"/>
        <w:jc w:val="left"/>
        <w:rPr>
          <w:rFonts w:hint="eastAsia" w:ascii="仿宋" w:hAnsi="仿宋" w:eastAsia="仿宋" w:cs="仿宋"/>
          <w:color w:val="000000"/>
          <w:highlight w:val="none"/>
        </w:rPr>
      </w:pPr>
      <w:r>
        <w:rPr>
          <w:rFonts w:hint="eastAsia" w:ascii="仿宋" w:hAnsi="仿宋" w:eastAsia="仿宋" w:cs="仿宋"/>
          <w:color w:val="000000"/>
          <w:highlight w:val="none"/>
        </w:rPr>
        <w:t>法定代表人或其授权委托人（</w:t>
      </w:r>
      <w:r>
        <w:rPr>
          <w:rFonts w:hint="eastAsia" w:ascii="仿宋" w:hAnsi="仿宋" w:eastAsia="仿宋" w:cs="仿宋"/>
          <w:b/>
          <w:color w:val="000000"/>
          <w:highlight w:val="none"/>
        </w:rPr>
        <w:t>签名或盖私章</w:t>
      </w:r>
      <w:r>
        <w:rPr>
          <w:rFonts w:hint="eastAsia" w:ascii="仿宋" w:hAnsi="仿宋" w:eastAsia="仿宋" w:cs="仿宋"/>
          <w:color w:val="000000"/>
          <w:highlight w:val="none"/>
        </w:rPr>
        <w:t>）：</w:t>
      </w:r>
    </w:p>
    <w:p w14:paraId="289EEF02">
      <w:pPr>
        <w:jc w:val="left"/>
        <w:rPr>
          <w:rFonts w:hint="eastAsia" w:ascii="仿宋" w:hAnsi="仿宋" w:eastAsia="仿宋" w:cs="仿宋"/>
          <w:color w:val="000000"/>
          <w:highlight w:val="none"/>
        </w:rPr>
      </w:pPr>
    </w:p>
    <w:p w14:paraId="60C58C5E">
      <w:pPr>
        <w:ind w:firstLine="3150" w:firstLineChars="1500"/>
        <w:jc w:val="left"/>
        <w:rPr>
          <w:rFonts w:hint="eastAsia" w:ascii="仿宋" w:hAnsi="仿宋" w:eastAsia="仿宋" w:cs="仿宋"/>
          <w:color w:val="000000"/>
          <w:highlight w:val="none"/>
        </w:rPr>
      </w:pPr>
      <w:r>
        <w:rPr>
          <w:rFonts w:hint="eastAsia" w:ascii="仿宋" w:hAnsi="仿宋" w:eastAsia="仿宋" w:cs="仿宋"/>
          <w:color w:val="000000"/>
          <w:highlight w:val="none"/>
        </w:rPr>
        <w:t>投标单位（</w:t>
      </w:r>
      <w:r>
        <w:rPr>
          <w:rFonts w:hint="eastAsia" w:ascii="仿宋" w:hAnsi="仿宋" w:eastAsia="仿宋" w:cs="仿宋"/>
          <w:b/>
          <w:color w:val="000000"/>
          <w:highlight w:val="none"/>
        </w:rPr>
        <w:t>盖公章</w:t>
      </w:r>
      <w:r>
        <w:rPr>
          <w:rFonts w:hint="eastAsia" w:ascii="仿宋" w:hAnsi="仿宋" w:eastAsia="仿宋" w:cs="仿宋"/>
          <w:color w:val="000000"/>
          <w:highlight w:val="none"/>
        </w:rPr>
        <w:t>）：</w:t>
      </w:r>
    </w:p>
    <w:p w14:paraId="57DCF199">
      <w:pPr>
        <w:jc w:val="left"/>
        <w:rPr>
          <w:rFonts w:hint="eastAsia" w:ascii="仿宋" w:hAnsi="仿宋" w:eastAsia="仿宋" w:cs="仿宋"/>
          <w:color w:val="000000"/>
          <w:highlight w:val="none"/>
        </w:rPr>
      </w:pPr>
    </w:p>
    <w:p w14:paraId="1B076DA4">
      <w:pPr>
        <w:jc w:val="right"/>
        <w:rPr>
          <w:rFonts w:hint="eastAsia" w:ascii="仿宋" w:hAnsi="仿宋" w:eastAsia="仿宋" w:cs="仿宋"/>
          <w:color w:val="000000"/>
          <w:highlight w:val="none"/>
        </w:rPr>
      </w:pPr>
      <w:r>
        <w:rPr>
          <w:rFonts w:hint="eastAsia" w:ascii="仿宋" w:hAnsi="仿宋" w:eastAsia="仿宋" w:cs="仿宋"/>
          <w:color w:val="000000"/>
          <w:highlight w:val="none"/>
        </w:rPr>
        <w:t>日期：    年  月  日</w:t>
      </w:r>
    </w:p>
    <w:p w14:paraId="1E12CA9C">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Cs/>
          <w:sz w:val="36"/>
          <w:szCs w:val="36"/>
          <w:highlight w:val="none"/>
        </w:rPr>
      </w:pPr>
      <w:r>
        <w:rPr>
          <w:rFonts w:hint="eastAsia" w:ascii="仿宋" w:hAnsi="仿宋" w:eastAsia="仿宋" w:cs="仿宋"/>
          <w:bCs/>
          <w:sz w:val="24"/>
          <w:highlight w:val="none"/>
        </w:rPr>
        <w:br w:type="page"/>
      </w:r>
      <w:r>
        <w:rPr>
          <w:rFonts w:hint="eastAsia" w:ascii="仿宋" w:hAnsi="仿宋" w:eastAsia="仿宋" w:cs="仿宋"/>
          <w:sz w:val="36"/>
          <w:szCs w:val="36"/>
          <w:highlight w:val="none"/>
        </w:rPr>
        <w:t>目</w:t>
      </w:r>
      <w:r>
        <w:rPr>
          <w:rFonts w:hint="eastAsia" w:ascii="仿宋" w:hAnsi="仿宋" w:eastAsia="仿宋" w:cs="仿宋"/>
          <w:sz w:val="36"/>
          <w:szCs w:val="36"/>
          <w:highlight w:val="none"/>
          <w:lang w:val="en-US" w:eastAsia="zh-CN"/>
        </w:rPr>
        <w:t xml:space="preserve">  </w:t>
      </w:r>
      <w:r>
        <w:rPr>
          <w:rFonts w:hint="eastAsia" w:ascii="仿宋" w:hAnsi="仿宋" w:eastAsia="仿宋" w:cs="仿宋"/>
          <w:sz w:val="36"/>
          <w:szCs w:val="36"/>
          <w:highlight w:val="none"/>
        </w:rPr>
        <w:t>录</w:t>
      </w:r>
    </w:p>
    <w:p w14:paraId="0601EFF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Cs/>
          <w:snapToGrid w:val="0"/>
          <w:kern w:val="0"/>
          <w:sz w:val="28"/>
          <w:highlight w:val="none"/>
        </w:rPr>
      </w:pPr>
    </w:p>
    <w:p w14:paraId="1142D99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Cs/>
          <w:snapToGrid w:val="0"/>
          <w:color w:val="000000"/>
          <w:kern w:val="0"/>
          <w:sz w:val="28"/>
          <w:highlight w:val="none"/>
        </w:rPr>
      </w:pPr>
      <w:r>
        <w:rPr>
          <w:rFonts w:hint="eastAsia" w:ascii="仿宋" w:hAnsi="仿宋" w:eastAsia="仿宋" w:cs="仿宋"/>
          <w:bCs/>
          <w:snapToGrid w:val="0"/>
          <w:color w:val="000000"/>
          <w:kern w:val="0"/>
          <w:sz w:val="28"/>
          <w:highlight w:val="none"/>
        </w:rPr>
        <w:t>一、评标指引表</w:t>
      </w:r>
    </w:p>
    <w:p w14:paraId="2E0E0B6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Cs/>
          <w:snapToGrid w:val="0"/>
          <w:color w:val="000000"/>
          <w:kern w:val="0"/>
          <w:sz w:val="28"/>
          <w:highlight w:val="none"/>
          <w:lang w:eastAsia="zh-CN"/>
        </w:rPr>
      </w:pPr>
      <w:r>
        <w:rPr>
          <w:rFonts w:hint="eastAsia" w:ascii="仿宋" w:hAnsi="仿宋" w:eastAsia="仿宋" w:cs="仿宋"/>
          <w:bCs/>
          <w:snapToGrid w:val="0"/>
          <w:color w:val="000000"/>
          <w:kern w:val="0"/>
          <w:sz w:val="28"/>
          <w:highlight w:val="none"/>
        </w:rPr>
        <w:t>二、</w:t>
      </w:r>
      <w:r>
        <w:rPr>
          <w:rFonts w:hint="eastAsia" w:ascii="仿宋" w:hAnsi="仿宋" w:eastAsia="仿宋" w:cs="仿宋"/>
          <w:bCs/>
          <w:snapToGrid w:val="0"/>
          <w:color w:val="000000"/>
          <w:kern w:val="0"/>
          <w:sz w:val="28"/>
          <w:highlight w:val="none"/>
          <w:lang w:eastAsia="zh-CN"/>
        </w:rPr>
        <w:t>开标一览表</w:t>
      </w:r>
    </w:p>
    <w:p w14:paraId="3645903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Cs/>
          <w:snapToGrid w:val="0"/>
          <w:color w:val="000000"/>
          <w:kern w:val="0"/>
          <w:sz w:val="28"/>
          <w:highlight w:val="none"/>
        </w:rPr>
      </w:pPr>
      <w:r>
        <w:rPr>
          <w:rFonts w:hint="eastAsia" w:ascii="仿宋" w:hAnsi="仿宋" w:eastAsia="仿宋" w:cs="仿宋"/>
          <w:bCs/>
          <w:snapToGrid w:val="0"/>
          <w:color w:val="000000"/>
          <w:kern w:val="0"/>
          <w:sz w:val="28"/>
          <w:highlight w:val="none"/>
        </w:rPr>
        <w:t>三、投标函及承诺函</w:t>
      </w:r>
    </w:p>
    <w:p w14:paraId="2B7D261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Cs/>
          <w:snapToGrid w:val="0"/>
          <w:color w:val="000000"/>
          <w:kern w:val="0"/>
          <w:sz w:val="28"/>
          <w:highlight w:val="none"/>
        </w:rPr>
      </w:pPr>
      <w:r>
        <w:rPr>
          <w:rFonts w:hint="eastAsia" w:ascii="仿宋" w:hAnsi="仿宋" w:eastAsia="仿宋" w:cs="仿宋"/>
          <w:bCs/>
          <w:snapToGrid w:val="0"/>
          <w:color w:val="000000"/>
          <w:kern w:val="0"/>
          <w:sz w:val="28"/>
          <w:highlight w:val="none"/>
        </w:rPr>
        <w:t>四、法定代表人（负责人或执行事务合伙人）资格证明书</w:t>
      </w:r>
    </w:p>
    <w:p w14:paraId="4F2378B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Cs/>
          <w:snapToGrid w:val="0"/>
          <w:color w:val="000000"/>
          <w:kern w:val="0"/>
          <w:sz w:val="28"/>
          <w:highlight w:val="none"/>
        </w:rPr>
      </w:pPr>
      <w:r>
        <w:rPr>
          <w:rFonts w:hint="eastAsia" w:ascii="仿宋" w:hAnsi="仿宋" w:eastAsia="仿宋" w:cs="仿宋"/>
          <w:bCs/>
          <w:snapToGrid w:val="0"/>
          <w:color w:val="000000"/>
          <w:kern w:val="0"/>
          <w:sz w:val="28"/>
          <w:highlight w:val="none"/>
        </w:rPr>
        <w:t>五、法定代表人（负责人或执行事务合伙人）授权书</w:t>
      </w:r>
    </w:p>
    <w:p w14:paraId="0C7C271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Cs/>
          <w:snapToGrid w:val="0"/>
          <w:color w:val="000000"/>
          <w:kern w:val="0"/>
          <w:sz w:val="28"/>
          <w:highlight w:val="none"/>
        </w:rPr>
      </w:pPr>
      <w:r>
        <w:rPr>
          <w:rFonts w:hint="eastAsia" w:ascii="仿宋" w:hAnsi="仿宋" w:eastAsia="仿宋" w:cs="仿宋"/>
          <w:bCs/>
          <w:snapToGrid w:val="0"/>
          <w:color w:val="000000"/>
          <w:kern w:val="0"/>
          <w:sz w:val="28"/>
          <w:highlight w:val="none"/>
          <w:lang w:val="en-US" w:eastAsia="zh-CN"/>
        </w:rPr>
        <w:t>六</w:t>
      </w:r>
      <w:r>
        <w:rPr>
          <w:rFonts w:hint="eastAsia" w:ascii="仿宋" w:hAnsi="仿宋" w:eastAsia="仿宋" w:cs="仿宋"/>
          <w:bCs/>
          <w:snapToGrid w:val="0"/>
          <w:color w:val="000000"/>
          <w:kern w:val="0"/>
          <w:sz w:val="28"/>
          <w:highlight w:val="none"/>
        </w:rPr>
        <w:t>、供应商情况介绍</w:t>
      </w:r>
    </w:p>
    <w:p w14:paraId="70EE5C8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Cs/>
          <w:snapToGrid w:val="0"/>
          <w:color w:val="000000"/>
          <w:kern w:val="0"/>
          <w:sz w:val="28"/>
          <w:highlight w:val="none"/>
        </w:rPr>
      </w:pPr>
      <w:r>
        <w:rPr>
          <w:rFonts w:hint="eastAsia" w:ascii="仿宋" w:hAnsi="仿宋" w:eastAsia="仿宋" w:cs="仿宋"/>
          <w:bCs/>
          <w:snapToGrid w:val="0"/>
          <w:color w:val="000000"/>
          <w:kern w:val="0"/>
          <w:sz w:val="28"/>
          <w:highlight w:val="none"/>
          <w:lang w:val="en-US" w:eastAsia="zh-CN"/>
        </w:rPr>
        <w:t>七</w:t>
      </w:r>
      <w:r>
        <w:rPr>
          <w:rFonts w:hint="eastAsia" w:ascii="仿宋" w:hAnsi="仿宋" w:eastAsia="仿宋" w:cs="仿宋"/>
          <w:bCs/>
          <w:snapToGrid w:val="0"/>
          <w:color w:val="000000"/>
          <w:kern w:val="0"/>
          <w:sz w:val="28"/>
          <w:highlight w:val="none"/>
        </w:rPr>
        <w:t>、评分项商务部分证明文件</w:t>
      </w:r>
    </w:p>
    <w:p w14:paraId="6F9ACEB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Cs/>
          <w:snapToGrid w:val="0"/>
          <w:color w:val="000000"/>
          <w:kern w:val="0"/>
          <w:sz w:val="28"/>
          <w:highlight w:val="none"/>
        </w:rPr>
      </w:pPr>
      <w:r>
        <w:rPr>
          <w:rFonts w:hint="eastAsia" w:ascii="仿宋" w:hAnsi="仿宋" w:eastAsia="仿宋" w:cs="仿宋"/>
          <w:bCs/>
          <w:snapToGrid w:val="0"/>
          <w:color w:val="000000"/>
          <w:kern w:val="0"/>
          <w:sz w:val="28"/>
          <w:highlight w:val="none"/>
          <w:lang w:val="en-US" w:eastAsia="zh-CN"/>
        </w:rPr>
        <w:t>八</w:t>
      </w:r>
      <w:r>
        <w:rPr>
          <w:rFonts w:hint="eastAsia" w:ascii="仿宋" w:hAnsi="仿宋" w:eastAsia="仿宋" w:cs="仿宋"/>
          <w:bCs/>
          <w:snapToGrid w:val="0"/>
          <w:color w:val="000000"/>
          <w:kern w:val="0"/>
          <w:sz w:val="28"/>
          <w:highlight w:val="none"/>
        </w:rPr>
        <w:t>、评分项技术部分证明文件</w:t>
      </w:r>
    </w:p>
    <w:p w14:paraId="7F8B2EF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Cs/>
          <w:snapToGrid w:val="0"/>
          <w:color w:val="000000"/>
          <w:kern w:val="0"/>
          <w:sz w:val="28"/>
          <w:highlight w:val="none"/>
        </w:rPr>
      </w:pPr>
      <w:r>
        <w:rPr>
          <w:rFonts w:hint="eastAsia" w:ascii="仿宋" w:hAnsi="仿宋" w:eastAsia="仿宋" w:cs="仿宋"/>
          <w:bCs/>
          <w:snapToGrid w:val="0"/>
          <w:color w:val="000000"/>
          <w:kern w:val="0"/>
          <w:sz w:val="28"/>
          <w:highlight w:val="none"/>
          <w:lang w:val="en-US" w:eastAsia="zh-CN"/>
        </w:rPr>
        <w:t>九、</w:t>
      </w:r>
      <w:r>
        <w:rPr>
          <w:rFonts w:hint="eastAsia" w:ascii="仿宋" w:hAnsi="仿宋" w:eastAsia="仿宋" w:cs="仿宋"/>
          <w:bCs/>
          <w:snapToGrid w:val="0"/>
          <w:color w:val="000000"/>
          <w:kern w:val="0"/>
          <w:sz w:val="28"/>
          <w:highlight w:val="none"/>
        </w:rPr>
        <w:t>实质性条款响应情况表</w:t>
      </w:r>
    </w:p>
    <w:p w14:paraId="2282ABD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Cs/>
          <w:snapToGrid w:val="0"/>
          <w:color w:val="000000"/>
          <w:kern w:val="0"/>
          <w:sz w:val="28"/>
          <w:highlight w:val="none"/>
        </w:rPr>
      </w:pPr>
      <w:r>
        <w:rPr>
          <w:rFonts w:hint="eastAsia" w:ascii="仿宋" w:hAnsi="仿宋" w:eastAsia="仿宋" w:cs="仿宋"/>
          <w:bCs/>
          <w:snapToGrid w:val="0"/>
          <w:color w:val="000000"/>
          <w:kern w:val="0"/>
          <w:sz w:val="28"/>
          <w:highlight w:val="none"/>
        </w:rPr>
        <w:t>十、服务条款偏离表</w:t>
      </w:r>
    </w:p>
    <w:p w14:paraId="351C985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Cs/>
          <w:snapToGrid w:val="0"/>
          <w:color w:val="000000"/>
          <w:kern w:val="0"/>
          <w:sz w:val="28"/>
          <w:highlight w:val="none"/>
        </w:rPr>
      </w:pPr>
      <w:r>
        <w:rPr>
          <w:rFonts w:hint="eastAsia" w:ascii="仿宋" w:hAnsi="仿宋" w:eastAsia="仿宋" w:cs="仿宋"/>
          <w:bCs/>
          <w:snapToGrid w:val="0"/>
          <w:color w:val="000000"/>
          <w:kern w:val="0"/>
          <w:sz w:val="28"/>
          <w:highlight w:val="none"/>
        </w:rPr>
        <w:t>十</w:t>
      </w:r>
      <w:r>
        <w:rPr>
          <w:rFonts w:hint="eastAsia" w:ascii="仿宋" w:hAnsi="仿宋" w:eastAsia="仿宋" w:cs="仿宋"/>
          <w:bCs/>
          <w:snapToGrid w:val="0"/>
          <w:color w:val="000000"/>
          <w:kern w:val="0"/>
          <w:sz w:val="28"/>
          <w:highlight w:val="none"/>
          <w:lang w:val="en-US" w:eastAsia="zh-CN"/>
        </w:rPr>
        <w:t>一</w:t>
      </w:r>
      <w:r>
        <w:rPr>
          <w:rFonts w:hint="eastAsia" w:ascii="仿宋" w:hAnsi="仿宋" w:eastAsia="仿宋" w:cs="仿宋"/>
          <w:bCs/>
          <w:snapToGrid w:val="0"/>
          <w:color w:val="000000"/>
          <w:kern w:val="0"/>
          <w:sz w:val="28"/>
          <w:highlight w:val="none"/>
        </w:rPr>
        <w:t>、商务条款偏离表</w:t>
      </w:r>
    </w:p>
    <w:p w14:paraId="4634968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Cs/>
          <w:snapToGrid w:val="0"/>
          <w:color w:val="000000"/>
          <w:kern w:val="0"/>
          <w:sz w:val="28"/>
          <w:highlight w:val="none"/>
        </w:rPr>
      </w:pPr>
      <w:r>
        <w:rPr>
          <w:rFonts w:hint="eastAsia" w:ascii="仿宋" w:hAnsi="仿宋" w:eastAsia="仿宋" w:cs="仿宋"/>
          <w:bCs/>
          <w:snapToGrid w:val="0"/>
          <w:color w:val="000000"/>
          <w:kern w:val="0"/>
          <w:sz w:val="28"/>
          <w:highlight w:val="none"/>
        </w:rPr>
        <w:t>十</w:t>
      </w:r>
      <w:r>
        <w:rPr>
          <w:rFonts w:hint="eastAsia" w:ascii="仿宋" w:hAnsi="仿宋" w:eastAsia="仿宋" w:cs="仿宋"/>
          <w:bCs/>
          <w:snapToGrid w:val="0"/>
          <w:color w:val="000000"/>
          <w:kern w:val="0"/>
          <w:sz w:val="28"/>
          <w:highlight w:val="none"/>
          <w:lang w:val="en-US" w:eastAsia="zh-CN"/>
        </w:rPr>
        <w:t>二</w:t>
      </w:r>
      <w:r>
        <w:rPr>
          <w:rFonts w:hint="eastAsia" w:ascii="仿宋" w:hAnsi="仿宋" w:eastAsia="仿宋" w:cs="仿宋"/>
          <w:bCs/>
          <w:snapToGrid w:val="0"/>
          <w:color w:val="000000"/>
          <w:kern w:val="0"/>
          <w:sz w:val="28"/>
          <w:highlight w:val="none"/>
        </w:rPr>
        <w:t>、招标文件要求的其他内容及投标人认为需要加以说明其他内容</w:t>
      </w:r>
    </w:p>
    <w:p w14:paraId="2988BB51">
      <w:pPr>
        <w:pStyle w:val="4"/>
        <w:spacing w:before="120" w:after="120"/>
        <w:jc w:val="center"/>
        <w:outlineLvl w:val="2"/>
        <w:rPr>
          <w:rFonts w:hint="eastAsia" w:ascii="仿宋" w:hAnsi="仿宋" w:eastAsia="仿宋" w:cs="仿宋"/>
          <w:sz w:val="28"/>
          <w:szCs w:val="28"/>
          <w:highlight w:val="none"/>
        </w:rPr>
      </w:pPr>
      <w:r>
        <w:rPr>
          <w:rFonts w:hint="eastAsia" w:ascii="仿宋" w:hAnsi="仿宋" w:eastAsia="仿宋" w:cs="仿宋"/>
          <w:bCs w:val="0"/>
          <w:sz w:val="24"/>
          <w:highlight w:val="none"/>
        </w:rPr>
        <w:br w:type="page"/>
      </w:r>
      <w:bookmarkStart w:id="261" w:name="_Toc11480"/>
      <w:r>
        <w:rPr>
          <w:rFonts w:hint="eastAsia" w:ascii="仿宋" w:hAnsi="仿宋" w:eastAsia="仿宋" w:cs="仿宋"/>
          <w:b/>
          <w:bCs/>
          <w:sz w:val="28"/>
          <w:szCs w:val="28"/>
          <w:highlight w:val="none"/>
        </w:rPr>
        <w:t>一、评标指引表</w:t>
      </w:r>
      <w:bookmarkEnd w:id="261"/>
    </w:p>
    <w:p w14:paraId="35F1D9B6">
      <w:pPr>
        <w:jc w:val="center"/>
        <w:outlineLvl w:val="9"/>
        <w:rPr>
          <w:rFonts w:hint="eastAsia" w:ascii="仿宋" w:hAnsi="仿宋" w:eastAsia="仿宋" w:cs="仿宋"/>
          <w:b/>
          <w:sz w:val="24"/>
          <w:szCs w:val="24"/>
          <w:highlight w:val="none"/>
        </w:rPr>
      </w:pPr>
      <w:bookmarkStart w:id="262" w:name="_Toc20113"/>
      <w:bookmarkStart w:id="263" w:name="_Toc7328"/>
      <w:bookmarkStart w:id="264" w:name="_Toc14861"/>
      <w:bookmarkStart w:id="265" w:name="_Toc4527"/>
      <w:bookmarkStart w:id="266" w:name="_Toc31498"/>
      <w:bookmarkStart w:id="267" w:name="_Toc29864"/>
      <w:r>
        <w:rPr>
          <w:rFonts w:hint="eastAsia" w:ascii="仿宋" w:hAnsi="仿宋" w:eastAsia="仿宋" w:cs="仿宋"/>
          <w:b/>
          <w:sz w:val="24"/>
          <w:szCs w:val="24"/>
          <w:highlight w:val="none"/>
        </w:rPr>
        <w:t>（置于投标文件的首页）</w:t>
      </w:r>
      <w:bookmarkEnd w:id="262"/>
      <w:bookmarkEnd w:id="263"/>
      <w:bookmarkEnd w:id="264"/>
      <w:bookmarkEnd w:id="265"/>
      <w:bookmarkEnd w:id="266"/>
      <w:bookmarkEnd w:id="267"/>
    </w:p>
    <w:p w14:paraId="18A0CF1D">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为方便参与该项目的评委专家的评标，快速找到评标事项与该项目投标文件所对应的位置，请投标人参照下表格式，编制本项目评标指引表。</w:t>
      </w:r>
    </w:p>
    <w:p w14:paraId="6059F27D">
      <w:pPr>
        <w:jc w:val="center"/>
        <w:outlineLvl w:val="9"/>
        <w:rPr>
          <w:rFonts w:hint="eastAsia" w:ascii="仿宋" w:hAnsi="仿宋" w:eastAsia="仿宋" w:cs="仿宋"/>
          <w:b/>
          <w:sz w:val="24"/>
          <w:szCs w:val="24"/>
          <w:highlight w:val="none"/>
        </w:rPr>
      </w:pPr>
      <w:bookmarkStart w:id="268" w:name="_Toc5925"/>
      <w:bookmarkStart w:id="269" w:name="_Toc16284"/>
      <w:bookmarkStart w:id="270" w:name="_Toc5465"/>
      <w:bookmarkStart w:id="271" w:name="_Toc27506"/>
      <w:bookmarkStart w:id="272" w:name="_Toc13230"/>
      <w:bookmarkStart w:id="273" w:name="_Toc23387"/>
      <w:r>
        <w:rPr>
          <w:rFonts w:hint="eastAsia" w:ascii="仿宋" w:hAnsi="仿宋" w:eastAsia="仿宋" w:cs="仿宋"/>
          <w:b/>
          <w:sz w:val="24"/>
          <w:szCs w:val="24"/>
          <w:highlight w:val="none"/>
        </w:rPr>
        <w:t>项目评标指引表</w:t>
      </w:r>
      <w:bookmarkEnd w:id="268"/>
      <w:bookmarkEnd w:id="269"/>
      <w:bookmarkEnd w:id="270"/>
      <w:bookmarkEnd w:id="271"/>
      <w:bookmarkEnd w:id="272"/>
      <w:bookmarkEnd w:id="273"/>
    </w:p>
    <w:tbl>
      <w:tblPr>
        <w:tblStyle w:val="4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3799"/>
        <w:gridCol w:w="2251"/>
        <w:gridCol w:w="900"/>
        <w:gridCol w:w="858"/>
      </w:tblGrid>
      <w:tr w14:paraId="61BF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522" w:type="dxa"/>
            <w:gridSpan w:val="5"/>
            <w:noWrap w:val="0"/>
            <w:vAlign w:val="top"/>
          </w:tcPr>
          <w:p w14:paraId="7AEA6444">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一、资格性检查指引</w:t>
            </w:r>
          </w:p>
        </w:tc>
      </w:tr>
      <w:tr w14:paraId="6BED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14" w:type="dxa"/>
            <w:noWrap w:val="0"/>
            <w:vAlign w:val="center"/>
          </w:tcPr>
          <w:p w14:paraId="2B5C745C">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序号</w:t>
            </w:r>
          </w:p>
        </w:tc>
        <w:tc>
          <w:tcPr>
            <w:tcW w:w="3799" w:type="dxa"/>
            <w:noWrap w:val="0"/>
            <w:vAlign w:val="center"/>
          </w:tcPr>
          <w:p w14:paraId="171F3746">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资格性检查项目</w:t>
            </w:r>
          </w:p>
        </w:tc>
        <w:tc>
          <w:tcPr>
            <w:tcW w:w="3151" w:type="dxa"/>
            <w:gridSpan w:val="2"/>
            <w:noWrap w:val="0"/>
            <w:vAlign w:val="center"/>
          </w:tcPr>
          <w:p w14:paraId="5ABD2524">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证明文件</w:t>
            </w:r>
          </w:p>
        </w:tc>
        <w:tc>
          <w:tcPr>
            <w:tcW w:w="858" w:type="dxa"/>
            <w:noWrap w:val="0"/>
            <w:vAlign w:val="center"/>
          </w:tcPr>
          <w:p w14:paraId="6D8E9276">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起止页码</w:t>
            </w:r>
          </w:p>
        </w:tc>
      </w:tr>
      <w:tr w14:paraId="2992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714" w:type="dxa"/>
            <w:vMerge w:val="restart"/>
            <w:noWrap w:val="0"/>
            <w:vAlign w:val="center"/>
          </w:tcPr>
          <w:p w14:paraId="71278355">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3799" w:type="dxa"/>
            <w:vMerge w:val="restart"/>
            <w:noWrap w:val="0"/>
            <w:vAlign w:val="center"/>
          </w:tcPr>
          <w:p w14:paraId="042BB87C">
            <w:pPr>
              <w:keepNext w:val="0"/>
              <w:keepLines w:val="0"/>
              <w:suppressLineNumbers w:val="0"/>
              <w:spacing w:before="0" w:beforeAutospacing="0" w:after="0" w:afterAutospacing="0"/>
              <w:ind w:left="0" w:right="0"/>
              <w:jc w:val="left"/>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投标人不具备招标资质要求，或未提交相应资格证明材料的。</w:t>
            </w:r>
          </w:p>
        </w:tc>
        <w:tc>
          <w:tcPr>
            <w:tcW w:w="3151" w:type="dxa"/>
            <w:gridSpan w:val="2"/>
            <w:noWrap w:val="0"/>
            <w:vAlign w:val="center"/>
          </w:tcPr>
          <w:p w14:paraId="239A68FA">
            <w:pPr>
              <w:keepNext w:val="0"/>
              <w:keepLines w:val="0"/>
              <w:suppressLineNumbers w:val="0"/>
              <w:spacing w:before="0" w:beforeAutospacing="0" w:after="0" w:afterAutospacing="0"/>
              <w:ind w:left="0" w:right="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营业执照</w:t>
            </w:r>
          </w:p>
        </w:tc>
        <w:tc>
          <w:tcPr>
            <w:tcW w:w="858" w:type="dxa"/>
            <w:noWrap w:val="0"/>
            <w:vAlign w:val="center"/>
          </w:tcPr>
          <w:p w14:paraId="7C5CDAEE">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r>
      <w:tr w14:paraId="4723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714" w:type="dxa"/>
            <w:vMerge w:val="continue"/>
            <w:noWrap w:val="0"/>
            <w:vAlign w:val="center"/>
          </w:tcPr>
          <w:p w14:paraId="0E68CCBF">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p>
        </w:tc>
        <w:tc>
          <w:tcPr>
            <w:tcW w:w="3799" w:type="dxa"/>
            <w:vMerge w:val="continue"/>
            <w:noWrap w:val="0"/>
            <w:vAlign w:val="center"/>
          </w:tcPr>
          <w:p w14:paraId="54E96722">
            <w:pPr>
              <w:keepNext w:val="0"/>
              <w:keepLines w:val="0"/>
              <w:suppressLineNumbers w:val="0"/>
              <w:spacing w:before="0" w:beforeAutospacing="0" w:after="0" w:afterAutospacing="0"/>
              <w:ind w:left="0" w:right="0"/>
              <w:jc w:val="left"/>
              <w:rPr>
                <w:rFonts w:hint="eastAsia" w:ascii="仿宋" w:hAnsi="仿宋" w:eastAsia="仿宋" w:cs="仿宋"/>
                <w:color w:val="000000"/>
                <w:sz w:val="24"/>
                <w:szCs w:val="24"/>
                <w:highlight w:val="none"/>
              </w:rPr>
            </w:pPr>
          </w:p>
        </w:tc>
        <w:tc>
          <w:tcPr>
            <w:tcW w:w="3151" w:type="dxa"/>
            <w:gridSpan w:val="2"/>
            <w:noWrap w:val="0"/>
            <w:vAlign w:val="center"/>
          </w:tcPr>
          <w:p w14:paraId="785DF3A1">
            <w:pPr>
              <w:keepNext w:val="0"/>
              <w:keepLines w:val="0"/>
              <w:suppressLineNumbers w:val="0"/>
              <w:spacing w:before="0" w:beforeAutospacing="0" w:after="0" w:afterAutospacing="0"/>
              <w:ind w:left="0" w:right="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p>
        </w:tc>
        <w:tc>
          <w:tcPr>
            <w:tcW w:w="858" w:type="dxa"/>
            <w:noWrap w:val="0"/>
            <w:vAlign w:val="center"/>
          </w:tcPr>
          <w:p w14:paraId="659525B8">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r>
      <w:tr w14:paraId="0E1D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714" w:type="dxa"/>
            <w:noWrap w:val="0"/>
            <w:vAlign w:val="center"/>
          </w:tcPr>
          <w:p w14:paraId="0449668F">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3799" w:type="dxa"/>
            <w:noWrap w:val="0"/>
            <w:vAlign w:val="center"/>
          </w:tcPr>
          <w:p w14:paraId="552E4D9D">
            <w:pPr>
              <w:keepNext w:val="0"/>
              <w:keepLines w:val="0"/>
              <w:suppressLineNumbers w:val="0"/>
              <w:spacing w:before="0" w:beforeAutospacing="0" w:after="0" w:afterAutospacing="0"/>
              <w:ind w:left="0" w:right="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w:t>
            </w:r>
            <w:r>
              <w:rPr>
                <w:rFonts w:hint="eastAsia" w:ascii="仿宋" w:hAnsi="仿宋" w:eastAsia="仿宋" w:cs="仿宋"/>
                <w:sz w:val="24"/>
                <w:szCs w:val="24"/>
                <w:highlight w:val="none"/>
              </w:rPr>
              <w:t>未按招标公告要求</w:t>
            </w:r>
            <w:r>
              <w:rPr>
                <w:rFonts w:hint="eastAsia" w:ascii="仿宋" w:hAnsi="仿宋" w:eastAsia="仿宋" w:cs="仿宋"/>
                <w:kern w:val="0"/>
                <w:sz w:val="24"/>
                <w:szCs w:val="24"/>
                <w:highlight w:val="none"/>
              </w:rPr>
              <w:t>完成投标报名的</w:t>
            </w:r>
          </w:p>
        </w:tc>
        <w:tc>
          <w:tcPr>
            <w:tcW w:w="3151" w:type="dxa"/>
            <w:gridSpan w:val="2"/>
            <w:noWrap w:val="0"/>
            <w:vAlign w:val="center"/>
          </w:tcPr>
          <w:p w14:paraId="7CB8B56B">
            <w:pPr>
              <w:keepNext w:val="0"/>
              <w:keepLines w:val="0"/>
              <w:suppressLineNumbers w:val="0"/>
              <w:spacing w:before="0" w:beforeAutospacing="0" w:after="0" w:afterAutospacing="0"/>
              <w:ind w:left="0" w:right="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无需提供证明材料，由采购代理机构核查</w:t>
            </w:r>
          </w:p>
        </w:tc>
        <w:tc>
          <w:tcPr>
            <w:tcW w:w="858" w:type="dxa"/>
            <w:noWrap w:val="0"/>
            <w:vAlign w:val="center"/>
          </w:tcPr>
          <w:p w14:paraId="6EFAF52A">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r>
      <w:tr w14:paraId="471C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522" w:type="dxa"/>
            <w:gridSpan w:val="5"/>
            <w:noWrap w:val="0"/>
            <w:vAlign w:val="top"/>
          </w:tcPr>
          <w:p w14:paraId="7B9E237A">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二、符合性检查指引</w:t>
            </w:r>
          </w:p>
        </w:tc>
      </w:tr>
      <w:tr w14:paraId="6D05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14" w:type="dxa"/>
            <w:noWrap w:val="0"/>
            <w:vAlign w:val="top"/>
          </w:tcPr>
          <w:p w14:paraId="526A43D1">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序号</w:t>
            </w:r>
          </w:p>
        </w:tc>
        <w:tc>
          <w:tcPr>
            <w:tcW w:w="6050" w:type="dxa"/>
            <w:gridSpan w:val="2"/>
            <w:noWrap w:val="0"/>
            <w:vAlign w:val="center"/>
          </w:tcPr>
          <w:p w14:paraId="6E72FC54">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符合性检查项目</w:t>
            </w:r>
          </w:p>
        </w:tc>
        <w:tc>
          <w:tcPr>
            <w:tcW w:w="1758" w:type="dxa"/>
            <w:gridSpan w:val="2"/>
            <w:noWrap w:val="0"/>
            <w:vAlign w:val="center"/>
          </w:tcPr>
          <w:p w14:paraId="31755463">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1"/>
                <w:szCs w:val="21"/>
                <w:highlight w:val="none"/>
                <w:lang w:eastAsia="zh-CN"/>
              </w:rPr>
              <w:t>投标人自查情况</w:t>
            </w:r>
          </w:p>
        </w:tc>
      </w:tr>
      <w:tr w14:paraId="475A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14" w:type="dxa"/>
            <w:noWrap w:val="0"/>
            <w:vAlign w:val="center"/>
          </w:tcPr>
          <w:p w14:paraId="0962531D">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6050" w:type="dxa"/>
            <w:gridSpan w:val="2"/>
            <w:noWrap w:val="0"/>
            <w:vAlign w:val="center"/>
          </w:tcPr>
          <w:p w14:paraId="1E0A65EA">
            <w:pPr>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rPr>
            </w:pPr>
            <w:r>
              <w:rPr>
                <w:rFonts w:hint="eastAsia" w:ascii="仿宋" w:hAnsi="仿宋" w:eastAsia="仿宋" w:cs="仿宋"/>
                <w:sz w:val="24"/>
                <w:szCs w:val="32"/>
                <w:highlight w:val="none"/>
              </w:rPr>
              <w:t>将一个包中的内容拆开投标</w:t>
            </w:r>
          </w:p>
        </w:tc>
        <w:tc>
          <w:tcPr>
            <w:tcW w:w="1758" w:type="dxa"/>
            <w:gridSpan w:val="2"/>
            <w:noWrap w:val="0"/>
            <w:vAlign w:val="center"/>
          </w:tcPr>
          <w:p w14:paraId="5392620F">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FF0000"/>
                <w:sz w:val="24"/>
                <w:szCs w:val="24"/>
                <w:highlight w:val="none"/>
                <w:lang w:eastAsia="zh-CN"/>
              </w:rPr>
              <w:t>不存在（示例）</w:t>
            </w:r>
          </w:p>
        </w:tc>
      </w:tr>
      <w:tr w14:paraId="53B7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14" w:type="dxa"/>
            <w:noWrap w:val="0"/>
            <w:vAlign w:val="center"/>
          </w:tcPr>
          <w:p w14:paraId="0B5FEAB4">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6050" w:type="dxa"/>
            <w:gridSpan w:val="2"/>
            <w:noWrap w:val="0"/>
            <w:vAlign w:val="center"/>
          </w:tcPr>
          <w:p w14:paraId="5C75032D">
            <w:pPr>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rPr>
            </w:pPr>
            <w:r>
              <w:rPr>
                <w:rFonts w:hint="eastAsia" w:ascii="仿宋" w:hAnsi="仿宋" w:eastAsia="仿宋" w:cs="仿宋"/>
                <w:sz w:val="24"/>
                <w:szCs w:val="32"/>
                <w:highlight w:val="none"/>
              </w:rPr>
              <w:t>投标文件及开标一览表未按规定密封、签字、盖章</w:t>
            </w:r>
          </w:p>
        </w:tc>
        <w:tc>
          <w:tcPr>
            <w:tcW w:w="1758" w:type="dxa"/>
            <w:gridSpan w:val="2"/>
            <w:noWrap w:val="0"/>
            <w:vAlign w:val="center"/>
          </w:tcPr>
          <w:p w14:paraId="7FDF2C00">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p>
        </w:tc>
      </w:tr>
      <w:tr w14:paraId="1F14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14" w:type="dxa"/>
            <w:noWrap w:val="0"/>
            <w:vAlign w:val="center"/>
          </w:tcPr>
          <w:p w14:paraId="10DBE2B2">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6050" w:type="dxa"/>
            <w:gridSpan w:val="2"/>
            <w:noWrap w:val="0"/>
            <w:vAlign w:val="center"/>
          </w:tcPr>
          <w:p w14:paraId="424E81C0">
            <w:pPr>
              <w:keepNext w:val="0"/>
              <w:keepLines w:val="0"/>
              <w:suppressLineNumbers w:val="0"/>
              <w:spacing w:before="0" w:beforeAutospacing="0" w:after="0" w:afterAutospacing="0"/>
              <w:ind w:left="0" w:right="0"/>
              <w:rPr>
                <w:rFonts w:hint="eastAsia" w:ascii="仿宋" w:hAnsi="仿宋" w:eastAsia="仿宋" w:cs="仿宋"/>
                <w:sz w:val="24"/>
                <w:szCs w:val="32"/>
                <w:highlight w:val="none"/>
              </w:rPr>
            </w:pPr>
            <w:r>
              <w:rPr>
                <w:rFonts w:hint="eastAsia" w:ascii="仿宋" w:hAnsi="仿宋" w:eastAsia="仿宋" w:cs="仿宋"/>
                <w:sz w:val="24"/>
                <w:szCs w:val="32"/>
                <w:highlight w:val="none"/>
              </w:rPr>
              <w:t>招标文件未规定允许有替代方案时，对同一项目投标时，同时提供两套或两套以上的投标方案</w:t>
            </w:r>
          </w:p>
        </w:tc>
        <w:tc>
          <w:tcPr>
            <w:tcW w:w="1758" w:type="dxa"/>
            <w:gridSpan w:val="2"/>
            <w:noWrap w:val="0"/>
            <w:vAlign w:val="center"/>
          </w:tcPr>
          <w:p w14:paraId="10AFC26D">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p>
        </w:tc>
      </w:tr>
      <w:tr w14:paraId="639C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14" w:type="dxa"/>
            <w:noWrap w:val="0"/>
            <w:vAlign w:val="center"/>
          </w:tcPr>
          <w:p w14:paraId="35A72947">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6050" w:type="dxa"/>
            <w:gridSpan w:val="2"/>
            <w:noWrap w:val="0"/>
            <w:vAlign w:val="center"/>
          </w:tcPr>
          <w:p w14:paraId="497E31CD">
            <w:pPr>
              <w:keepNext w:val="0"/>
              <w:keepLines w:val="0"/>
              <w:suppressLineNumbers w:val="0"/>
              <w:spacing w:before="0" w:beforeAutospacing="0" w:after="0" w:afterAutospacing="0"/>
              <w:ind w:left="0" w:right="0"/>
              <w:rPr>
                <w:rFonts w:hint="eastAsia" w:ascii="仿宋" w:hAnsi="仿宋" w:eastAsia="仿宋" w:cs="仿宋"/>
                <w:sz w:val="24"/>
                <w:szCs w:val="32"/>
                <w:highlight w:val="none"/>
                <w:lang w:eastAsia="zh-CN"/>
              </w:rPr>
            </w:pPr>
            <w:r>
              <w:rPr>
                <w:rFonts w:hint="eastAsia" w:ascii="仿宋" w:hAnsi="仿宋" w:eastAsia="仿宋" w:cs="仿宋"/>
                <w:sz w:val="24"/>
                <w:highlight w:val="none"/>
                <w:lang w:eastAsia="zh-CN"/>
              </w:rPr>
              <w:t>填报的“折扣率”不满足"0＜折扣率≤1"公式要求的；“折扣率”缺填、漏填或填报了两个或以上“折扣率”</w:t>
            </w:r>
          </w:p>
        </w:tc>
        <w:tc>
          <w:tcPr>
            <w:tcW w:w="1758" w:type="dxa"/>
            <w:gridSpan w:val="2"/>
            <w:noWrap w:val="0"/>
            <w:vAlign w:val="center"/>
          </w:tcPr>
          <w:p w14:paraId="7107B826">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r>
      <w:tr w14:paraId="6278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14" w:type="dxa"/>
            <w:noWrap w:val="0"/>
            <w:vAlign w:val="center"/>
          </w:tcPr>
          <w:p w14:paraId="18AAFD37">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6050" w:type="dxa"/>
            <w:gridSpan w:val="2"/>
            <w:noWrap w:val="0"/>
            <w:vAlign w:val="center"/>
          </w:tcPr>
          <w:p w14:paraId="2D72E943">
            <w:pPr>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rPr>
            </w:pPr>
            <w:r>
              <w:rPr>
                <w:rFonts w:hint="eastAsia" w:ascii="仿宋" w:hAnsi="仿宋" w:eastAsia="仿宋" w:cs="仿宋"/>
                <w:sz w:val="24"/>
                <w:szCs w:val="32"/>
                <w:highlight w:val="none"/>
              </w:rPr>
              <w:t>同一项目出现两个及以上报价，按规定又无法确定哪个是有效报价</w:t>
            </w:r>
          </w:p>
        </w:tc>
        <w:tc>
          <w:tcPr>
            <w:tcW w:w="1758" w:type="dxa"/>
            <w:gridSpan w:val="2"/>
            <w:noWrap w:val="0"/>
            <w:vAlign w:val="center"/>
          </w:tcPr>
          <w:p w14:paraId="50AA6115">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r>
      <w:tr w14:paraId="7B12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14" w:type="dxa"/>
            <w:noWrap w:val="0"/>
            <w:vAlign w:val="center"/>
          </w:tcPr>
          <w:p w14:paraId="3F0B5C46">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p>
        </w:tc>
        <w:tc>
          <w:tcPr>
            <w:tcW w:w="6050" w:type="dxa"/>
            <w:gridSpan w:val="2"/>
            <w:noWrap w:val="0"/>
            <w:vAlign w:val="center"/>
          </w:tcPr>
          <w:p w14:paraId="01805DCD">
            <w:pPr>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rPr>
            </w:pPr>
            <w:r>
              <w:rPr>
                <w:rFonts w:hint="eastAsia" w:ascii="仿宋" w:hAnsi="仿宋" w:eastAsia="仿宋" w:cs="仿宋"/>
                <w:sz w:val="24"/>
                <w:highlight w:val="none"/>
              </w:rPr>
              <w:t>评审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r>
              <w:rPr>
                <w:rFonts w:hint="eastAsia" w:ascii="仿宋" w:hAnsi="仿宋" w:eastAsia="仿宋" w:cs="仿宋"/>
                <w:color w:val="FF0000"/>
                <w:sz w:val="24"/>
                <w:highlight w:val="none"/>
              </w:rPr>
              <w:t>，投标文件的轻微瑕疵、非关键内容不得作为认定投标无效的依据</w:t>
            </w:r>
            <w:r>
              <w:rPr>
                <w:rFonts w:hint="eastAsia" w:ascii="仿宋" w:hAnsi="仿宋" w:eastAsia="仿宋" w:cs="仿宋"/>
                <w:sz w:val="24"/>
                <w:highlight w:val="none"/>
              </w:rPr>
              <w:t>）</w:t>
            </w:r>
          </w:p>
        </w:tc>
        <w:tc>
          <w:tcPr>
            <w:tcW w:w="1758" w:type="dxa"/>
            <w:gridSpan w:val="2"/>
            <w:noWrap w:val="0"/>
            <w:vAlign w:val="center"/>
          </w:tcPr>
          <w:p w14:paraId="37684916">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r>
      <w:tr w14:paraId="7E8A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14" w:type="dxa"/>
            <w:noWrap w:val="0"/>
            <w:vAlign w:val="center"/>
          </w:tcPr>
          <w:p w14:paraId="5A73D426">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w:t>
            </w:r>
          </w:p>
        </w:tc>
        <w:tc>
          <w:tcPr>
            <w:tcW w:w="6050" w:type="dxa"/>
            <w:gridSpan w:val="2"/>
            <w:noWrap w:val="0"/>
            <w:vAlign w:val="center"/>
          </w:tcPr>
          <w:p w14:paraId="5C1563F5">
            <w:pPr>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rPr>
            </w:pPr>
            <w:r>
              <w:rPr>
                <w:rFonts w:hint="eastAsia" w:ascii="仿宋" w:hAnsi="仿宋" w:eastAsia="仿宋" w:cs="仿宋"/>
                <w:sz w:val="24"/>
                <w:highlight w:val="none"/>
              </w:rPr>
              <w:t>所投货物、服务在技术、商务等方面没有实质性满足招标文件要求的（是否实质性满足招标文件要求，由评审委员会根据《实质性条款响应情况表》做出评判）</w:t>
            </w:r>
          </w:p>
        </w:tc>
        <w:tc>
          <w:tcPr>
            <w:tcW w:w="1758" w:type="dxa"/>
            <w:gridSpan w:val="2"/>
            <w:noWrap w:val="0"/>
            <w:vAlign w:val="center"/>
          </w:tcPr>
          <w:p w14:paraId="34214E34">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p>
        </w:tc>
      </w:tr>
      <w:tr w14:paraId="2457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14" w:type="dxa"/>
            <w:noWrap w:val="0"/>
            <w:vAlign w:val="center"/>
          </w:tcPr>
          <w:p w14:paraId="2B9B1C42">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w:t>
            </w:r>
          </w:p>
        </w:tc>
        <w:tc>
          <w:tcPr>
            <w:tcW w:w="6050" w:type="dxa"/>
            <w:gridSpan w:val="2"/>
            <w:noWrap w:val="0"/>
            <w:vAlign w:val="center"/>
          </w:tcPr>
          <w:p w14:paraId="78E46E83">
            <w:pPr>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未按招标文件附件所提供的样式和要求完整填写</w:t>
            </w:r>
            <w:r>
              <w:rPr>
                <w:rFonts w:hint="eastAsia" w:ascii="仿宋" w:hAnsi="仿宋" w:eastAsia="仿宋" w:cs="仿宋"/>
                <w:sz w:val="24"/>
                <w:szCs w:val="24"/>
                <w:highlight w:val="none"/>
                <w:lang w:eastAsia="zh-CN"/>
              </w:rPr>
              <w:t>“投标函及承诺函”，</w:t>
            </w:r>
            <w:r>
              <w:rPr>
                <w:rFonts w:hint="eastAsia" w:ascii="仿宋" w:hAnsi="仿宋" w:eastAsia="仿宋" w:cs="仿宋"/>
                <w:sz w:val="24"/>
                <w:szCs w:val="24"/>
                <w:highlight w:val="none"/>
              </w:rPr>
              <w:t>或投标文件组成部分不符合通用条款第18.1款规定的</w:t>
            </w:r>
          </w:p>
        </w:tc>
        <w:tc>
          <w:tcPr>
            <w:tcW w:w="1758" w:type="dxa"/>
            <w:gridSpan w:val="2"/>
            <w:noWrap w:val="0"/>
            <w:vAlign w:val="center"/>
          </w:tcPr>
          <w:p w14:paraId="477C6C24">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r>
      <w:tr w14:paraId="3BD8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14" w:type="dxa"/>
            <w:noWrap w:val="0"/>
            <w:vAlign w:val="center"/>
          </w:tcPr>
          <w:p w14:paraId="7D620858">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9</w:t>
            </w:r>
          </w:p>
        </w:tc>
        <w:tc>
          <w:tcPr>
            <w:tcW w:w="6050" w:type="dxa"/>
            <w:gridSpan w:val="2"/>
            <w:noWrap w:val="0"/>
            <w:vAlign w:val="center"/>
          </w:tcPr>
          <w:p w14:paraId="06F8C41D">
            <w:pPr>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rPr>
            </w:pPr>
            <w:r>
              <w:rPr>
                <w:rFonts w:hint="eastAsia" w:ascii="仿宋" w:hAnsi="仿宋" w:eastAsia="仿宋" w:cs="仿宋"/>
                <w:sz w:val="24"/>
                <w:highlight w:val="none"/>
              </w:rPr>
              <w:t>投标文件对采购标的响应不全（响应不全情形包括：投标报价有缺漏项，对招标文件规定的项目需求内容或者需求数量进行修改），由评审委员会根据《分项报价</w:t>
            </w:r>
            <w:r>
              <w:rPr>
                <w:rFonts w:hint="eastAsia" w:ascii="仿宋" w:hAnsi="仿宋" w:eastAsia="仿宋" w:cs="仿宋"/>
                <w:sz w:val="24"/>
                <w:highlight w:val="none"/>
                <w:lang w:eastAsia="zh-CN"/>
              </w:rPr>
              <w:t>清单表</w:t>
            </w:r>
            <w:r>
              <w:rPr>
                <w:rFonts w:hint="eastAsia" w:ascii="仿宋" w:hAnsi="仿宋" w:eastAsia="仿宋" w:cs="仿宋"/>
                <w:sz w:val="24"/>
                <w:highlight w:val="none"/>
              </w:rPr>
              <w:t>》做出评判）</w:t>
            </w:r>
          </w:p>
        </w:tc>
        <w:tc>
          <w:tcPr>
            <w:tcW w:w="1758" w:type="dxa"/>
            <w:gridSpan w:val="2"/>
            <w:noWrap w:val="0"/>
            <w:vAlign w:val="top"/>
          </w:tcPr>
          <w:p w14:paraId="564C3BB0">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r>
      <w:tr w14:paraId="4109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14" w:type="dxa"/>
            <w:tcBorders>
              <w:bottom w:val="single" w:color="auto" w:sz="4" w:space="0"/>
            </w:tcBorders>
            <w:noWrap w:val="0"/>
            <w:vAlign w:val="center"/>
          </w:tcPr>
          <w:p w14:paraId="6DDF5F4B">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0</w:t>
            </w:r>
          </w:p>
        </w:tc>
        <w:tc>
          <w:tcPr>
            <w:tcW w:w="6050" w:type="dxa"/>
            <w:gridSpan w:val="2"/>
            <w:tcBorders>
              <w:bottom w:val="single" w:color="auto" w:sz="4" w:space="0"/>
            </w:tcBorders>
            <w:noWrap w:val="0"/>
            <w:vAlign w:val="center"/>
          </w:tcPr>
          <w:p w14:paraId="129A6A1B">
            <w:pPr>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rPr>
            </w:pPr>
            <w:r>
              <w:rPr>
                <w:rFonts w:hint="eastAsia" w:ascii="仿宋" w:hAnsi="仿宋" w:eastAsia="仿宋" w:cs="仿宋"/>
                <w:sz w:val="24"/>
                <w:szCs w:val="32"/>
                <w:highlight w:val="none"/>
                <w:lang w:eastAsia="zh-CN"/>
              </w:rPr>
              <w:t>法律法规规定的其他情形</w:t>
            </w:r>
          </w:p>
        </w:tc>
        <w:tc>
          <w:tcPr>
            <w:tcW w:w="1758" w:type="dxa"/>
            <w:gridSpan w:val="2"/>
            <w:tcBorders>
              <w:bottom w:val="single" w:color="auto" w:sz="4" w:space="0"/>
            </w:tcBorders>
            <w:noWrap w:val="0"/>
            <w:vAlign w:val="top"/>
          </w:tcPr>
          <w:p w14:paraId="334AFD7A">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r>
      <w:tr w14:paraId="5D02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522" w:type="dxa"/>
            <w:gridSpan w:val="5"/>
            <w:tcBorders>
              <w:top w:val="single" w:color="auto" w:sz="4" w:space="0"/>
            </w:tcBorders>
            <w:noWrap w:val="0"/>
            <w:vAlign w:val="center"/>
          </w:tcPr>
          <w:p w14:paraId="1F9DE706">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三、综合评分指引</w:t>
            </w:r>
          </w:p>
        </w:tc>
      </w:tr>
      <w:tr w14:paraId="73A3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14" w:type="dxa"/>
            <w:tcBorders>
              <w:bottom w:val="single" w:color="auto" w:sz="4" w:space="0"/>
            </w:tcBorders>
            <w:noWrap w:val="0"/>
            <w:vAlign w:val="center"/>
          </w:tcPr>
          <w:p w14:paraId="4735E129">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评分类别</w:t>
            </w:r>
          </w:p>
        </w:tc>
        <w:tc>
          <w:tcPr>
            <w:tcW w:w="6050" w:type="dxa"/>
            <w:gridSpan w:val="2"/>
            <w:tcBorders>
              <w:bottom w:val="single" w:color="auto" w:sz="4" w:space="0"/>
            </w:tcBorders>
            <w:noWrap w:val="0"/>
            <w:vAlign w:val="center"/>
          </w:tcPr>
          <w:p w14:paraId="239A7170">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评分项目</w:t>
            </w:r>
          </w:p>
        </w:tc>
        <w:tc>
          <w:tcPr>
            <w:tcW w:w="900" w:type="dxa"/>
            <w:tcBorders>
              <w:bottom w:val="single" w:color="auto" w:sz="4" w:space="0"/>
            </w:tcBorders>
            <w:noWrap w:val="0"/>
            <w:vAlign w:val="center"/>
          </w:tcPr>
          <w:p w14:paraId="4BB5F832">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对应章节</w:t>
            </w:r>
          </w:p>
        </w:tc>
        <w:tc>
          <w:tcPr>
            <w:tcW w:w="858" w:type="dxa"/>
            <w:tcBorders>
              <w:bottom w:val="single" w:color="auto" w:sz="4" w:space="0"/>
            </w:tcBorders>
            <w:noWrap w:val="0"/>
            <w:vAlign w:val="center"/>
          </w:tcPr>
          <w:p w14:paraId="2013086A">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起止页码</w:t>
            </w:r>
          </w:p>
        </w:tc>
      </w:tr>
      <w:tr w14:paraId="2EEB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14" w:type="dxa"/>
            <w:vMerge w:val="restart"/>
            <w:tcBorders>
              <w:top w:val="single" w:color="auto" w:sz="4" w:space="0"/>
            </w:tcBorders>
            <w:noWrap w:val="0"/>
            <w:vAlign w:val="center"/>
          </w:tcPr>
          <w:p w14:paraId="28A7DE06">
            <w:pPr>
              <w:keepNext w:val="0"/>
              <w:keepLines w:val="0"/>
              <w:suppressLineNumbers w:val="0"/>
              <w:spacing w:before="0" w:beforeAutospacing="0" w:after="0" w:afterAutospacing="0"/>
              <w:ind w:left="0" w:right="0"/>
              <w:jc w:val="center"/>
              <w:rPr>
                <w:rFonts w:hint="eastAsia" w:ascii="仿宋" w:hAnsi="仿宋" w:eastAsia="仿宋" w:cs="仿宋"/>
                <w:sz w:val="24"/>
                <w:szCs w:val="32"/>
                <w:highlight w:val="none"/>
              </w:rPr>
            </w:pPr>
            <w:r>
              <w:rPr>
                <w:rFonts w:hint="eastAsia" w:ascii="仿宋" w:hAnsi="仿宋" w:eastAsia="仿宋" w:cs="仿宋"/>
                <w:b/>
                <w:color w:val="000000"/>
                <w:sz w:val="24"/>
                <w:szCs w:val="24"/>
                <w:highlight w:val="none"/>
              </w:rPr>
              <w:t>技术部分</w:t>
            </w:r>
          </w:p>
        </w:tc>
        <w:tc>
          <w:tcPr>
            <w:tcW w:w="6050" w:type="dxa"/>
            <w:gridSpan w:val="2"/>
            <w:tcBorders>
              <w:top w:val="single" w:color="auto" w:sz="4" w:space="0"/>
              <w:bottom w:val="single" w:color="auto" w:sz="4" w:space="0"/>
            </w:tcBorders>
            <w:noWrap w:val="0"/>
            <w:vAlign w:val="center"/>
          </w:tcPr>
          <w:p w14:paraId="29232927">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修复及保护方案</w:t>
            </w:r>
          </w:p>
        </w:tc>
        <w:tc>
          <w:tcPr>
            <w:tcW w:w="900" w:type="dxa"/>
            <w:tcBorders>
              <w:top w:val="single" w:color="auto" w:sz="4" w:space="0"/>
              <w:bottom w:val="single" w:color="auto" w:sz="4" w:space="0"/>
            </w:tcBorders>
            <w:noWrap w:val="0"/>
            <w:vAlign w:val="top"/>
          </w:tcPr>
          <w:p w14:paraId="29DBA666">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c>
          <w:tcPr>
            <w:tcW w:w="858" w:type="dxa"/>
            <w:tcBorders>
              <w:top w:val="single" w:color="auto" w:sz="4" w:space="0"/>
              <w:bottom w:val="single" w:color="auto" w:sz="4" w:space="0"/>
            </w:tcBorders>
            <w:noWrap w:val="0"/>
            <w:vAlign w:val="top"/>
          </w:tcPr>
          <w:p w14:paraId="4D6C7E07">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r>
      <w:tr w14:paraId="04E9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14" w:type="dxa"/>
            <w:vMerge w:val="continue"/>
            <w:noWrap w:val="0"/>
            <w:vAlign w:val="center"/>
          </w:tcPr>
          <w:p w14:paraId="55F14474">
            <w:pPr>
              <w:keepNext w:val="0"/>
              <w:keepLines w:val="0"/>
              <w:suppressLineNumbers w:val="0"/>
              <w:spacing w:before="0" w:beforeAutospacing="0" w:after="0" w:afterAutospacing="0"/>
              <w:ind w:left="0" w:right="0"/>
              <w:rPr>
                <w:rFonts w:hint="eastAsia" w:ascii="仿宋" w:hAnsi="仿宋" w:eastAsia="仿宋" w:cs="仿宋"/>
                <w:sz w:val="24"/>
                <w:szCs w:val="32"/>
                <w:highlight w:val="none"/>
              </w:rPr>
            </w:pPr>
          </w:p>
        </w:tc>
        <w:tc>
          <w:tcPr>
            <w:tcW w:w="6050" w:type="dxa"/>
            <w:gridSpan w:val="2"/>
            <w:tcBorders>
              <w:top w:val="single" w:color="auto" w:sz="4" w:space="0"/>
              <w:bottom w:val="single" w:color="auto" w:sz="4" w:space="0"/>
            </w:tcBorders>
            <w:noWrap w:val="0"/>
            <w:vAlign w:val="center"/>
          </w:tcPr>
          <w:p w14:paraId="0B8A3FE6">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风险防范预案</w:t>
            </w:r>
          </w:p>
        </w:tc>
        <w:tc>
          <w:tcPr>
            <w:tcW w:w="900" w:type="dxa"/>
            <w:tcBorders>
              <w:top w:val="single" w:color="auto" w:sz="4" w:space="0"/>
              <w:bottom w:val="single" w:color="auto" w:sz="4" w:space="0"/>
            </w:tcBorders>
            <w:noWrap w:val="0"/>
            <w:vAlign w:val="top"/>
          </w:tcPr>
          <w:p w14:paraId="7715A7E3">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c>
          <w:tcPr>
            <w:tcW w:w="858" w:type="dxa"/>
            <w:tcBorders>
              <w:top w:val="single" w:color="auto" w:sz="4" w:space="0"/>
              <w:bottom w:val="single" w:color="auto" w:sz="4" w:space="0"/>
            </w:tcBorders>
            <w:noWrap w:val="0"/>
            <w:vAlign w:val="top"/>
          </w:tcPr>
          <w:p w14:paraId="032EFEDA">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r>
      <w:tr w14:paraId="7639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14" w:type="dxa"/>
            <w:vMerge w:val="continue"/>
            <w:noWrap w:val="0"/>
            <w:vAlign w:val="center"/>
          </w:tcPr>
          <w:p w14:paraId="2D10B30D">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c>
          <w:tcPr>
            <w:tcW w:w="6050" w:type="dxa"/>
            <w:gridSpan w:val="2"/>
            <w:tcBorders>
              <w:top w:val="single" w:color="auto" w:sz="4" w:space="0"/>
              <w:bottom w:val="single" w:color="auto" w:sz="4" w:space="0"/>
            </w:tcBorders>
            <w:noWrap w:val="0"/>
            <w:vAlign w:val="center"/>
          </w:tcPr>
          <w:p w14:paraId="296CAC9C">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应急处置方案</w:t>
            </w:r>
          </w:p>
        </w:tc>
        <w:tc>
          <w:tcPr>
            <w:tcW w:w="900" w:type="dxa"/>
            <w:tcBorders>
              <w:top w:val="single" w:color="auto" w:sz="4" w:space="0"/>
              <w:bottom w:val="single" w:color="auto" w:sz="4" w:space="0"/>
            </w:tcBorders>
            <w:noWrap w:val="0"/>
            <w:vAlign w:val="top"/>
          </w:tcPr>
          <w:p w14:paraId="4D62EE7A">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c>
          <w:tcPr>
            <w:tcW w:w="858" w:type="dxa"/>
            <w:tcBorders>
              <w:top w:val="single" w:color="auto" w:sz="4" w:space="0"/>
              <w:bottom w:val="single" w:color="auto" w:sz="4" w:space="0"/>
            </w:tcBorders>
            <w:noWrap w:val="0"/>
            <w:vAlign w:val="top"/>
          </w:tcPr>
          <w:p w14:paraId="13D237BB">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r>
      <w:tr w14:paraId="74CC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14" w:type="dxa"/>
            <w:vMerge w:val="continue"/>
            <w:tcBorders>
              <w:bottom w:val="single" w:color="auto" w:sz="4" w:space="0"/>
            </w:tcBorders>
            <w:noWrap w:val="0"/>
            <w:vAlign w:val="center"/>
          </w:tcPr>
          <w:p w14:paraId="3BC727CF">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c>
          <w:tcPr>
            <w:tcW w:w="6050" w:type="dxa"/>
            <w:gridSpan w:val="2"/>
            <w:tcBorders>
              <w:top w:val="single" w:color="auto" w:sz="4" w:space="0"/>
              <w:bottom w:val="single" w:color="auto" w:sz="4" w:space="0"/>
            </w:tcBorders>
            <w:noWrap w:val="0"/>
            <w:vAlign w:val="center"/>
          </w:tcPr>
          <w:p w14:paraId="442ECFBE">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违约承诺</w:t>
            </w:r>
          </w:p>
        </w:tc>
        <w:tc>
          <w:tcPr>
            <w:tcW w:w="900" w:type="dxa"/>
            <w:tcBorders>
              <w:top w:val="single" w:color="auto" w:sz="4" w:space="0"/>
              <w:bottom w:val="single" w:color="auto" w:sz="4" w:space="0"/>
            </w:tcBorders>
            <w:noWrap w:val="0"/>
            <w:vAlign w:val="top"/>
          </w:tcPr>
          <w:p w14:paraId="0067AFCF">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c>
          <w:tcPr>
            <w:tcW w:w="858" w:type="dxa"/>
            <w:tcBorders>
              <w:top w:val="single" w:color="auto" w:sz="4" w:space="0"/>
              <w:bottom w:val="single" w:color="auto" w:sz="4" w:space="0"/>
            </w:tcBorders>
            <w:noWrap w:val="0"/>
            <w:vAlign w:val="top"/>
          </w:tcPr>
          <w:p w14:paraId="78F66BEA">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r>
      <w:tr w14:paraId="4018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14" w:type="dxa"/>
            <w:vMerge w:val="restart"/>
            <w:tcBorders>
              <w:top w:val="single" w:color="auto" w:sz="4" w:space="0"/>
              <w:bottom w:val="single" w:color="auto" w:sz="4" w:space="0"/>
            </w:tcBorders>
            <w:noWrap w:val="0"/>
            <w:vAlign w:val="center"/>
          </w:tcPr>
          <w:p w14:paraId="591DBDD4">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商务部分</w:t>
            </w:r>
          </w:p>
        </w:tc>
        <w:tc>
          <w:tcPr>
            <w:tcW w:w="6050" w:type="dxa"/>
            <w:gridSpan w:val="2"/>
            <w:tcBorders>
              <w:top w:val="single" w:color="auto" w:sz="4" w:space="0"/>
              <w:bottom w:val="single" w:color="auto" w:sz="4" w:space="0"/>
            </w:tcBorders>
            <w:noWrap w:val="0"/>
            <w:vAlign w:val="center"/>
          </w:tcPr>
          <w:p w14:paraId="47C223AC">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投标人同类项目业绩情况</w:t>
            </w:r>
          </w:p>
        </w:tc>
        <w:tc>
          <w:tcPr>
            <w:tcW w:w="900" w:type="dxa"/>
            <w:tcBorders>
              <w:top w:val="single" w:color="auto" w:sz="4" w:space="0"/>
              <w:bottom w:val="single" w:color="auto" w:sz="4" w:space="0"/>
            </w:tcBorders>
            <w:noWrap w:val="0"/>
            <w:vAlign w:val="top"/>
          </w:tcPr>
          <w:p w14:paraId="47204E55">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c>
          <w:tcPr>
            <w:tcW w:w="858" w:type="dxa"/>
            <w:tcBorders>
              <w:top w:val="single" w:color="auto" w:sz="4" w:space="0"/>
              <w:bottom w:val="single" w:color="auto" w:sz="4" w:space="0"/>
            </w:tcBorders>
            <w:noWrap w:val="0"/>
            <w:vAlign w:val="top"/>
          </w:tcPr>
          <w:p w14:paraId="1E86025C">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r>
      <w:tr w14:paraId="0633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14" w:type="dxa"/>
            <w:vMerge w:val="continue"/>
            <w:tcBorders>
              <w:top w:val="single" w:color="auto" w:sz="4" w:space="0"/>
              <w:bottom w:val="single" w:color="auto" w:sz="4" w:space="0"/>
            </w:tcBorders>
            <w:noWrap w:val="0"/>
            <w:vAlign w:val="center"/>
          </w:tcPr>
          <w:p w14:paraId="6D26A953">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c>
          <w:tcPr>
            <w:tcW w:w="6050" w:type="dxa"/>
            <w:gridSpan w:val="2"/>
            <w:tcBorders>
              <w:top w:val="single" w:color="auto" w:sz="4" w:space="0"/>
              <w:bottom w:val="single" w:color="auto" w:sz="4" w:space="0"/>
            </w:tcBorders>
            <w:noWrap w:val="0"/>
            <w:vAlign w:val="center"/>
          </w:tcPr>
          <w:p w14:paraId="588648AB">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人员配备</w:t>
            </w:r>
          </w:p>
        </w:tc>
        <w:tc>
          <w:tcPr>
            <w:tcW w:w="900" w:type="dxa"/>
            <w:tcBorders>
              <w:top w:val="single" w:color="auto" w:sz="4" w:space="0"/>
              <w:bottom w:val="single" w:color="auto" w:sz="4" w:space="0"/>
            </w:tcBorders>
            <w:noWrap w:val="0"/>
            <w:vAlign w:val="top"/>
          </w:tcPr>
          <w:p w14:paraId="40A9D649">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c>
          <w:tcPr>
            <w:tcW w:w="858" w:type="dxa"/>
            <w:tcBorders>
              <w:top w:val="single" w:color="auto" w:sz="4" w:space="0"/>
              <w:bottom w:val="single" w:color="auto" w:sz="4" w:space="0"/>
            </w:tcBorders>
            <w:noWrap w:val="0"/>
            <w:vAlign w:val="top"/>
          </w:tcPr>
          <w:p w14:paraId="666C1F8E">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r>
      <w:tr w14:paraId="037E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14" w:type="dxa"/>
            <w:vMerge w:val="continue"/>
            <w:tcBorders>
              <w:top w:val="single" w:color="auto" w:sz="4" w:space="0"/>
              <w:bottom w:val="single" w:color="auto" w:sz="4" w:space="0"/>
            </w:tcBorders>
            <w:noWrap w:val="0"/>
            <w:vAlign w:val="center"/>
          </w:tcPr>
          <w:p w14:paraId="12D3E9BB">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c>
          <w:tcPr>
            <w:tcW w:w="6050" w:type="dxa"/>
            <w:gridSpan w:val="2"/>
            <w:tcBorders>
              <w:top w:val="single" w:color="auto" w:sz="4" w:space="0"/>
              <w:bottom w:val="single" w:color="auto" w:sz="4" w:space="0"/>
            </w:tcBorders>
            <w:noWrap w:val="0"/>
            <w:vAlign w:val="center"/>
          </w:tcPr>
          <w:p w14:paraId="349E3959">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拟投入仪器、设备</w:t>
            </w:r>
          </w:p>
        </w:tc>
        <w:tc>
          <w:tcPr>
            <w:tcW w:w="900" w:type="dxa"/>
            <w:tcBorders>
              <w:top w:val="single" w:color="auto" w:sz="4" w:space="0"/>
              <w:bottom w:val="single" w:color="auto" w:sz="4" w:space="0"/>
            </w:tcBorders>
            <w:noWrap w:val="0"/>
            <w:vAlign w:val="top"/>
          </w:tcPr>
          <w:p w14:paraId="2C4058F2">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c>
          <w:tcPr>
            <w:tcW w:w="858" w:type="dxa"/>
            <w:tcBorders>
              <w:top w:val="single" w:color="auto" w:sz="4" w:space="0"/>
              <w:bottom w:val="single" w:color="auto" w:sz="4" w:space="0"/>
            </w:tcBorders>
            <w:noWrap w:val="0"/>
            <w:vAlign w:val="top"/>
          </w:tcPr>
          <w:p w14:paraId="543EA2C7">
            <w:pPr>
              <w:keepNext w:val="0"/>
              <w:keepLines w:val="0"/>
              <w:suppressLineNumbers w:val="0"/>
              <w:spacing w:before="0" w:beforeAutospacing="0" w:after="0" w:afterAutospacing="0"/>
              <w:ind w:left="0" w:right="0"/>
              <w:jc w:val="center"/>
              <w:rPr>
                <w:rFonts w:hint="eastAsia" w:ascii="仿宋" w:hAnsi="仿宋" w:eastAsia="仿宋" w:cs="仿宋"/>
                <w:b/>
                <w:color w:val="000000"/>
                <w:sz w:val="24"/>
                <w:szCs w:val="24"/>
                <w:highlight w:val="none"/>
              </w:rPr>
            </w:pPr>
          </w:p>
        </w:tc>
      </w:tr>
    </w:tbl>
    <w:p w14:paraId="0DA79BC9">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注：</w:t>
      </w:r>
    </w:p>
    <w:p w14:paraId="0EFA7BFF">
      <w:pPr>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1.对于</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lang w:eastAsia="zh-CN"/>
        </w:rPr>
        <w:t>投标人自查情况</w:t>
      </w: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lang w:eastAsia="zh-CN"/>
        </w:rPr>
        <w:t>，请投标人根据检查项目认真自查，并参照示例填写“存在</w:t>
      </w:r>
      <w:r>
        <w:rPr>
          <w:rFonts w:hint="eastAsia" w:ascii="仿宋" w:hAnsi="仿宋" w:eastAsia="仿宋" w:cs="仿宋"/>
          <w:sz w:val="24"/>
          <w:szCs w:val="24"/>
          <w:highlight w:val="none"/>
          <w:lang w:val="en-US" w:eastAsia="zh-CN"/>
        </w:rPr>
        <w:t>/不存在</w:t>
      </w:r>
      <w:r>
        <w:rPr>
          <w:rFonts w:hint="eastAsia" w:ascii="仿宋" w:hAnsi="仿宋" w:eastAsia="仿宋" w:cs="仿宋"/>
          <w:sz w:val="24"/>
          <w:szCs w:val="24"/>
          <w:highlight w:val="none"/>
          <w:lang w:eastAsia="zh-CN"/>
        </w:rPr>
        <w:t>”，如填写“存在”将可能导致投标人</w:t>
      </w:r>
      <w:r>
        <w:rPr>
          <w:rFonts w:hint="eastAsia" w:ascii="仿宋" w:hAnsi="仿宋" w:eastAsia="仿宋" w:cs="仿宋"/>
          <w:b/>
          <w:bCs/>
          <w:color w:val="FF0000"/>
          <w:sz w:val="24"/>
          <w:szCs w:val="24"/>
          <w:highlight w:val="none"/>
          <w:lang w:eastAsia="zh-CN"/>
        </w:rPr>
        <w:t>符合性审查不通过</w:t>
      </w:r>
      <w:r>
        <w:rPr>
          <w:rFonts w:hint="eastAsia" w:ascii="仿宋" w:hAnsi="仿宋" w:eastAsia="仿宋" w:cs="仿宋"/>
          <w:sz w:val="24"/>
          <w:szCs w:val="24"/>
          <w:highlight w:val="none"/>
          <w:lang w:eastAsia="zh-CN"/>
        </w:rPr>
        <w:t>；</w:t>
      </w:r>
    </w:p>
    <w:p w14:paraId="573A720E">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对于“</w:t>
      </w:r>
      <w:r>
        <w:rPr>
          <w:rFonts w:hint="eastAsia" w:ascii="仿宋" w:hAnsi="仿宋" w:eastAsia="仿宋" w:cs="仿宋"/>
          <w:b/>
          <w:sz w:val="24"/>
          <w:szCs w:val="24"/>
          <w:highlight w:val="none"/>
        </w:rPr>
        <w:t>综合评分指引”</w:t>
      </w:r>
      <w:r>
        <w:rPr>
          <w:rFonts w:hint="eastAsia" w:ascii="仿宋" w:hAnsi="仿宋" w:eastAsia="仿宋" w:cs="仿宋"/>
          <w:sz w:val="24"/>
          <w:szCs w:val="24"/>
          <w:highlight w:val="none"/>
        </w:rPr>
        <w:t>请投标人按照第二册第二章的</w:t>
      </w:r>
      <w:r>
        <w:rPr>
          <w:rFonts w:hint="eastAsia" w:ascii="仿宋" w:hAnsi="仿宋" w:eastAsia="仿宋" w:cs="仿宋"/>
          <w:b/>
          <w:sz w:val="24"/>
          <w:szCs w:val="24"/>
          <w:highlight w:val="none"/>
        </w:rPr>
        <w:t>《评标信息》</w:t>
      </w:r>
      <w:r>
        <w:rPr>
          <w:rFonts w:hint="eastAsia" w:ascii="仿宋" w:hAnsi="仿宋" w:eastAsia="仿宋" w:cs="仿宋"/>
          <w:sz w:val="24"/>
          <w:szCs w:val="24"/>
          <w:highlight w:val="none"/>
        </w:rPr>
        <w:t>的评分要求，根据各评分项目以</w:t>
      </w:r>
      <w:r>
        <w:rPr>
          <w:rFonts w:hint="eastAsia" w:ascii="仿宋" w:hAnsi="仿宋" w:eastAsia="仿宋" w:cs="仿宋"/>
          <w:b/>
          <w:sz w:val="24"/>
          <w:szCs w:val="24"/>
          <w:highlight w:val="none"/>
        </w:rPr>
        <w:t>自上而下</w:t>
      </w:r>
      <w:r>
        <w:rPr>
          <w:rFonts w:hint="eastAsia" w:ascii="仿宋" w:hAnsi="仿宋" w:eastAsia="仿宋" w:cs="仿宋"/>
          <w:sz w:val="24"/>
          <w:szCs w:val="24"/>
          <w:highlight w:val="none"/>
        </w:rPr>
        <w:t>的顺序编制。因项目次序混乱而影响评标效率及评标结果者，投标人自负其责。</w:t>
      </w:r>
    </w:p>
    <w:p w14:paraId="7F64E127">
      <w:pPr>
        <w:pStyle w:val="13"/>
        <w:rPr>
          <w:rFonts w:hint="eastAsia" w:ascii="仿宋" w:hAnsi="仿宋" w:eastAsia="仿宋" w:cs="仿宋"/>
          <w:highlight w:val="none"/>
        </w:rPr>
      </w:pPr>
    </w:p>
    <w:p w14:paraId="31F53817">
      <w:pPr>
        <w:pStyle w:val="4"/>
        <w:spacing w:before="120" w:after="120"/>
        <w:jc w:val="center"/>
        <w:outlineLvl w:val="2"/>
        <w:rPr>
          <w:rFonts w:hint="eastAsia" w:ascii="仿宋" w:hAnsi="仿宋" w:eastAsia="仿宋" w:cs="仿宋"/>
          <w:b/>
          <w:bCs/>
          <w:sz w:val="28"/>
          <w:szCs w:val="28"/>
          <w:highlight w:val="none"/>
        </w:rPr>
      </w:pPr>
      <w:r>
        <w:rPr>
          <w:rFonts w:hint="eastAsia" w:ascii="仿宋" w:hAnsi="仿宋" w:eastAsia="仿宋" w:cs="仿宋"/>
          <w:bCs w:val="0"/>
          <w:sz w:val="24"/>
          <w:highlight w:val="none"/>
        </w:rPr>
        <w:br w:type="page"/>
      </w:r>
      <w:bookmarkStart w:id="274" w:name="_Toc13362"/>
      <w:bookmarkStart w:id="275" w:name="_Toc124"/>
      <w:r>
        <w:rPr>
          <w:rFonts w:hint="eastAsia" w:ascii="仿宋" w:hAnsi="仿宋" w:eastAsia="仿宋" w:cs="仿宋"/>
          <w:b/>
          <w:bCs/>
          <w:sz w:val="28"/>
          <w:szCs w:val="28"/>
          <w:highlight w:val="none"/>
        </w:rPr>
        <w:t>二、开标一览表</w:t>
      </w:r>
      <w:bookmarkEnd w:id="274"/>
    </w:p>
    <w:tbl>
      <w:tblPr>
        <w:tblStyle w:val="43"/>
        <w:tblW w:w="4998"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2656"/>
        <w:gridCol w:w="2924"/>
        <w:gridCol w:w="1253"/>
      </w:tblGrid>
      <w:tr w14:paraId="25BE2A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842" w:type="pct"/>
            <w:tcBorders>
              <w:top w:val="double" w:color="auto" w:sz="4" w:space="0"/>
              <w:bottom w:val="single" w:color="auto" w:sz="4" w:space="0"/>
            </w:tcBorders>
            <w:noWrap w:val="0"/>
            <w:vAlign w:val="center"/>
          </w:tcPr>
          <w:p w14:paraId="0CB6E07C">
            <w:pPr>
              <w:keepNext w:val="0"/>
              <w:keepLines w:val="0"/>
              <w:suppressLineNumbers w:val="0"/>
              <w:spacing w:before="0" w:beforeAutospacing="0" w:after="0" w:afterAutospacing="0"/>
              <w:ind w:left="0" w:right="0"/>
              <w:jc w:val="center"/>
              <w:rPr>
                <w:rFonts w:hint="eastAsia" w:ascii="仿宋" w:hAnsi="仿宋" w:eastAsia="仿宋" w:cs="仿宋"/>
                <w:snapToGrid w:val="0"/>
                <w:kern w:val="0"/>
                <w:sz w:val="24"/>
                <w:szCs w:val="32"/>
                <w:highlight w:val="none"/>
              </w:rPr>
            </w:pPr>
            <w:r>
              <w:rPr>
                <w:rFonts w:hint="eastAsia" w:ascii="仿宋" w:hAnsi="仿宋" w:eastAsia="仿宋" w:cs="仿宋"/>
                <w:snapToGrid w:val="0"/>
                <w:kern w:val="0"/>
                <w:sz w:val="24"/>
                <w:szCs w:val="32"/>
                <w:highlight w:val="none"/>
              </w:rPr>
              <w:t>项目编号</w:t>
            </w:r>
          </w:p>
        </w:tc>
        <w:tc>
          <w:tcPr>
            <w:tcW w:w="1608" w:type="pct"/>
            <w:tcBorders>
              <w:top w:val="double" w:color="auto" w:sz="4" w:space="0"/>
              <w:bottom w:val="single" w:color="auto" w:sz="4" w:space="0"/>
            </w:tcBorders>
            <w:noWrap w:val="0"/>
            <w:vAlign w:val="center"/>
          </w:tcPr>
          <w:p w14:paraId="0CD17480">
            <w:pPr>
              <w:keepNext w:val="0"/>
              <w:keepLines w:val="0"/>
              <w:suppressLineNumbers w:val="0"/>
              <w:spacing w:before="0" w:beforeAutospacing="0" w:after="0" w:afterAutospacing="0"/>
              <w:ind w:left="0" w:right="0"/>
              <w:jc w:val="center"/>
              <w:rPr>
                <w:rFonts w:hint="eastAsia" w:ascii="仿宋" w:hAnsi="仿宋" w:eastAsia="仿宋" w:cs="仿宋"/>
                <w:snapToGrid w:val="0"/>
                <w:kern w:val="0"/>
                <w:sz w:val="24"/>
                <w:szCs w:val="32"/>
                <w:highlight w:val="none"/>
              </w:rPr>
            </w:pPr>
            <w:r>
              <w:rPr>
                <w:rFonts w:hint="eastAsia" w:ascii="仿宋" w:hAnsi="仿宋" w:eastAsia="仿宋" w:cs="仿宋"/>
                <w:snapToGrid w:val="0"/>
                <w:kern w:val="0"/>
                <w:sz w:val="24"/>
                <w:szCs w:val="32"/>
                <w:highlight w:val="none"/>
              </w:rPr>
              <w:t>项目名称</w:t>
            </w:r>
          </w:p>
        </w:tc>
        <w:tc>
          <w:tcPr>
            <w:tcW w:w="1765" w:type="pct"/>
            <w:tcBorders>
              <w:top w:val="double" w:color="auto" w:sz="4" w:space="0"/>
              <w:bottom w:val="single" w:color="auto" w:sz="4" w:space="0"/>
            </w:tcBorders>
            <w:noWrap w:val="0"/>
            <w:vAlign w:val="center"/>
          </w:tcPr>
          <w:p w14:paraId="4218E057">
            <w:pPr>
              <w:keepNext w:val="0"/>
              <w:keepLines w:val="0"/>
              <w:suppressLineNumbers w:val="0"/>
              <w:spacing w:before="0" w:beforeAutospacing="0" w:after="0" w:afterAutospacing="0"/>
              <w:ind w:left="0" w:right="0"/>
              <w:jc w:val="center"/>
              <w:rPr>
                <w:rFonts w:hint="eastAsia" w:ascii="仿宋" w:hAnsi="仿宋" w:eastAsia="仿宋" w:cs="仿宋"/>
                <w:snapToGrid w:val="0"/>
                <w:kern w:val="0"/>
                <w:sz w:val="24"/>
                <w:szCs w:val="32"/>
                <w:highlight w:val="none"/>
                <w:lang w:eastAsia="zh-CN"/>
              </w:rPr>
            </w:pPr>
            <w:r>
              <w:rPr>
                <w:rFonts w:hint="eastAsia" w:ascii="仿宋" w:hAnsi="仿宋" w:eastAsia="仿宋" w:cs="仿宋"/>
                <w:snapToGrid w:val="0"/>
                <w:kern w:val="0"/>
                <w:sz w:val="24"/>
                <w:szCs w:val="32"/>
                <w:highlight w:val="none"/>
              </w:rPr>
              <w:t>投标</w:t>
            </w:r>
            <w:r>
              <w:rPr>
                <w:rFonts w:hint="eastAsia" w:ascii="仿宋" w:hAnsi="仿宋" w:eastAsia="仿宋" w:cs="仿宋"/>
                <w:snapToGrid w:val="0"/>
                <w:kern w:val="0"/>
                <w:sz w:val="24"/>
                <w:szCs w:val="32"/>
                <w:highlight w:val="none"/>
                <w:lang w:val="en-US" w:eastAsia="zh-CN"/>
              </w:rPr>
              <w:t>折扣率</w:t>
            </w:r>
          </w:p>
        </w:tc>
        <w:tc>
          <w:tcPr>
            <w:tcW w:w="784" w:type="pct"/>
            <w:tcBorders>
              <w:top w:val="double" w:color="auto" w:sz="4" w:space="0"/>
              <w:bottom w:val="single" w:color="auto" w:sz="4" w:space="0"/>
            </w:tcBorders>
            <w:noWrap w:val="0"/>
            <w:vAlign w:val="center"/>
          </w:tcPr>
          <w:p w14:paraId="7DB43CA8">
            <w:pPr>
              <w:keepNext w:val="0"/>
              <w:keepLines w:val="0"/>
              <w:suppressLineNumbers w:val="0"/>
              <w:spacing w:before="0" w:beforeAutospacing="0" w:after="0" w:afterAutospacing="0"/>
              <w:ind w:left="0" w:right="0"/>
              <w:jc w:val="center"/>
              <w:rPr>
                <w:rFonts w:hint="eastAsia" w:ascii="仿宋" w:hAnsi="仿宋" w:eastAsia="仿宋" w:cs="仿宋"/>
                <w:snapToGrid w:val="0"/>
                <w:kern w:val="0"/>
                <w:sz w:val="24"/>
                <w:szCs w:val="32"/>
                <w:highlight w:val="none"/>
              </w:rPr>
            </w:pPr>
            <w:r>
              <w:rPr>
                <w:rFonts w:hint="eastAsia" w:ascii="仿宋" w:hAnsi="仿宋" w:eastAsia="仿宋" w:cs="仿宋"/>
                <w:snapToGrid w:val="0"/>
                <w:kern w:val="0"/>
                <w:sz w:val="24"/>
                <w:szCs w:val="32"/>
                <w:highlight w:val="none"/>
              </w:rPr>
              <w:t>备注</w:t>
            </w:r>
          </w:p>
        </w:tc>
      </w:tr>
      <w:tr w14:paraId="5C6E31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trPr>
        <w:tc>
          <w:tcPr>
            <w:tcW w:w="842" w:type="pct"/>
            <w:tcBorders>
              <w:top w:val="single" w:color="auto" w:sz="4" w:space="0"/>
            </w:tcBorders>
            <w:noWrap w:val="0"/>
            <w:vAlign w:val="center"/>
          </w:tcPr>
          <w:p w14:paraId="67239DA1">
            <w:pPr>
              <w:keepNext w:val="0"/>
              <w:keepLines w:val="0"/>
              <w:suppressLineNumbers w:val="0"/>
              <w:spacing w:before="0" w:beforeAutospacing="0" w:after="0" w:afterAutospacing="0"/>
              <w:ind w:left="0" w:right="0"/>
              <w:jc w:val="center"/>
              <w:rPr>
                <w:rFonts w:hint="eastAsia" w:ascii="仿宋" w:hAnsi="仿宋" w:eastAsia="仿宋" w:cs="仿宋"/>
                <w:snapToGrid w:val="0"/>
                <w:kern w:val="0"/>
                <w:highlight w:val="none"/>
                <w:u w:val="single"/>
              </w:rPr>
            </w:pPr>
            <w:r>
              <w:rPr>
                <w:rFonts w:hint="eastAsia" w:ascii="仿宋" w:hAnsi="仿宋" w:eastAsia="仿宋" w:cs="仿宋"/>
                <w:snapToGrid w:val="0"/>
                <w:kern w:val="0"/>
                <w:highlight w:val="none"/>
                <w:u w:val="single"/>
              </w:rPr>
              <w:t>UHOSZC20250792</w:t>
            </w:r>
          </w:p>
        </w:tc>
        <w:tc>
          <w:tcPr>
            <w:tcW w:w="1608" w:type="pct"/>
            <w:tcBorders>
              <w:top w:val="single" w:color="auto" w:sz="4" w:space="0"/>
            </w:tcBorders>
            <w:noWrap w:val="0"/>
            <w:vAlign w:val="center"/>
          </w:tcPr>
          <w:p w14:paraId="725BB0C0">
            <w:pPr>
              <w:keepNext w:val="0"/>
              <w:keepLines w:val="0"/>
              <w:suppressLineNumbers w:val="0"/>
              <w:spacing w:before="0" w:beforeAutospacing="0" w:after="0" w:afterAutospacing="0"/>
              <w:ind w:left="0" w:right="0"/>
              <w:rPr>
                <w:rFonts w:hint="eastAsia" w:ascii="仿宋" w:hAnsi="仿宋" w:eastAsia="仿宋" w:cs="仿宋"/>
                <w:snapToGrid w:val="0"/>
                <w:kern w:val="0"/>
                <w:highlight w:val="none"/>
                <w:u w:val="single"/>
                <w:lang w:eastAsia="zh-CN"/>
              </w:rPr>
            </w:pPr>
            <w:r>
              <w:rPr>
                <w:rFonts w:hint="eastAsia" w:ascii="仿宋" w:hAnsi="仿宋" w:eastAsia="仿宋" w:cs="仿宋"/>
                <w:snapToGrid w:val="0"/>
                <w:kern w:val="0"/>
                <w:highlight w:val="none"/>
                <w:u w:val="none"/>
                <w:lang w:eastAsia="zh-CN"/>
              </w:rPr>
              <w:t>深圳自然博物馆展品征集（古生物标本修复）服务</w:t>
            </w:r>
          </w:p>
        </w:tc>
        <w:tc>
          <w:tcPr>
            <w:tcW w:w="1765" w:type="pct"/>
            <w:tcBorders>
              <w:top w:val="single" w:color="auto" w:sz="4" w:space="0"/>
            </w:tcBorders>
            <w:noWrap w:val="0"/>
            <w:vAlign w:val="center"/>
          </w:tcPr>
          <w:p w14:paraId="7D6D82A4">
            <w:pPr>
              <w:keepNext w:val="0"/>
              <w:keepLines w:val="0"/>
              <w:suppressLineNumbers w:val="0"/>
              <w:spacing w:before="0" w:beforeAutospacing="0" w:after="0" w:afterAutospacing="0"/>
              <w:ind w:left="0" w:right="0"/>
              <w:rPr>
                <w:rFonts w:hint="eastAsia" w:ascii="仿宋" w:hAnsi="仿宋" w:eastAsia="仿宋" w:cs="仿宋"/>
                <w:snapToGrid w:val="0"/>
                <w:kern w:val="0"/>
                <w:highlight w:val="none"/>
              </w:rPr>
            </w:pPr>
          </w:p>
        </w:tc>
        <w:tc>
          <w:tcPr>
            <w:tcW w:w="784" w:type="pct"/>
            <w:tcBorders>
              <w:top w:val="single" w:color="auto" w:sz="4" w:space="0"/>
            </w:tcBorders>
            <w:noWrap w:val="0"/>
            <w:vAlign w:val="center"/>
          </w:tcPr>
          <w:p w14:paraId="0451B736">
            <w:pPr>
              <w:keepNext w:val="0"/>
              <w:keepLines w:val="0"/>
              <w:suppressLineNumbers w:val="0"/>
              <w:spacing w:before="0" w:beforeAutospacing="0" w:after="0" w:afterAutospacing="0"/>
              <w:ind w:left="0" w:right="0"/>
              <w:jc w:val="center"/>
              <w:rPr>
                <w:rFonts w:hint="eastAsia" w:ascii="仿宋" w:hAnsi="仿宋" w:eastAsia="仿宋" w:cs="仿宋"/>
                <w:snapToGrid w:val="0"/>
                <w:kern w:val="0"/>
                <w:highlight w:val="none"/>
              </w:rPr>
            </w:pPr>
          </w:p>
        </w:tc>
      </w:tr>
    </w:tbl>
    <w:p w14:paraId="5C71245F">
      <w:pPr>
        <w:ind w:firstLine="420"/>
        <w:rPr>
          <w:rFonts w:hint="eastAsia" w:ascii="仿宋" w:hAnsi="仿宋" w:eastAsia="仿宋" w:cs="仿宋"/>
          <w:snapToGrid w:val="0"/>
          <w:color w:val="000000"/>
          <w:kern w:val="0"/>
          <w:highlight w:val="none"/>
        </w:rPr>
      </w:pPr>
      <w:r>
        <w:rPr>
          <w:rFonts w:hint="eastAsia" w:ascii="仿宋" w:hAnsi="仿宋" w:eastAsia="仿宋" w:cs="仿宋"/>
          <w:snapToGrid w:val="0"/>
          <w:color w:val="000000"/>
          <w:kern w:val="0"/>
          <w:highlight w:val="none"/>
        </w:rPr>
        <w:t>注：</w:t>
      </w:r>
    </w:p>
    <w:p w14:paraId="593DB952">
      <w:pPr>
        <w:ind w:firstLine="420" w:firstLineChars="200"/>
        <w:rPr>
          <w:rFonts w:hint="eastAsia" w:ascii="仿宋" w:hAnsi="仿宋" w:eastAsia="仿宋" w:cs="仿宋"/>
          <w:color w:val="000000"/>
          <w:highlight w:val="none"/>
        </w:rPr>
      </w:pPr>
      <w:r>
        <w:rPr>
          <w:rFonts w:hint="eastAsia" w:ascii="仿宋" w:hAnsi="仿宋" w:eastAsia="仿宋" w:cs="仿宋"/>
          <w:snapToGrid w:val="0"/>
          <w:color w:val="000000"/>
          <w:kern w:val="0"/>
          <w:highlight w:val="none"/>
          <w:lang w:val="en-US" w:eastAsia="zh-CN"/>
        </w:rPr>
        <w:t>1</w:t>
      </w:r>
      <w:r>
        <w:rPr>
          <w:rFonts w:hint="eastAsia" w:ascii="仿宋" w:hAnsi="仿宋" w:eastAsia="仿宋" w:cs="仿宋"/>
          <w:snapToGrid w:val="0"/>
          <w:color w:val="000000"/>
          <w:kern w:val="0"/>
          <w:highlight w:val="none"/>
        </w:rPr>
        <w:t>.投标人如果需要对报价或其他内容加以说明，可在备注栏填写。</w:t>
      </w:r>
    </w:p>
    <w:p w14:paraId="31FB7E3B">
      <w:pPr>
        <w:ind w:firstLine="422" w:firstLineChars="200"/>
        <w:rPr>
          <w:rFonts w:hint="eastAsia" w:ascii="仿宋" w:hAnsi="仿宋" w:eastAsia="仿宋" w:cs="仿宋"/>
          <w:b/>
          <w:snapToGrid w:val="0"/>
          <w:color w:val="000000"/>
          <w:kern w:val="0"/>
          <w:highlight w:val="none"/>
        </w:rPr>
      </w:pPr>
      <w:r>
        <w:rPr>
          <w:rFonts w:hint="eastAsia" w:ascii="仿宋" w:hAnsi="仿宋" w:eastAsia="仿宋" w:cs="仿宋"/>
          <w:b/>
          <w:snapToGrid w:val="0"/>
          <w:color w:val="000000"/>
          <w:kern w:val="0"/>
          <w:highlight w:val="none"/>
          <w:lang w:val="en-US" w:eastAsia="zh-CN"/>
        </w:rPr>
        <w:t>2</w:t>
      </w:r>
      <w:r>
        <w:rPr>
          <w:rFonts w:hint="eastAsia" w:ascii="仿宋" w:hAnsi="仿宋" w:eastAsia="仿宋" w:cs="仿宋"/>
          <w:b/>
          <w:snapToGrid w:val="0"/>
          <w:color w:val="000000"/>
          <w:kern w:val="0"/>
          <w:highlight w:val="none"/>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43375FD">
      <w:pPr>
        <w:ind w:firstLine="422" w:firstLineChars="200"/>
        <w:rPr>
          <w:rFonts w:hint="eastAsia" w:ascii="仿宋" w:hAnsi="仿宋" w:eastAsia="仿宋" w:cs="仿宋"/>
          <w:b/>
          <w:snapToGrid w:val="0"/>
          <w:color w:val="000000"/>
          <w:kern w:val="0"/>
          <w:highlight w:val="none"/>
        </w:rPr>
      </w:pPr>
      <w:r>
        <w:rPr>
          <w:rFonts w:hint="eastAsia" w:ascii="仿宋" w:hAnsi="仿宋" w:eastAsia="仿宋" w:cs="仿宋"/>
          <w:b/>
          <w:snapToGrid w:val="0"/>
          <w:color w:val="000000"/>
          <w:kern w:val="0"/>
          <w:highlight w:val="none"/>
          <w:lang w:val="en-US" w:eastAsia="zh-CN"/>
        </w:rPr>
        <w:t>3</w:t>
      </w:r>
      <w:r>
        <w:rPr>
          <w:rFonts w:hint="eastAsia" w:ascii="仿宋" w:hAnsi="仿宋" w:eastAsia="仿宋" w:cs="仿宋"/>
          <w:b/>
          <w:snapToGrid w:val="0"/>
          <w:color w:val="000000"/>
          <w:kern w:val="0"/>
          <w:highlight w:val="none"/>
        </w:rPr>
        <w:t>.《开标一览表》未按招标文件规定签字、盖章、密封的，将导致废标。</w:t>
      </w:r>
    </w:p>
    <w:p w14:paraId="6C1AA908">
      <w:pPr>
        <w:snapToGrid w:val="0"/>
        <w:ind w:firstLine="420" w:firstLineChars="200"/>
        <w:rPr>
          <w:rFonts w:hint="eastAsia" w:ascii="仿宋" w:hAnsi="仿宋" w:eastAsia="仿宋" w:cs="仿宋"/>
          <w:color w:val="FF0000"/>
          <w:highlight w:val="none"/>
        </w:rPr>
      </w:pPr>
      <w:r>
        <w:rPr>
          <w:rFonts w:hint="eastAsia" w:ascii="仿宋" w:hAnsi="仿宋" w:eastAsia="仿宋" w:cs="仿宋"/>
          <w:color w:val="FF0000"/>
          <w:highlight w:val="none"/>
          <w:lang w:val="en-US" w:eastAsia="zh-CN"/>
        </w:rPr>
        <w:t>4</w:t>
      </w:r>
      <w:r>
        <w:rPr>
          <w:rFonts w:hint="eastAsia" w:ascii="仿宋" w:hAnsi="仿宋" w:eastAsia="仿宋" w:cs="仿宋"/>
          <w:color w:val="FF0000"/>
          <w:highlight w:val="none"/>
        </w:rPr>
        <w:t>.本项目由投标供应商根据各类别、面积标本修复基准价报整体折扣率，单件标本修复结算价=对应类别、面积标本修复基准价*折扣率。</w:t>
      </w:r>
    </w:p>
    <w:p w14:paraId="32621BFC">
      <w:pPr>
        <w:snapToGrid w:val="0"/>
        <w:ind w:firstLine="420" w:firstLineChars="200"/>
        <w:rPr>
          <w:rFonts w:hint="eastAsia" w:ascii="仿宋" w:hAnsi="仿宋" w:eastAsia="仿宋" w:cs="仿宋"/>
          <w:color w:val="FF0000"/>
          <w:highlight w:val="none"/>
        </w:rPr>
      </w:pPr>
      <w:r>
        <w:rPr>
          <w:rFonts w:hint="eastAsia" w:ascii="仿宋" w:hAnsi="仿宋" w:eastAsia="仿宋" w:cs="仿宋"/>
          <w:color w:val="FF0000"/>
          <w:highlight w:val="none"/>
        </w:rPr>
        <w:t xml:space="preserve">（1）填写要求：0＜折扣率≤1，未按此要求填写将视为无效投标； </w:t>
      </w:r>
    </w:p>
    <w:p w14:paraId="647F9EAA">
      <w:pPr>
        <w:snapToGrid w:val="0"/>
        <w:ind w:firstLine="420" w:firstLineChars="200"/>
        <w:rPr>
          <w:rFonts w:hint="eastAsia" w:ascii="仿宋" w:hAnsi="仿宋" w:eastAsia="仿宋" w:cs="仿宋"/>
          <w:color w:val="FF0000"/>
          <w:highlight w:val="none"/>
        </w:rPr>
      </w:pPr>
      <w:r>
        <w:rPr>
          <w:rFonts w:hint="eastAsia" w:ascii="仿宋" w:hAnsi="仿宋" w:eastAsia="仿宋" w:cs="仿宋"/>
          <w:color w:val="FF0000"/>
          <w:highlight w:val="none"/>
        </w:rPr>
        <w:t>（2）填写的“折扣率”应为两位小数；如0.99、0.85、0.80等；</w:t>
      </w:r>
    </w:p>
    <w:p w14:paraId="49D874CB">
      <w:pPr>
        <w:snapToGrid w:val="0"/>
        <w:ind w:firstLine="420" w:firstLineChars="200"/>
        <w:rPr>
          <w:rFonts w:hint="eastAsia" w:ascii="仿宋" w:hAnsi="仿宋" w:eastAsia="仿宋" w:cs="仿宋"/>
          <w:color w:val="FF0000"/>
          <w:highlight w:val="none"/>
        </w:rPr>
      </w:pPr>
      <w:r>
        <w:rPr>
          <w:rFonts w:hint="eastAsia" w:ascii="仿宋" w:hAnsi="仿宋" w:eastAsia="仿宋" w:cs="仿宋"/>
          <w:color w:val="FF0000"/>
          <w:highlight w:val="none"/>
        </w:rPr>
        <w:t>（3）投标人参与投标只允许填报唯一1个“折扣率”，不允许填报2个（或以上）的“折扣率”；填报了2个或以上“折扣率”的，其投标将直接作投标无效处理；</w:t>
      </w:r>
    </w:p>
    <w:p w14:paraId="432CBA46">
      <w:pPr>
        <w:snapToGrid w:val="0"/>
        <w:ind w:firstLine="420" w:firstLineChars="200"/>
        <w:rPr>
          <w:rFonts w:hint="eastAsia" w:ascii="仿宋" w:hAnsi="仿宋" w:eastAsia="仿宋" w:cs="仿宋"/>
          <w:color w:val="FF0000"/>
          <w:szCs w:val="21"/>
          <w:highlight w:val="none"/>
        </w:rPr>
      </w:pPr>
      <w:r>
        <w:rPr>
          <w:rFonts w:hint="eastAsia" w:ascii="仿宋" w:hAnsi="仿宋" w:eastAsia="仿宋" w:cs="仿宋"/>
          <w:color w:val="FF0000"/>
          <w:highlight w:val="none"/>
        </w:rPr>
        <w:t>（4）“折扣率”缺填、漏填的将直接作投标无效处理。</w:t>
      </w:r>
    </w:p>
    <w:p w14:paraId="5B59E225">
      <w:pPr>
        <w:ind w:firstLine="420"/>
        <w:jc w:val="left"/>
        <w:rPr>
          <w:rFonts w:hint="eastAsia" w:ascii="仿宋" w:hAnsi="仿宋" w:eastAsia="仿宋" w:cs="仿宋"/>
          <w:color w:val="000000"/>
          <w:highlight w:val="none"/>
        </w:rPr>
      </w:pPr>
    </w:p>
    <w:p w14:paraId="3A97A0CA">
      <w:pPr>
        <w:ind w:firstLine="420"/>
        <w:jc w:val="left"/>
        <w:rPr>
          <w:rFonts w:hint="eastAsia" w:ascii="仿宋" w:hAnsi="仿宋" w:eastAsia="仿宋" w:cs="仿宋"/>
          <w:color w:val="000000"/>
          <w:highlight w:val="none"/>
        </w:rPr>
      </w:pPr>
    </w:p>
    <w:p w14:paraId="559D160C">
      <w:pPr>
        <w:ind w:firstLine="3150" w:firstLineChars="1500"/>
        <w:jc w:val="left"/>
        <w:rPr>
          <w:rFonts w:hint="eastAsia" w:ascii="仿宋" w:hAnsi="仿宋" w:eastAsia="仿宋" w:cs="仿宋"/>
          <w:color w:val="000000"/>
          <w:highlight w:val="none"/>
        </w:rPr>
      </w:pPr>
      <w:r>
        <w:rPr>
          <w:rFonts w:hint="eastAsia" w:ascii="仿宋" w:hAnsi="仿宋" w:eastAsia="仿宋" w:cs="仿宋"/>
          <w:color w:val="000000"/>
          <w:highlight w:val="none"/>
        </w:rPr>
        <w:t>法定代表人或其授权委托人（</w:t>
      </w:r>
      <w:r>
        <w:rPr>
          <w:rFonts w:hint="eastAsia" w:ascii="仿宋" w:hAnsi="仿宋" w:eastAsia="仿宋" w:cs="仿宋"/>
          <w:b/>
          <w:color w:val="000000"/>
          <w:highlight w:val="none"/>
        </w:rPr>
        <w:t>签名或盖私章</w:t>
      </w:r>
      <w:r>
        <w:rPr>
          <w:rFonts w:hint="eastAsia" w:ascii="仿宋" w:hAnsi="仿宋" w:eastAsia="仿宋" w:cs="仿宋"/>
          <w:color w:val="000000"/>
          <w:highlight w:val="none"/>
        </w:rPr>
        <w:t>）：</w:t>
      </w:r>
    </w:p>
    <w:p w14:paraId="701959DA">
      <w:pPr>
        <w:jc w:val="left"/>
        <w:rPr>
          <w:rFonts w:hint="eastAsia" w:ascii="仿宋" w:hAnsi="仿宋" w:eastAsia="仿宋" w:cs="仿宋"/>
          <w:color w:val="000000"/>
          <w:highlight w:val="none"/>
        </w:rPr>
      </w:pPr>
    </w:p>
    <w:p w14:paraId="47797D96">
      <w:pPr>
        <w:ind w:firstLine="3150" w:firstLineChars="1500"/>
        <w:jc w:val="left"/>
        <w:rPr>
          <w:rFonts w:hint="eastAsia" w:ascii="仿宋" w:hAnsi="仿宋" w:eastAsia="仿宋" w:cs="仿宋"/>
          <w:color w:val="000000"/>
          <w:highlight w:val="none"/>
        </w:rPr>
      </w:pPr>
      <w:r>
        <w:rPr>
          <w:rFonts w:hint="eastAsia" w:ascii="仿宋" w:hAnsi="仿宋" w:eastAsia="仿宋" w:cs="仿宋"/>
          <w:color w:val="000000"/>
          <w:highlight w:val="none"/>
        </w:rPr>
        <w:t>投标单位（</w:t>
      </w:r>
      <w:r>
        <w:rPr>
          <w:rFonts w:hint="eastAsia" w:ascii="仿宋" w:hAnsi="仿宋" w:eastAsia="仿宋" w:cs="仿宋"/>
          <w:b/>
          <w:color w:val="000000"/>
          <w:highlight w:val="none"/>
        </w:rPr>
        <w:t>盖公章</w:t>
      </w:r>
      <w:r>
        <w:rPr>
          <w:rFonts w:hint="eastAsia" w:ascii="仿宋" w:hAnsi="仿宋" w:eastAsia="仿宋" w:cs="仿宋"/>
          <w:color w:val="000000"/>
          <w:highlight w:val="none"/>
        </w:rPr>
        <w:t>）：</w:t>
      </w:r>
    </w:p>
    <w:p w14:paraId="434F39BA">
      <w:pPr>
        <w:jc w:val="left"/>
        <w:rPr>
          <w:rFonts w:hint="eastAsia" w:ascii="仿宋" w:hAnsi="仿宋" w:eastAsia="仿宋" w:cs="仿宋"/>
          <w:color w:val="000000"/>
          <w:highlight w:val="none"/>
        </w:rPr>
      </w:pPr>
    </w:p>
    <w:p w14:paraId="0949130E">
      <w:pPr>
        <w:jc w:val="right"/>
        <w:rPr>
          <w:rFonts w:hint="eastAsia" w:ascii="仿宋" w:hAnsi="仿宋" w:eastAsia="仿宋" w:cs="仿宋"/>
          <w:color w:val="000000"/>
          <w:highlight w:val="none"/>
        </w:rPr>
      </w:pPr>
      <w:r>
        <w:rPr>
          <w:rFonts w:hint="eastAsia" w:ascii="仿宋" w:hAnsi="仿宋" w:eastAsia="仿宋" w:cs="仿宋"/>
          <w:color w:val="000000"/>
          <w:highlight w:val="none"/>
        </w:rPr>
        <w:t>日期：    年  月  日</w:t>
      </w:r>
    </w:p>
    <w:p w14:paraId="03F06FAA">
      <w:pPr>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br w:type="page"/>
      </w:r>
    </w:p>
    <w:p w14:paraId="56F5557F">
      <w:pPr>
        <w:pStyle w:val="4"/>
        <w:spacing w:before="120" w:after="120"/>
        <w:jc w:val="center"/>
        <w:outlineLvl w:val="2"/>
        <w:rPr>
          <w:rFonts w:hint="eastAsia" w:ascii="仿宋" w:hAnsi="仿宋" w:eastAsia="仿宋" w:cs="仿宋"/>
          <w:highlight w:val="none"/>
        </w:rPr>
      </w:pPr>
      <w:bookmarkStart w:id="276" w:name="_Toc14135"/>
      <w:r>
        <w:rPr>
          <w:rFonts w:hint="eastAsia" w:ascii="仿宋" w:hAnsi="仿宋" w:eastAsia="仿宋" w:cs="仿宋"/>
          <w:b/>
          <w:bCs/>
          <w:sz w:val="28"/>
          <w:szCs w:val="28"/>
          <w:highlight w:val="none"/>
          <w:lang w:eastAsia="zh-CN"/>
        </w:rPr>
        <w:t>三、投标函</w:t>
      </w:r>
      <w:r>
        <w:rPr>
          <w:rFonts w:hint="eastAsia" w:ascii="仿宋" w:hAnsi="仿宋" w:eastAsia="仿宋" w:cs="仿宋"/>
          <w:b/>
          <w:bCs/>
          <w:sz w:val="28"/>
          <w:szCs w:val="28"/>
          <w:highlight w:val="none"/>
        </w:rPr>
        <w:t>及承诺函</w:t>
      </w:r>
      <w:bookmarkEnd w:id="275"/>
      <w:bookmarkEnd w:id="276"/>
    </w:p>
    <w:p w14:paraId="67BE67B2">
      <w:pPr>
        <w:pStyle w:val="5"/>
        <w:spacing w:before="80" w:after="60" w:line="240" w:lineRule="auto"/>
        <w:jc w:val="center"/>
        <w:rPr>
          <w:rFonts w:hint="eastAsia" w:ascii="仿宋" w:hAnsi="仿宋" w:eastAsia="仿宋" w:cs="仿宋"/>
          <w:b/>
          <w:bCs/>
          <w:highlight w:val="none"/>
        </w:rPr>
      </w:pPr>
      <w:r>
        <w:rPr>
          <w:rFonts w:hint="eastAsia" w:ascii="仿宋" w:hAnsi="仿宋" w:eastAsia="仿宋" w:cs="仿宋"/>
          <w:b/>
          <w:bCs/>
          <w:highlight w:val="none"/>
          <w:lang w:eastAsia="zh-CN"/>
        </w:rPr>
        <w:t>（一）</w:t>
      </w:r>
      <w:r>
        <w:rPr>
          <w:rFonts w:hint="eastAsia" w:ascii="仿宋" w:hAnsi="仿宋" w:eastAsia="仿宋" w:cs="仿宋"/>
          <w:b/>
          <w:bCs/>
          <w:highlight w:val="none"/>
        </w:rPr>
        <w:t>投标函</w:t>
      </w:r>
    </w:p>
    <w:p w14:paraId="4DE13687">
      <w:pPr>
        <w:rPr>
          <w:rFonts w:hint="eastAsia" w:ascii="仿宋" w:hAnsi="仿宋" w:eastAsia="仿宋" w:cs="仿宋"/>
          <w:szCs w:val="21"/>
          <w:highlight w:val="none"/>
        </w:rPr>
      </w:pPr>
    </w:p>
    <w:p w14:paraId="10216426">
      <w:pPr>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致：友和保险经纪有限公司</w:t>
      </w:r>
    </w:p>
    <w:p w14:paraId="165ED567">
      <w:pPr>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sz w:val="24"/>
          <w:highlight w:val="none"/>
        </w:rPr>
        <w:t>根据贵方发布的</w:t>
      </w:r>
      <w:r>
        <w:rPr>
          <w:rFonts w:hint="eastAsia" w:ascii="仿宋" w:hAnsi="仿宋" w:eastAsia="仿宋" w:cs="仿宋"/>
          <w:color w:val="000000"/>
          <w:sz w:val="24"/>
          <w:highlight w:val="none"/>
          <w:u w:val="single"/>
          <w:lang w:eastAsia="zh-CN"/>
        </w:rPr>
        <w:t>深圳自然博物馆展品征集（古生物标本修复）服务</w:t>
      </w:r>
      <w:r>
        <w:rPr>
          <w:rFonts w:hint="eastAsia" w:ascii="仿宋" w:hAnsi="仿宋" w:eastAsia="仿宋" w:cs="仿宋"/>
          <w:color w:val="000000"/>
          <w:sz w:val="24"/>
          <w:highlight w:val="none"/>
        </w:rPr>
        <w:t>的招标公告</w:t>
      </w:r>
      <w:r>
        <w:rPr>
          <w:rFonts w:hint="eastAsia" w:ascii="仿宋" w:hAnsi="仿宋" w:eastAsia="仿宋" w:cs="仿宋"/>
          <w:color w:val="000000"/>
          <w:sz w:val="24"/>
          <w:highlight w:val="none"/>
          <w:u w:val="single"/>
        </w:rPr>
        <w:t>（项目编号为UHOSZC20250792）</w:t>
      </w:r>
      <w:r>
        <w:rPr>
          <w:rFonts w:hint="eastAsia" w:ascii="仿宋" w:hAnsi="仿宋" w:eastAsia="仿宋" w:cs="仿宋"/>
          <w:color w:val="000000"/>
          <w:sz w:val="24"/>
          <w:highlight w:val="none"/>
        </w:rPr>
        <w:t>，</w:t>
      </w:r>
      <w:r>
        <w:rPr>
          <w:rFonts w:hint="eastAsia" w:ascii="仿宋" w:hAnsi="仿宋" w:eastAsia="仿宋" w:cs="仿宋"/>
          <w:color w:val="000000" w:themeColor="text1"/>
          <w:sz w:val="24"/>
          <w:highlight w:val="none"/>
          <w14:textFill>
            <w14:solidFill>
              <w14:schemeClr w14:val="tx1"/>
            </w14:solidFill>
          </w14:textFill>
        </w:rPr>
        <w:t>遵照《深圳经济特区政府采购条例》和《深圳网上政府采购管理暂行办法》等有关规定，我单位经研究上述招标文件的专用条款及通用条款后，提交投标文件正本1份，副本</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份。</w:t>
      </w:r>
    </w:p>
    <w:p w14:paraId="3BE714BB">
      <w:pPr>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据此函，</w:t>
      </w:r>
      <w:r>
        <w:rPr>
          <w:rFonts w:hint="eastAsia" w:ascii="仿宋" w:hAnsi="仿宋" w:eastAsia="仿宋" w:cs="仿宋"/>
          <w:color w:val="000000" w:themeColor="text1"/>
          <w:sz w:val="24"/>
          <w:highlight w:val="none"/>
          <w:lang w:eastAsia="zh-CN"/>
          <w14:textFill>
            <w14:solidFill>
              <w14:schemeClr w14:val="tx1"/>
            </w14:solidFill>
          </w14:textFill>
        </w:rPr>
        <w:t>我单位</w:t>
      </w:r>
      <w:r>
        <w:rPr>
          <w:rFonts w:hint="eastAsia" w:ascii="仿宋" w:hAnsi="仿宋" w:eastAsia="仿宋" w:cs="仿宋"/>
          <w:color w:val="000000" w:themeColor="text1"/>
          <w:sz w:val="24"/>
          <w:highlight w:val="none"/>
          <w14:textFill>
            <w14:solidFill>
              <w14:schemeClr w14:val="tx1"/>
            </w14:solidFill>
          </w14:textFill>
        </w:rPr>
        <w:t>保证所提供的全部资料是真实的。</w:t>
      </w:r>
      <w:r>
        <w:rPr>
          <w:rFonts w:hint="eastAsia" w:ascii="仿宋" w:hAnsi="仿宋" w:eastAsia="仿宋" w:cs="仿宋"/>
          <w:color w:val="000000" w:themeColor="text1"/>
          <w:sz w:val="24"/>
          <w:highlight w:val="none"/>
          <w:lang w:eastAsia="zh-CN"/>
          <w14:textFill>
            <w14:solidFill>
              <w14:schemeClr w14:val="tx1"/>
            </w14:solidFill>
          </w14:textFill>
        </w:rPr>
        <w:t>我司</w:t>
      </w:r>
      <w:r>
        <w:rPr>
          <w:rFonts w:hint="eastAsia" w:ascii="仿宋" w:hAnsi="仿宋" w:eastAsia="仿宋" w:cs="仿宋"/>
          <w:color w:val="000000" w:themeColor="text1"/>
          <w:sz w:val="24"/>
          <w:highlight w:val="none"/>
          <w14:textFill>
            <w14:solidFill>
              <w14:schemeClr w14:val="tx1"/>
            </w14:solidFill>
          </w14:textFill>
        </w:rPr>
        <w:t>承诺：</w:t>
      </w:r>
    </w:p>
    <w:p w14:paraId="462909A4">
      <w:pPr>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（1）我</w:t>
      </w:r>
      <w:r>
        <w:rPr>
          <w:rFonts w:hint="eastAsia" w:ascii="仿宋" w:hAnsi="仿宋" w:eastAsia="仿宋" w:cs="仿宋"/>
          <w:color w:val="000000" w:themeColor="text1"/>
          <w:sz w:val="24"/>
          <w:highlight w:val="none"/>
          <w:lang w:eastAsia="zh-CN"/>
          <w14:textFill>
            <w14:solidFill>
              <w14:schemeClr w14:val="tx1"/>
            </w14:solidFill>
          </w14:textFill>
        </w:rPr>
        <w:t>单位</w:t>
      </w:r>
      <w:r>
        <w:rPr>
          <w:rFonts w:hint="eastAsia" w:ascii="仿宋" w:hAnsi="仿宋" w:eastAsia="仿宋" w:cs="仿宋"/>
          <w:color w:val="000000" w:themeColor="text1"/>
          <w:sz w:val="24"/>
          <w:highlight w:val="none"/>
          <w14:textFill>
            <w14:solidFill>
              <w14:schemeClr w14:val="tx1"/>
            </w14:solidFill>
          </w14:textFill>
        </w:rPr>
        <w:t>愿以开标一览表中的投标报价并按招标文件要求承包上述项目并修补其任何缺陷；</w:t>
      </w:r>
    </w:p>
    <w:p w14:paraId="4833D644">
      <w:pPr>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（2）我</w:t>
      </w:r>
      <w:r>
        <w:rPr>
          <w:rFonts w:hint="eastAsia" w:ascii="仿宋" w:hAnsi="仿宋" w:eastAsia="仿宋" w:cs="仿宋"/>
          <w:color w:val="000000" w:themeColor="text1"/>
          <w:sz w:val="24"/>
          <w:highlight w:val="none"/>
          <w:lang w:eastAsia="zh-CN"/>
          <w14:textFill>
            <w14:solidFill>
              <w14:schemeClr w14:val="tx1"/>
            </w14:solidFill>
          </w14:textFill>
        </w:rPr>
        <w:t>单位</w:t>
      </w:r>
      <w:r>
        <w:rPr>
          <w:rFonts w:hint="eastAsia" w:ascii="仿宋" w:hAnsi="仿宋" w:eastAsia="仿宋" w:cs="仿宋"/>
          <w:color w:val="000000" w:themeColor="text1"/>
          <w:sz w:val="24"/>
          <w:highlight w:val="none"/>
          <w14:textFill>
            <w14:solidFill>
              <w14:schemeClr w14:val="tx1"/>
            </w14:solidFill>
          </w14:textFill>
        </w:rPr>
        <w:t>会根据招标文件的规定，完成合同的责任和义务。</w:t>
      </w:r>
    </w:p>
    <w:p w14:paraId="4209E09B">
      <w:pPr>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（3）我</w:t>
      </w:r>
      <w:r>
        <w:rPr>
          <w:rFonts w:hint="eastAsia" w:ascii="仿宋" w:hAnsi="仿宋" w:eastAsia="仿宋" w:cs="仿宋"/>
          <w:color w:val="000000" w:themeColor="text1"/>
          <w:sz w:val="24"/>
          <w:highlight w:val="none"/>
          <w:lang w:eastAsia="zh-CN"/>
          <w14:textFill>
            <w14:solidFill>
              <w14:schemeClr w14:val="tx1"/>
            </w14:solidFill>
          </w14:textFill>
        </w:rPr>
        <w:t>单位</w:t>
      </w:r>
      <w:r>
        <w:rPr>
          <w:rFonts w:hint="eastAsia" w:ascii="仿宋" w:hAnsi="仿宋" w:eastAsia="仿宋" w:cs="仿宋"/>
          <w:color w:val="000000" w:themeColor="text1"/>
          <w:sz w:val="24"/>
          <w:highlight w:val="none"/>
          <w14:textFill>
            <w14:solidFill>
              <w14:schemeClr w14:val="tx1"/>
            </w14:solidFill>
          </w14:textFill>
        </w:rPr>
        <w:t>已详细审核了全部招标文件，包括招标文件修改书（如有），参考资料及有关附件，我们完全理解并同意放弃对这方面有不清楚或误解的问题的权利。</w:t>
      </w:r>
    </w:p>
    <w:p w14:paraId="09F50E5A">
      <w:pPr>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（4）我</w:t>
      </w:r>
      <w:r>
        <w:rPr>
          <w:rFonts w:hint="eastAsia" w:ascii="仿宋" w:hAnsi="仿宋" w:eastAsia="仿宋" w:cs="仿宋"/>
          <w:color w:val="000000" w:themeColor="text1"/>
          <w:sz w:val="24"/>
          <w:highlight w:val="none"/>
          <w:lang w:eastAsia="zh-CN"/>
          <w14:textFill>
            <w14:solidFill>
              <w14:schemeClr w14:val="tx1"/>
            </w14:solidFill>
          </w14:textFill>
        </w:rPr>
        <w:t>单位</w:t>
      </w:r>
      <w:r>
        <w:rPr>
          <w:rFonts w:hint="eastAsia" w:ascii="仿宋" w:hAnsi="仿宋" w:eastAsia="仿宋" w:cs="仿宋"/>
          <w:color w:val="000000" w:themeColor="text1"/>
          <w:sz w:val="24"/>
          <w:highlight w:val="none"/>
          <w14:textFill>
            <w14:solidFill>
              <w14:schemeClr w14:val="tx1"/>
            </w14:solidFill>
          </w14:textFill>
        </w:rPr>
        <w:t>同意在第一册第20条规定的开标日期起遵循本投标文件，并在第一册第15条规定的投标有效期满之前均具有约束力，并有可能中标。</w:t>
      </w:r>
    </w:p>
    <w:p w14:paraId="02BBFE51">
      <w:pPr>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（5）如我</w:t>
      </w:r>
      <w:r>
        <w:rPr>
          <w:rFonts w:hint="eastAsia" w:ascii="仿宋" w:hAnsi="仿宋" w:eastAsia="仿宋" w:cs="仿宋"/>
          <w:color w:val="000000" w:themeColor="text1"/>
          <w:sz w:val="24"/>
          <w:highlight w:val="none"/>
          <w:lang w:eastAsia="zh-CN"/>
          <w14:textFill>
            <w14:solidFill>
              <w14:schemeClr w14:val="tx1"/>
            </w14:solidFill>
          </w14:textFill>
        </w:rPr>
        <w:t>单位</w:t>
      </w:r>
      <w:r>
        <w:rPr>
          <w:rFonts w:hint="eastAsia" w:ascii="仿宋" w:hAnsi="仿宋" w:eastAsia="仿宋" w:cs="仿宋"/>
          <w:color w:val="000000" w:themeColor="text1"/>
          <w:sz w:val="24"/>
          <w:highlight w:val="none"/>
          <w14:textFill>
            <w14:solidFill>
              <w14:schemeClr w14:val="tx1"/>
            </w14:solidFill>
          </w14:textFill>
        </w:rPr>
        <w:t>在开标后规定的投标有效期内撤回投标或在中标后放弃中标，愿意接受主管部门的处理处罚。</w:t>
      </w:r>
    </w:p>
    <w:p w14:paraId="618D7958">
      <w:pPr>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（6）同意向贵方提供贵方可能要求的与本投标有关的任何证据或资料。</w:t>
      </w:r>
    </w:p>
    <w:p w14:paraId="6C433F47">
      <w:pPr>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（7）我</w:t>
      </w:r>
      <w:r>
        <w:rPr>
          <w:rFonts w:hint="eastAsia" w:ascii="仿宋" w:hAnsi="仿宋" w:eastAsia="仿宋" w:cs="仿宋"/>
          <w:color w:val="000000" w:themeColor="text1"/>
          <w:sz w:val="24"/>
          <w:highlight w:val="none"/>
          <w:lang w:eastAsia="zh-CN"/>
          <w14:textFill>
            <w14:solidFill>
              <w14:schemeClr w14:val="tx1"/>
            </w14:solidFill>
          </w14:textFill>
        </w:rPr>
        <w:t>单位</w:t>
      </w:r>
      <w:r>
        <w:rPr>
          <w:rFonts w:hint="eastAsia" w:ascii="仿宋" w:hAnsi="仿宋" w:eastAsia="仿宋" w:cs="仿宋"/>
          <w:color w:val="000000" w:themeColor="text1"/>
          <w:sz w:val="24"/>
          <w:highlight w:val="none"/>
          <w14:textFill>
            <w14:solidFill>
              <w14:schemeClr w14:val="tx1"/>
            </w14:solidFill>
          </w14:textFill>
        </w:rPr>
        <w:t>完全理解贵方不一定要接受最低报价的投标或收到的任何投标。</w:t>
      </w:r>
    </w:p>
    <w:p w14:paraId="72F67F0B">
      <w:pPr>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（8）我</w:t>
      </w:r>
      <w:r>
        <w:rPr>
          <w:rFonts w:hint="eastAsia" w:ascii="仿宋" w:hAnsi="仿宋" w:eastAsia="仿宋" w:cs="仿宋"/>
          <w:color w:val="000000" w:themeColor="text1"/>
          <w:sz w:val="24"/>
          <w:highlight w:val="none"/>
          <w:lang w:eastAsia="zh-CN"/>
          <w14:textFill>
            <w14:solidFill>
              <w14:schemeClr w14:val="tx1"/>
            </w14:solidFill>
          </w14:textFill>
        </w:rPr>
        <w:t>单位</w:t>
      </w:r>
      <w:r>
        <w:rPr>
          <w:rFonts w:hint="eastAsia" w:ascii="仿宋" w:hAnsi="仿宋" w:eastAsia="仿宋" w:cs="仿宋"/>
          <w:color w:val="000000" w:themeColor="text1"/>
          <w:sz w:val="24"/>
          <w:highlight w:val="none"/>
          <w14:textFill>
            <w14:solidFill>
              <w14:schemeClr w14:val="tx1"/>
            </w14:solidFill>
          </w14:textFill>
        </w:rPr>
        <w:t>为本投标和中标后的合同实施要付给招标代理机构的招标代理服务费如下：</w:t>
      </w:r>
    </w:p>
    <w:p w14:paraId="6761C35D">
      <w:pPr>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招标代理机构的名称：友和保险经纪有限公司</w:t>
      </w:r>
    </w:p>
    <w:p w14:paraId="003F855D">
      <w:pPr>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招标代理服务费：按第一册第40条“招标代理服务费”标准支付。</w:t>
      </w:r>
    </w:p>
    <w:p w14:paraId="7F217AA3">
      <w:pPr>
        <w:ind w:firstLine="480" w:firstLineChars="200"/>
        <w:rPr>
          <w:rFonts w:hint="eastAsia" w:ascii="仿宋" w:hAnsi="仿宋" w:eastAsia="仿宋" w:cs="仿宋"/>
          <w:color w:val="000000"/>
          <w:sz w:val="24"/>
          <w:highlight w:val="none"/>
        </w:rPr>
      </w:pPr>
    </w:p>
    <w:p w14:paraId="1DEF90F9">
      <w:pPr>
        <w:ind w:firstLine="420" w:firstLineChars="200"/>
        <w:rPr>
          <w:rFonts w:hint="eastAsia" w:ascii="仿宋" w:hAnsi="仿宋" w:eastAsia="仿宋" w:cs="仿宋"/>
          <w:szCs w:val="21"/>
          <w:highlight w:val="none"/>
        </w:rPr>
      </w:pPr>
    </w:p>
    <w:tbl>
      <w:tblPr>
        <w:tblStyle w:val="4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03"/>
        <w:gridCol w:w="2419"/>
      </w:tblGrid>
      <w:tr w14:paraId="2359A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522" w:type="dxa"/>
            <w:gridSpan w:val="2"/>
            <w:noWrap w:val="0"/>
            <w:vAlign w:val="top"/>
          </w:tcPr>
          <w:p w14:paraId="75C9B799">
            <w:pPr>
              <w:keepNext w:val="0"/>
              <w:keepLines w:val="0"/>
              <w:suppressLineNumbers w:val="0"/>
              <w:spacing w:before="0" w:beforeAutospacing="0" w:after="0" w:afterAutospacing="0"/>
              <w:ind w:left="0" w:right="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与本投标有关的正式通信方式：</w:t>
            </w:r>
          </w:p>
        </w:tc>
      </w:tr>
      <w:tr w14:paraId="1E026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103" w:type="dxa"/>
            <w:noWrap w:val="0"/>
            <w:vAlign w:val="top"/>
          </w:tcPr>
          <w:p w14:paraId="4D1A0C13">
            <w:pPr>
              <w:keepNext w:val="0"/>
              <w:keepLines w:val="0"/>
              <w:suppressLineNumbers w:val="0"/>
              <w:spacing w:before="0" w:beforeAutospacing="0" w:after="0" w:afterAutospacing="0"/>
              <w:ind w:left="0" w:right="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地址：</w:t>
            </w:r>
          </w:p>
        </w:tc>
        <w:tc>
          <w:tcPr>
            <w:tcW w:w="2419" w:type="dxa"/>
            <w:noWrap w:val="0"/>
            <w:vAlign w:val="top"/>
          </w:tcPr>
          <w:p w14:paraId="516B3414">
            <w:pPr>
              <w:keepNext w:val="0"/>
              <w:keepLines w:val="0"/>
              <w:suppressLineNumbers w:val="0"/>
              <w:spacing w:before="0" w:beforeAutospacing="0" w:after="0" w:afterAutospacing="0"/>
              <w:ind w:left="0" w:right="0"/>
              <w:rPr>
                <w:rFonts w:hint="eastAsia" w:ascii="仿宋" w:hAnsi="仿宋" w:eastAsia="仿宋" w:cs="仿宋"/>
                <w:color w:val="000000"/>
                <w:sz w:val="24"/>
                <w:highlight w:val="none"/>
              </w:rPr>
            </w:pPr>
            <w:r>
              <w:rPr>
                <w:rFonts w:hint="eastAsia" w:ascii="仿宋" w:hAnsi="仿宋" w:eastAsia="仿宋" w:cs="仿宋"/>
                <w:color w:val="000000"/>
                <w:sz w:val="24"/>
                <w:highlight w:val="none"/>
              </w:rPr>
              <w:t>邮政编码：</w:t>
            </w:r>
          </w:p>
        </w:tc>
      </w:tr>
      <w:tr w14:paraId="35FF3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2"/>
            <w:noWrap w:val="0"/>
            <w:vAlign w:val="top"/>
          </w:tcPr>
          <w:p w14:paraId="2BA735F7">
            <w:pPr>
              <w:keepNext w:val="0"/>
              <w:keepLines w:val="0"/>
              <w:suppressLineNumbers w:val="0"/>
              <w:spacing w:before="0" w:beforeAutospacing="0" w:after="0" w:afterAutospacing="0"/>
              <w:ind w:left="0" w:right="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电话、手机、传真或电传：</w:t>
            </w:r>
          </w:p>
        </w:tc>
      </w:tr>
    </w:tbl>
    <w:p w14:paraId="386415BA">
      <w:pPr>
        <w:ind w:firstLine="5075" w:firstLineChars="2417"/>
        <w:rPr>
          <w:rFonts w:hint="eastAsia" w:ascii="仿宋" w:hAnsi="仿宋" w:eastAsia="仿宋" w:cs="仿宋"/>
          <w:szCs w:val="21"/>
          <w:highlight w:val="none"/>
        </w:rPr>
      </w:pPr>
    </w:p>
    <w:p w14:paraId="5310D1F9">
      <w:pPr>
        <w:ind w:firstLine="5075" w:firstLineChars="2417"/>
        <w:rPr>
          <w:rFonts w:hint="eastAsia" w:ascii="仿宋" w:hAnsi="仿宋" w:eastAsia="仿宋" w:cs="仿宋"/>
          <w:szCs w:val="21"/>
          <w:highlight w:val="none"/>
        </w:rPr>
      </w:pPr>
    </w:p>
    <w:p w14:paraId="6F622099">
      <w:pPr>
        <w:ind w:firstLine="5075" w:firstLineChars="2417"/>
        <w:rPr>
          <w:rFonts w:hint="eastAsia" w:ascii="仿宋" w:hAnsi="仿宋" w:eastAsia="仿宋" w:cs="仿宋"/>
          <w:szCs w:val="21"/>
          <w:highlight w:val="none"/>
        </w:rPr>
      </w:pPr>
    </w:p>
    <w:p w14:paraId="67F001FD">
      <w:pPr>
        <w:ind w:firstLine="3600" w:firstLineChars="15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法定代表人或其授权委托人（</w:t>
      </w:r>
      <w:r>
        <w:rPr>
          <w:rFonts w:hint="eastAsia" w:ascii="仿宋" w:hAnsi="仿宋" w:eastAsia="仿宋" w:cs="仿宋"/>
          <w:b/>
          <w:color w:val="000000"/>
          <w:sz w:val="24"/>
          <w:highlight w:val="none"/>
        </w:rPr>
        <w:t>签名或盖私章</w:t>
      </w:r>
      <w:r>
        <w:rPr>
          <w:rFonts w:hint="eastAsia" w:ascii="仿宋" w:hAnsi="仿宋" w:eastAsia="仿宋" w:cs="仿宋"/>
          <w:color w:val="000000"/>
          <w:sz w:val="24"/>
          <w:highlight w:val="none"/>
        </w:rPr>
        <w:t>）：</w:t>
      </w:r>
    </w:p>
    <w:p w14:paraId="5BC6A538">
      <w:pPr>
        <w:jc w:val="left"/>
        <w:rPr>
          <w:rFonts w:hint="eastAsia" w:ascii="仿宋" w:hAnsi="仿宋" w:eastAsia="仿宋" w:cs="仿宋"/>
          <w:color w:val="000000"/>
          <w:sz w:val="24"/>
          <w:highlight w:val="none"/>
        </w:rPr>
      </w:pPr>
    </w:p>
    <w:p w14:paraId="4E3CDE99">
      <w:pPr>
        <w:ind w:firstLine="3600" w:firstLineChars="15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投标单位（</w:t>
      </w:r>
      <w:r>
        <w:rPr>
          <w:rFonts w:hint="eastAsia" w:ascii="仿宋" w:hAnsi="仿宋" w:eastAsia="仿宋" w:cs="仿宋"/>
          <w:b/>
          <w:color w:val="000000"/>
          <w:sz w:val="24"/>
          <w:highlight w:val="none"/>
        </w:rPr>
        <w:t>盖公章</w:t>
      </w:r>
      <w:r>
        <w:rPr>
          <w:rFonts w:hint="eastAsia" w:ascii="仿宋" w:hAnsi="仿宋" w:eastAsia="仿宋" w:cs="仿宋"/>
          <w:color w:val="000000"/>
          <w:sz w:val="24"/>
          <w:highlight w:val="none"/>
        </w:rPr>
        <w:t>）：</w:t>
      </w:r>
    </w:p>
    <w:p w14:paraId="1A7B5EE8">
      <w:pPr>
        <w:jc w:val="left"/>
        <w:rPr>
          <w:rFonts w:hint="eastAsia" w:ascii="仿宋" w:hAnsi="仿宋" w:eastAsia="仿宋" w:cs="仿宋"/>
          <w:color w:val="000000"/>
          <w:sz w:val="24"/>
          <w:highlight w:val="none"/>
        </w:rPr>
      </w:pPr>
    </w:p>
    <w:p w14:paraId="39B0CDB0">
      <w:pPr>
        <w:jc w:val="right"/>
        <w:rPr>
          <w:rFonts w:hint="eastAsia" w:ascii="仿宋" w:hAnsi="仿宋" w:eastAsia="仿宋" w:cs="仿宋"/>
          <w:szCs w:val="21"/>
          <w:highlight w:val="none"/>
        </w:rPr>
      </w:pPr>
      <w:r>
        <w:rPr>
          <w:rFonts w:hint="eastAsia" w:ascii="仿宋" w:hAnsi="仿宋" w:eastAsia="仿宋" w:cs="仿宋"/>
          <w:color w:val="000000"/>
          <w:sz w:val="24"/>
          <w:highlight w:val="none"/>
        </w:rPr>
        <w:t>日期：    年  月  日</w:t>
      </w:r>
    </w:p>
    <w:p w14:paraId="69B81387">
      <w:pPr>
        <w:rPr>
          <w:rFonts w:hint="eastAsia" w:ascii="仿宋" w:hAnsi="仿宋" w:eastAsia="仿宋" w:cs="仿宋"/>
          <w:highlight w:val="none"/>
        </w:rPr>
      </w:pPr>
      <w:r>
        <w:rPr>
          <w:rFonts w:hint="eastAsia" w:ascii="仿宋" w:hAnsi="仿宋" w:eastAsia="仿宋" w:cs="仿宋"/>
          <w:highlight w:val="none"/>
        </w:rPr>
        <w:br w:type="page"/>
      </w:r>
    </w:p>
    <w:p w14:paraId="346B1375">
      <w:pPr>
        <w:pStyle w:val="5"/>
        <w:spacing w:before="80" w:after="60" w:line="240" w:lineRule="auto"/>
        <w:jc w:val="center"/>
        <w:rPr>
          <w:rFonts w:hint="eastAsia" w:ascii="仿宋" w:hAnsi="仿宋" w:eastAsia="仿宋" w:cs="仿宋"/>
          <w:b/>
          <w:bCs/>
          <w:highlight w:val="none"/>
        </w:rPr>
      </w:pPr>
      <w:r>
        <w:rPr>
          <w:rFonts w:hint="eastAsia" w:ascii="仿宋" w:hAnsi="仿宋" w:eastAsia="仿宋" w:cs="仿宋"/>
          <w:b/>
          <w:bCs/>
          <w:highlight w:val="none"/>
          <w:lang w:eastAsia="zh-CN"/>
        </w:rPr>
        <w:t>（二）</w:t>
      </w:r>
      <w:r>
        <w:rPr>
          <w:rFonts w:hint="eastAsia" w:ascii="仿宋" w:hAnsi="仿宋" w:eastAsia="仿宋" w:cs="仿宋"/>
          <w:b/>
          <w:bCs/>
          <w:highlight w:val="none"/>
        </w:rPr>
        <w:t>采购投标及履约承诺函</w:t>
      </w:r>
    </w:p>
    <w:p w14:paraId="28876AF5">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致：友和保险经纪有限公司</w:t>
      </w:r>
    </w:p>
    <w:p w14:paraId="529A4384">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我单位承诺：</w:t>
      </w:r>
    </w:p>
    <w:p w14:paraId="2DC5D1F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1.我单位参与本项目所投标（响应）的货物、工程或服务，不存在侵犯知识产权的情况；已知悉并同意中标（成交）结果信息公示（公开）的内容。</w:t>
      </w:r>
    </w:p>
    <w:p w14:paraId="18B9D466">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2.我单位参与该项目投标，不</w:t>
      </w:r>
      <w:r>
        <w:rPr>
          <w:rFonts w:hint="eastAsia" w:ascii="仿宋" w:hAnsi="仿宋" w:eastAsia="仿宋" w:cs="仿宋"/>
          <w:color w:val="000000"/>
          <w:sz w:val="24"/>
          <w:szCs w:val="24"/>
          <w:highlight w:val="none"/>
          <w:lang w:eastAsia="zh-CN"/>
        </w:rPr>
        <w:t>采用</w:t>
      </w:r>
      <w:r>
        <w:rPr>
          <w:rFonts w:hint="eastAsia" w:ascii="仿宋" w:hAnsi="仿宋" w:eastAsia="仿宋" w:cs="仿宋"/>
          <w:color w:val="000000"/>
          <w:sz w:val="24"/>
          <w:szCs w:val="24"/>
          <w:highlight w:val="none"/>
        </w:rPr>
        <w:t>联合体投标参与投标</w:t>
      </w:r>
      <w:r>
        <w:rPr>
          <w:rFonts w:hint="eastAsia" w:ascii="仿宋" w:hAnsi="仿宋" w:eastAsia="仿宋" w:cs="仿宋"/>
          <w:color w:val="000000"/>
          <w:sz w:val="24"/>
          <w:szCs w:val="24"/>
          <w:highlight w:val="none"/>
          <w:lang w:eastAsia="zh-CN"/>
        </w:rPr>
        <w:t>。</w:t>
      </w:r>
    </w:p>
    <w:p w14:paraId="51858A6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3.我单位参与本项目采购活动时不存在被有关部门禁止参与采购活动且在有效期内的情况。</w:t>
      </w:r>
    </w:p>
    <w:p w14:paraId="2BD8DCB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4.我单位具备《中华人民共和国政府采购法》第二十二条的条件。</w:t>
      </w:r>
    </w:p>
    <w:p w14:paraId="67BC7D16">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5.我单位未被列入失信被执行人、重大税收违法失信主体、采购严重违法失信行为记录名单；不存在《深圳市财政局政府采购供应商信用信息管理办法》（深财规〔2023〕3号）列明的严重违法失信行为。</w:t>
      </w:r>
    </w:p>
    <w:p w14:paraId="22DD9D7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我单位参与该项目投标，严格遵守采购相关法律，不造假，不围标、串标、陪标。我单位已清楚，如违反上述要求，投标将作无效处理，被列入不良记录名单并在网上曝光，同时将被提请采购主管部门给予一定年限内禁止参与采购活动或其他处罚。</w:t>
      </w:r>
    </w:p>
    <w:p w14:paraId="61A2971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7.我单位不存在“单位负责人为同一人或者存在直接控股、管理关系的不同供应商，参加同一合同项下的采购活动”的情形</w:t>
      </w:r>
      <w:r>
        <w:rPr>
          <w:rFonts w:hint="eastAsia" w:ascii="仿宋" w:hAnsi="仿宋" w:eastAsia="仿宋" w:cs="仿宋"/>
          <w:color w:val="000000"/>
          <w:sz w:val="24"/>
          <w:szCs w:val="24"/>
          <w:highlight w:val="none"/>
          <w:lang w:eastAsia="zh-CN"/>
        </w:rPr>
        <w:t>；</w:t>
      </w:r>
      <w:r>
        <w:rPr>
          <w:rFonts w:hint="eastAsia" w:ascii="仿宋" w:hAnsi="仿宋" w:eastAsia="仿宋" w:cs="仿宋"/>
          <w:sz w:val="24"/>
          <w:highlight w:val="none"/>
        </w:rPr>
        <w:t>不存在不同投标供应商</w:t>
      </w:r>
      <w:r>
        <w:rPr>
          <w:rFonts w:hint="eastAsia" w:ascii="仿宋" w:hAnsi="仿宋" w:eastAsia="仿宋" w:cs="仿宋"/>
          <w:sz w:val="24"/>
          <w:highlight w:val="none"/>
          <w:lang w:eastAsia="zh-CN"/>
        </w:rPr>
        <w:t>法定代表人、主要经营负责人、投标授权代表人、项目负责人、主要技术人员、投标文件编制人员</w:t>
      </w:r>
      <w:r>
        <w:rPr>
          <w:rFonts w:hint="eastAsia" w:ascii="仿宋" w:hAnsi="仿宋" w:eastAsia="仿宋" w:cs="仿宋"/>
          <w:sz w:val="24"/>
          <w:highlight w:val="none"/>
        </w:rPr>
        <w:t>为同一人、属同一单位或者在同一单位缴纳社会保险的情形。</w:t>
      </w:r>
    </w:p>
    <w:p w14:paraId="3A712A1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1EFD2B7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我单位清楚，若以“报价太低而无法履约”为理由放弃本项目中标资格时，愿意接受主管部门的处理处罚。若我单位中标本项目，我单位的报价明显低于其他通过符合性审查投标人的报价时，我单位清楚，本项目将成为重点监管、重点验收项目，我单位将按时保质保量完成，并全力配合有关监管、验收工作；若我单位未按上述要求履约，我单位愿意接受主管部门的处理处罚。</w:t>
      </w:r>
    </w:p>
    <w:p w14:paraId="25C2E7A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C73E9A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11.我单位承诺中标后项目不转包，未经采购人同意不进行分包。</w:t>
      </w:r>
    </w:p>
    <w:p w14:paraId="58DB1311">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default"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 我单位承诺未为本项目提供整体设计、规范编制或者管理、监理、检测等服务。</w:t>
      </w:r>
    </w:p>
    <w:p w14:paraId="21FD2F2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default"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.我单位承诺，参与本项目投标前三年内，未受过环境监测行政主管部门行政处罚或未有被相关部门（如质检部门等）、媒体通报弄虚作假等情形。</w:t>
      </w:r>
    </w:p>
    <w:p w14:paraId="4C0A932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r>
        <w:rPr>
          <w:rFonts w:hint="default" w:ascii="仿宋" w:hAnsi="仿宋" w:eastAsia="仿宋" w:cs="仿宋"/>
          <w:color w:val="000000"/>
          <w:sz w:val="24"/>
          <w:szCs w:val="24"/>
          <w:highlight w:val="none"/>
          <w:lang w:eastAsia="zh-CN"/>
        </w:rPr>
        <w:t>4</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我单位承诺，不同投标供应商不存在直接控股、管理关系的情形</w:t>
      </w:r>
      <w:r>
        <w:rPr>
          <w:rFonts w:hint="eastAsia" w:ascii="仿宋" w:hAnsi="仿宋" w:eastAsia="仿宋" w:cs="仿宋"/>
          <w:color w:val="000000"/>
          <w:sz w:val="24"/>
          <w:szCs w:val="24"/>
          <w:highlight w:val="none"/>
          <w:lang w:eastAsia="zh-CN"/>
        </w:rPr>
        <w:t>。</w:t>
      </w:r>
    </w:p>
    <w:p w14:paraId="7D1D90A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以上承诺，如有违反，愿依照国家相关法律法规处理，并承担由此给采购人带来的损失。</w:t>
      </w:r>
    </w:p>
    <w:p w14:paraId="1AEA4831">
      <w:pPr>
        <w:keepNext w:val="0"/>
        <w:keepLines w:val="0"/>
        <w:pageBreakBefore w:val="0"/>
        <w:widowControl w:val="0"/>
        <w:kinsoku/>
        <w:wordWrap/>
        <w:overflowPunct/>
        <w:topLinePunct w:val="0"/>
        <w:autoSpaceDE/>
        <w:autoSpaceDN/>
        <w:bidi w:val="0"/>
        <w:adjustRightInd/>
        <w:snapToGrid/>
        <w:spacing w:after="126" w:afterLines="40" w:line="280" w:lineRule="exact"/>
        <w:ind w:firstLine="3600" w:firstLineChars="1500"/>
        <w:jc w:val="left"/>
        <w:textAlignment w:val="auto"/>
        <w:rPr>
          <w:rFonts w:hint="eastAsia" w:ascii="仿宋" w:hAnsi="仿宋" w:eastAsia="仿宋" w:cs="仿宋"/>
          <w:color w:val="000000"/>
          <w:sz w:val="24"/>
          <w:szCs w:val="24"/>
          <w:highlight w:val="none"/>
        </w:rPr>
      </w:pPr>
    </w:p>
    <w:p w14:paraId="355C34EE">
      <w:pPr>
        <w:keepNext w:val="0"/>
        <w:keepLines w:val="0"/>
        <w:pageBreakBefore w:val="0"/>
        <w:widowControl w:val="0"/>
        <w:kinsoku/>
        <w:wordWrap/>
        <w:overflowPunct/>
        <w:topLinePunct w:val="0"/>
        <w:autoSpaceDE/>
        <w:autoSpaceDN/>
        <w:bidi w:val="0"/>
        <w:adjustRightInd/>
        <w:snapToGrid/>
        <w:spacing w:after="126" w:afterLines="40" w:line="280" w:lineRule="exact"/>
        <w:ind w:firstLine="3600" w:firstLineChars="1500"/>
        <w:jc w:val="left"/>
        <w:textAlignment w:val="auto"/>
        <w:rPr>
          <w:rFonts w:hint="eastAsia" w:ascii="仿宋" w:hAnsi="仿宋" w:eastAsia="仿宋" w:cs="仿宋"/>
          <w:color w:val="000000"/>
          <w:sz w:val="24"/>
          <w:szCs w:val="24"/>
          <w:highlight w:val="none"/>
        </w:rPr>
      </w:pPr>
    </w:p>
    <w:p w14:paraId="7F5C1CFC">
      <w:pPr>
        <w:keepNext w:val="0"/>
        <w:keepLines w:val="0"/>
        <w:pageBreakBefore w:val="0"/>
        <w:widowControl w:val="0"/>
        <w:kinsoku/>
        <w:wordWrap/>
        <w:overflowPunct/>
        <w:topLinePunct w:val="0"/>
        <w:autoSpaceDE/>
        <w:autoSpaceDN/>
        <w:bidi w:val="0"/>
        <w:adjustRightInd/>
        <w:snapToGrid/>
        <w:spacing w:after="126" w:afterLines="40" w:line="280" w:lineRule="exact"/>
        <w:ind w:firstLine="3600" w:firstLineChars="15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法定代表人或其授权委托人（</w:t>
      </w:r>
      <w:r>
        <w:rPr>
          <w:rFonts w:hint="eastAsia" w:ascii="仿宋" w:hAnsi="仿宋" w:eastAsia="仿宋" w:cs="仿宋"/>
          <w:b/>
          <w:color w:val="000000"/>
          <w:sz w:val="24"/>
          <w:szCs w:val="24"/>
          <w:highlight w:val="none"/>
        </w:rPr>
        <w:t>签名或盖私章</w:t>
      </w:r>
      <w:r>
        <w:rPr>
          <w:rFonts w:hint="eastAsia" w:ascii="仿宋" w:hAnsi="仿宋" w:eastAsia="仿宋" w:cs="仿宋"/>
          <w:color w:val="000000"/>
          <w:sz w:val="24"/>
          <w:szCs w:val="24"/>
          <w:highlight w:val="none"/>
        </w:rPr>
        <w:t>）：</w:t>
      </w:r>
    </w:p>
    <w:p w14:paraId="2523EC3A">
      <w:pPr>
        <w:keepNext w:val="0"/>
        <w:keepLines w:val="0"/>
        <w:pageBreakBefore w:val="0"/>
        <w:widowControl w:val="0"/>
        <w:kinsoku/>
        <w:wordWrap/>
        <w:overflowPunct/>
        <w:topLinePunct w:val="0"/>
        <w:autoSpaceDE/>
        <w:autoSpaceDN/>
        <w:bidi w:val="0"/>
        <w:adjustRightInd/>
        <w:snapToGrid/>
        <w:spacing w:after="126" w:afterLines="40" w:line="280" w:lineRule="exact"/>
        <w:ind w:firstLine="3600" w:firstLineChars="15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投标单位（</w:t>
      </w:r>
      <w:r>
        <w:rPr>
          <w:rFonts w:hint="eastAsia" w:ascii="仿宋" w:hAnsi="仿宋" w:eastAsia="仿宋" w:cs="仿宋"/>
          <w:b/>
          <w:color w:val="000000"/>
          <w:sz w:val="24"/>
          <w:szCs w:val="24"/>
          <w:highlight w:val="none"/>
        </w:rPr>
        <w:t>盖公章</w:t>
      </w:r>
      <w:r>
        <w:rPr>
          <w:rFonts w:hint="eastAsia" w:ascii="仿宋" w:hAnsi="仿宋" w:eastAsia="仿宋" w:cs="仿宋"/>
          <w:color w:val="000000"/>
          <w:sz w:val="24"/>
          <w:szCs w:val="24"/>
          <w:highlight w:val="none"/>
        </w:rPr>
        <w:t>）：</w:t>
      </w:r>
    </w:p>
    <w:p w14:paraId="64229430">
      <w:pPr>
        <w:keepNext w:val="0"/>
        <w:keepLines w:val="0"/>
        <w:pageBreakBefore w:val="0"/>
        <w:widowControl w:val="0"/>
        <w:kinsoku/>
        <w:wordWrap/>
        <w:overflowPunct/>
        <w:topLinePunct w:val="0"/>
        <w:autoSpaceDE/>
        <w:autoSpaceDN/>
        <w:bidi w:val="0"/>
        <w:adjustRightInd/>
        <w:snapToGrid/>
        <w:spacing w:after="126" w:afterLines="40" w:line="280" w:lineRule="exact"/>
        <w:jc w:val="right"/>
        <w:textAlignment w:val="auto"/>
        <w:rPr>
          <w:rFonts w:hint="eastAsia" w:ascii="仿宋" w:hAnsi="仿宋" w:eastAsia="仿宋" w:cs="仿宋"/>
          <w:highlight w:val="none"/>
        </w:rPr>
      </w:pPr>
      <w:r>
        <w:rPr>
          <w:rFonts w:hint="eastAsia" w:ascii="仿宋" w:hAnsi="仿宋" w:eastAsia="仿宋" w:cs="仿宋"/>
          <w:color w:val="000000"/>
          <w:sz w:val="24"/>
          <w:szCs w:val="24"/>
          <w:highlight w:val="none"/>
        </w:rPr>
        <w:t>日期：    年  月  日</w:t>
      </w:r>
      <w:r>
        <w:rPr>
          <w:rFonts w:hint="eastAsia" w:ascii="仿宋" w:hAnsi="仿宋" w:eastAsia="仿宋" w:cs="仿宋"/>
          <w:highlight w:val="none"/>
        </w:rPr>
        <w:br w:type="page"/>
      </w:r>
    </w:p>
    <w:p w14:paraId="229D300D">
      <w:pPr>
        <w:rPr>
          <w:rFonts w:hint="eastAsia" w:ascii="仿宋" w:hAnsi="仿宋" w:eastAsia="仿宋" w:cs="仿宋"/>
          <w:b w:val="0"/>
          <w:bCs w:val="0"/>
          <w:sz w:val="24"/>
          <w:szCs w:val="24"/>
          <w:highlight w:val="none"/>
        </w:rPr>
      </w:pPr>
    </w:p>
    <w:p w14:paraId="39B5B83E">
      <w:pPr>
        <w:pStyle w:val="5"/>
        <w:spacing w:before="80" w:after="60" w:line="240" w:lineRule="auto"/>
        <w:jc w:val="center"/>
        <w:rPr>
          <w:rFonts w:hint="eastAsia" w:ascii="仿宋" w:hAnsi="仿宋" w:eastAsia="仿宋" w:cs="仿宋"/>
          <w:b/>
          <w:bCs/>
          <w:highlight w:val="none"/>
        </w:rPr>
      </w:pPr>
      <w:r>
        <w:rPr>
          <w:rFonts w:hint="eastAsia" w:ascii="仿宋" w:hAnsi="仿宋" w:eastAsia="仿宋" w:cs="仿宋"/>
          <w:b/>
          <w:bCs/>
          <w:highlight w:val="none"/>
        </w:rPr>
        <w:t>（</w:t>
      </w:r>
      <w:r>
        <w:rPr>
          <w:rFonts w:hint="eastAsia" w:ascii="仿宋" w:hAnsi="仿宋" w:eastAsia="仿宋" w:cs="仿宋"/>
          <w:b/>
          <w:bCs/>
          <w:highlight w:val="none"/>
          <w:lang w:eastAsia="zh-CN"/>
        </w:rPr>
        <w:t>三</w:t>
      </w:r>
      <w:r>
        <w:rPr>
          <w:rFonts w:hint="eastAsia" w:ascii="仿宋" w:hAnsi="仿宋" w:eastAsia="仿宋" w:cs="仿宋"/>
          <w:b/>
          <w:bCs/>
          <w:highlight w:val="none"/>
        </w:rPr>
        <w:t>）</w:t>
      </w:r>
      <w:r>
        <w:rPr>
          <w:rFonts w:hint="eastAsia" w:ascii="仿宋" w:hAnsi="仿宋" w:eastAsia="仿宋" w:cs="仿宋"/>
          <w:bCs/>
          <w:szCs w:val="32"/>
          <w:highlight w:val="none"/>
        </w:rPr>
        <w:t>中小企业声明函、残疾人福利性单位声明函及监狱企业声明函</w:t>
      </w:r>
    </w:p>
    <w:p w14:paraId="33FAD7D1">
      <w:pPr>
        <w:spacing w:line="240" w:lineRule="atLeast"/>
        <w:rPr>
          <w:rFonts w:hint="eastAsia" w:ascii="仿宋" w:hAnsi="仿宋" w:eastAsia="仿宋" w:cs="仿宋"/>
          <w:color w:val="000000" w:themeColor="text1"/>
          <w:sz w:val="24"/>
          <w:szCs w:val="24"/>
          <w:highlight w:val="none"/>
          <w14:textFill>
            <w14:solidFill>
              <w14:schemeClr w14:val="tx1"/>
            </w14:solidFill>
          </w14:textFill>
        </w:rPr>
      </w:pPr>
    </w:p>
    <w:p w14:paraId="5C8B7D7A">
      <w:pPr>
        <w:spacing w:before="120" w:beforeLines="50"/>
        <w:ind w:firstLine="422" w:firstLineChars="200"/>
        <w:rPr>
          <w:rFonts w:hint="eastAsia" w:ascii="仿宋" w:hAnsi="仿宋" w:eastAsia="仿宋" w:cs="仿宋"/>
          <w:b/>
          <w:bCs/>
          <w:color w:val="FF0000"/>
          <w:highlight w:val="none"/>
          <w:lang w:val="en-US" w:eastAsia="zh-CN"/>
        </w:rPr>
      </w:pPr>
      <w:r>
        <w:rPr>
          <w:rFonts w:hint="eastAsia" w:ascii="仿宋" w:hAnsi="仿宋" w:eastAsia="仿宋" w:cs="仿宋"/>
          <w:b/>
          <w:bCs/>
          <w:color w:val="FF0000"/>
          <w:highlight w:val="none"/>
          <w:lang w:val="en-US" w:eastAsia="zh-CN"/>
        </w:rPr>
        <w:t>注：采购人、采购代理机构、评标委员会（评审小组）在依法进行资格审查、评审过程中，发现《中小企业声明函》存在明显笔误或者含义不明确的，按照采购相关规定要求供应商进行澄清、说明或补正。澄清、说明或补正后符合中小企业条件的供应商，可以享受中小企业扶持政策。（参照《广东省政府采购促进中小企业发展实施细则》第十八条精神）</w:t>
      </w:r>
    </w:p>
    <w:p w14:paraId="7AA38884">
      <w:pPr>
        <w:jc w:val="center"/>
        <w:rPr>
          <w:rFonts w:hint="eastAsia" w:ascii="仿宋" w:hAnsi="仿宋" w:eastAsia="仿宋" w:cs="仿宋"/>
          <w:b/>
          <w:color w:val="000000"/>
          <w:sz w:val="24"/>
          <w:szCs w:val="24"/>
          <w:highlight w:val="none"/>
        </w:rPr>
      </w:pPr>
    </w:p>
    <w:p w14:paraId="4C01089C">
      <w:pPr>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（1）中小企业声明函(服务）</w:t>
      </w:r>
    </w:p>
    <w:p w14:paraId="673FF175">
      <w:pPr>
        <w:spacing w:line="260" w:lineRule="auto"/>
        <w:ind w:firstLine="480" w:firstLineChars="200"/>
        <w:jc w:val="left"/>
        <w:rPr>
          <w:rFonts w:hint="eastAsia" w:ascii="仿宋" w:hAnsi="仿宋" w:eastAsia="仿宋" w:cs="仿宋"/>
          <w:color w:val="000000"/>
          <w:sz w:val="24"/>
          <w:szCs w:val="24"/>
          <w:highlight w:val="none"/>
        </w:rPr>
      </w:pPr>
    </w:p>
    <w:p w14:paraId="2A5D95E3">
      <w:pPr>
        <w:spacing w:line="2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本公司郑重声明，根据《政府采购促进中小企业发展管理办法》（财库﹝2020﹞46 号）的规定，本公司参加</w:t>
      </w:r>
      <w:r>
        <w:rPr>
          <w:rFonts w:hint="eastAsia" w:ascii="仿宋" w:hAnsi="仿宋" w:eastAsia="仿宋" w:cs="仿宋"/>
          <w:color w:val="000000"/>
          <w:sz w:val="24"/>
          <w:szCs w:val="24"/>
          <w:highlight w:val="none"/>
          <w:u w:val="single"/>
        </w:rPr>
        <w:t xml:space="preserve">  </w:t>
      </w:r>
      <w:r>
        <w:rPr>
          <w:rFonts w:hint="eastAsia" w:ascii="仿宋" w:hAnsi="仿宋" w:eastAsia="仿宋" w:cs="仿宋"/>
          <w:b/>
          <w:bCs/>
          <w:color w:val="000000"/>
          <w:sz w:val="24"/>
          <w:szCs w:val="24"/>
          <w:highlight w:val="none"/>
          <w:u w:val="single"/>
        </w:rPr>
        <w:t xml:space="preserve"> </w:t>
      </w:r>
      <w:r>
        <w:rPr>
          <w:rFonts w:hint="eastAsia" w:ascii="仿宋" w:hAnsi="仿宋" w:eastAsia="仿宋" w:cs="仿宋"/>
          <w:b/>
          <w:bCs/>
          <w:color w:val="000000"/>
          <w:sz w:val="24"/>
          <w:szCs w:val="24"/>
          <w:highlight w:val="none"/>
          <w:u w:val="single"/>
          <w:lang w:val="en-US" w:eastAsia="zh-CN"/>
        </w:rPr>
        <w:t>深圳市博物馆</w:t>
      </w:r>
      <w:r>
        <w:rPr>
          <w:rFonts w:hint="eastAsia" w:ascii="仿宋" w:hAnsi="仿宋" w:eastAsia="仿宋" w:cs="仿宋"/>
          <w:b/>
          <w:bCs/>
          <w:color w:val="000000"/>
          <w:sz w:val="24"/>
          <w:szCs w:val="24"/>
          <w:highlight w:val="none"/>
          <w:u w:val="single"/>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的 </w:t>
      </w:r>
      <w:r>
        <w:rPr>
          <w:rFonts w:hint="eastAsia" w:ascii="仿宋" w:hAnsi="仿宋" w:eastAsia="仿宋" w:cs="仿宋"/>
          <w:b/>
          <w:bCs/>
          <w:color w:val="000000"/>
          <w:sz w:val="24"/>
          <w:szCs w:val="24"/>
          <w:highlight w:val="none"/>
          <w:u w:val="single"/>
          <w:lang w:eastAsia="zh-CN"/>
        </w:rPr>
        <w:t>深圳自然博物馆展品征集（古生物标本修复）服务</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采购活动，服务全部由符合政策要求的中小企业承接。本企业的具体情况如下：</w:t>
      </w:r>
    </w:p>
    <w:p w14:paraId="147442F6">
      <w:pPr>
        <w:spacing w:line="2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u w:val="single"/>
        </w:rPr>
        <w:t xml:space="preserve">1.    </w:t>
      </w:r>
      <w:r>
        <w:rPr>
          <w:rFonts w:hint="eastAsia" w:ascii="仿宋" w:hAnsi="仿宋" w:eastAsia="仿宋" w:cs="仿宋"/>
          <w:b/>
          <w:bCs/>
          <w:color w:val="000000"/>
          <w:sz w:val="24"/>
          <w:szCs w:val="24"/>
          <w:highlight w:val="none"/>
          <w:u w:val="single"/>
          <w:lang w:eastAsia="zh-CN"/>
        </w:rPr>
        <w:t>深圳自然博物馆展品征集（古生物标本修复）服务</w:t>
      </w:r>
      <w:r>
        <w:rPr>
          <w:rFonts w:hint="eastAsia" w:ascii="仿宋" w:hAnsi="仿宋" w:eastAsia="仿宋" w:cs="仿宋"/>
          <w:b/>
          <w:bCs/>
          <w:color w:val="000000"/>
          <w:sz w:val="24"/>
          <w:szCs w:val="24"/>
          <w:highlight w:val="none"/>
          <w:u w:val="single"/>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，属于</w:t>
      </w:r>
      <w:r>
        <w:rPr>
          <w:rFonts w:hint="eastAsia" w:ascii="仿宋" w:hAnsi="仿宋" w:eastAsia="仿宋" w:cs="仿宋"/>
          <w:color w:val="000000"/>
          <w:sz w:val="24"/>
          <w:szCs w:val="24"/>
          <w:highlight w:val="none"/>
          <w:u w:val="single"/>
        </w:rPr>
        <w:t xml:space="preserve">  </w:t>
      </w:r>
      <w:r>
        <w:rPr>
          <w:rFonts w:hint="eastAsia" w:ascii="仿宋" w:hAnsi="仿宋" w:eastAsia="仿宋" w:cs="仿宋"/>
          <w:b/>
          <w:bCs/>
          <w:color w:val="000000"/>
          <w:sz w:val="24"/>
          <w:szCs w:val="24"/>
          <w:highlight w:val="none"/>
          <w:u w:val="single"/>
          <w:lang w:val="en-US" w:eastAsia="zh-CN"/>
        </w:rPr>
        <w:t>其他未列明行业</w:t>
      </w:r>
      <w:r>
        <w:rPr>
          <w:rFonts w:hint="eastAsia" w:ascii="仿宋" w:hAnsi="仿宋" w:eastAsia="仿宋" w:cs="仿宋"/>
          <w:b/>
          <w:bCs/>
          <w:color w:val="000000"/>
          <w:sz w:val="24"/>
          <w:szCs w:val="24"/>
          <w:highlight w:val="none"/>
          <w:u w:val="single"/>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承建（承接）企业为</w:t>
      </w:r>
      <w:r>
        <w:rPr>
          <w:rFonts w:hint="eastAsia" w:ascii="仿宋" w:hAnsi="仿宋" w:eastAsia="仿宋" w:cs="仿宋"/>
          <w:color w:val="000000"/>
          <w:sz w:val="24"/>
          <w:szCs w:val="24"/>
          <w:highlight w:val="none"/>
          <w:u w:val="single"/>
        </w:rPr>
        <w:t xml:space="preserve">  </w:t>
      </w:r>
      <w:r>
        <w:rPr>
          <w:rFonts w:hint="eastAsia" w:ascii="仿宋" w:hAnsi="仿宋" w:eastAsia="仿宋" w:cs="仿宋"/>
          <w:b/>
          <w:bCs/>
          <w:color w:val="000000"/>
          <w:sz w:val="24"/>
          <w:szCs w:val="24"/>
          <w:highlight w:val="none"/>
          <w:u w:val="single"/>
        </w:rPr>
        <w:t>（企业名称）</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，从业人员</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人，营业 收入为</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万元，资产总额为</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万元，属于</w:t>
      </w:r>
      <w:r>
        <w:rPr>
          <w:rFonts w:hint="eastAsia" w:ascii="仿宋" w:hAnsi="仿宋" w:eastAsia="仿宋" w:cs="仿宋"/>
          <w:color w:val="000000"/>
          <w:sz w:val="24"/>
          <w:szCs w:val="24"/>
          <w:highlight w:val="none"/>
          <w:u w:val="single"/>
        </w:rPr>
        <w:t xml:space="preserve">   </w:t>
      </w:r>
      <w:r>
        <w:rPr>
          <w:rFonts w:hint="eastAsia" w:ascii="仿宋" w:hAnsi="仿宋" w:eastAsia="仿宋" w:cs="仿宋"/>
          <w:b/>
          <w:bCs/>
          <w:color w:val="000000"/>
          <w:sz w:val="24"/>
          <w:szCs w:val="24"/>
          <w:highlight w:val="none"/>
          <w:u w:val="single"/>
        </w:rPr>
        <w:t>（中型企业、 小型企业、微型企业）</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p>
    <w:p w14:paraId="38EBFAFD">
      <w:pPr>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以上企业，不属于大企业的分支机构，不存在控股股东为大企业的情形，也不存在与大企业的负责人为同一人的情形。 </w:t>
      </w:r>
    </w:p>
    <w:p w14:paraId="5B3A46D8">
      <w:pPr>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本公司已知悉《政府采购促进中小企业发展管理办法》（财库〔2020〕46 号）、《中小企业划型标准规定》（工信部联企〔2011〕300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采购有关法律法规规定追究相应责任。本企业对上述声明内容的真实性负责。如有虚假，将依法承担相应责任。</w:t>
      </w:r>
    </w:p>
    <w:p w14:paraId="1DBD1EF2">
      <w:pPr>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企业名称：</w:t>
      </w:r>
    </w:p>
    <w:p w14:paraId="156AB825">
      <w:pPr>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日   期：</w:t>
      </w:r>
    </w:p>
    <w:p w14:paraId="1824543F">
      <w:pPr>
        <w:rPr>
          <w:rFonts w:hint="eastAsia" w:ascii="仿宋" w:hAnsi="仿宋" w:eastAsia="仿宋" w:cs="仿宋"/>
          <w:b/>
          <w:bCs/>
          <w:color w:val="000000"/>
          <w:sz w:val="24"/>
          <w:szCs w:val="24"/>
          <w:highlight w:val="none"/>
        </w:rPr>
      </w:pPr>
    </w:p>
    <w:p w14:paraId="7F449D93">
      <w:pPr>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（2）残疾人福利性单位声明函（仅限残疾人福利性单位）</w:t>
      </w:r>
    </w:p>
    <w:p w14:paraId="193ACCBF">
      <w:pPr>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506F44F">
      <w:pPr>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本单位知悉《关于促进残疾人就业政府采购政策的通知》（财库〔2017〕141 号）的规定，承诺提供的声明函内容是真实的，如提供声明函内容不实，则依法追究相关法律责任。本单位对上述声明的真实性负责。如有虚假，将依法承担相应责任。</w:t>
      </w:r>
    </w:p>
    <w:p w14:paraId="0402DAC1">
      <w:pPr>
        <w:wordWrap w:val="0"/>
        <w:ind w:right="420"/>
        <w:rPr>
          <w:rFonts w:hint="eastAsia" w:ascii="仿宋" w:hAnsi="仿宋" w:eastAsia="仿宋" w:cs="仿宋"/>
          <w:color w:val="000000"/>
          <w:sz w:val="24"/>
          <w:szCs w:val="24"/>
          <w:highlight w:val="none"/>
        </w:rPr>
      </w:pPr>
    </w:p>
    <w:p w14:paraId="0D6784E5">
      <w:pPr>
        <w:ind w:firstLine="480" w:firstLineChars="200"/>
        <w:jc w:val="right"/>
        <w:rPr>
          <w:rFonts w:hint="eastAsia" w:ascii="仿宋" w:hAnsi="仿宋" w:eastAsia="仿宋" w:cs="仿宋"/>
          <w:color w:val="000000"/>
          <w:sz w:val="24"/>
          <w:szCs w:val="24"/>
          <w:highlight w:val="none"/>
        </w:rPr>
      </w:pPr>
    </w:p>
    <w:p w14:paraId="5E1DFBBC">
      <w:pPr>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（3）省级以上监狱管理局、戒毒管理局（含新疆生产建设兵团）出具的属于监狱企业的证明文件（样表）</w:t>
      </w:r>
    </w:p>
    <w:p w14:paraId="75BDB2F8">
      <w:pPr>
        <w:jc w:val="center"/>
        <w:rPr>
          <w:rFonts w:hint="eastAsia" w:ascii="仿宋" w:hAnsi="仿宋" w:eastAsia="仿宋" w:cs="仿宋"/>
          <w:b/>
          <w:color w:val="000000"/>
          <w:sz w:val="24"/>
          <w:szCs w:val="24"/>
          <w:highlight w:val="none"/>
        </w:rPr>
      </w:pPr>
    </w:p>
    <w:p w14:paraId="03A86E97">
      <w:pPr>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本单位郑重声明，根据《财政部司法部关于政府采购支持监狱企业发展有关问题的通知》（财库〔2014〕68号）的规定，本单位为符合条件的监狱企业，且本单位参加</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u w:val="single"/>
        </w:rPr>
        <w:t>（采购单位名称）</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单位的（采购项目名称）项目采购活动，并提供:□本单位制造的货物；□由本单位承担的工程、提供服务；□提供其他监狱企业制造的货物（承诺人在□处打√）。本条所称货物是指单一产品采购项目中的货物，或者非单一产品采购项目中的核心产品（货物）。</w:t>
      </w:r>
    </w:p>
    <w:p w14:paraId="1B65469F">
      <w:pPr>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本单位对上述声明的真实性负责。如有虚假，将依法承担相应责任。</w:t>
      </w:r>
    </w:p>
    <w:p w14:paraId="169B1512">
      <w:pPr>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附：省级以上监狱管理局、戒毒管理局（含新疆生产建设兵团）出具的监狱企业证明文件。</w:t>
      </w:r>
    </w:p>
    <w:p w14:paraId="3478F3D0">
      <w:pPr>
        <w:ind w:firstLine="480" w:firstLineChars="200"/>
        <w:rPr>
          <w:rFonts w:hint="eastAsia" w:ascii="仿宋" w:hAnsi="仿宋" w:eastAsia="仿宋" w:cs="仿宋"/>
          <w:color w:val="000000"/>
          <w:sz w:val="24"/>
          <w:szCs w:val="24"/>
          <w:highlight w:val="none"/>
        </w:rPr>
      </w:pPr>
    </w:p>
    <w:p w14:paraId="40A52FCE">
      <w:pPr>
        <w:ind w:firstLine="480" w:firstLineChars="200"/>
        <w:rPr>
          <w:rFonts w:hint="eastAsia" w:ascii="仿宋" w:hAnsi="仿宋" w:eastAsia="仿宋" w:cs="仿宋"/>
          <w:color w:val="000000"/>
          <w:sz w:val="24"/>
          <w:szCs w:val="24"/>
          <w:highlight w:val="none"/>
        </w:rPr>
      </w:pPr>
    </w:p>
    <w:p w14:paraId="207C8D2C">
      <w:pPr>
        <w:ind w:firstLine="3600" w:firstLineChars="15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法定代表人或其授权委托人（</w:t>
      </w:r>
      <w:r>
        <w:rPr>
          <w:rFonts w:hint="eastAsia" w:ascii="仿宋" w:hAnsi="仿宋" w:eastAsia="仿宋" w:cs="仿宋"/>
          <w:b/>
          <w:color w:val="000000"/>
          <w:sz w:val="24"/>
          <w:szCs w:val="24"/>
          <w:highlight w:val="none"/>
        </w:rPr>
        <w:t>签名或盖私章</w:t>
      </w:r>
      <w:r>
        <w:rPr>
          <w:rFonts w:hint="eastAsia" w:ascii="仿宋" w:hAnsi="仿宋" w:eastAsia="仿宋" w:cs="仿宋"/>
          <w:color w:val="000000"/>
          <w:sz w:val="24"/>
          <w:szCs w:val="24"/>
          <w:highlight w:val="none"/>
        </w:rPr>
        <w:t>）：</w:t>
      </w:r>
    </w:p>
    <w:p w14:paraId="0C8B4875">
      <w:pPr>
        <w:jc w:val="left"/>
        <w:rPr>
          <w:rFonts w:hint="eastAsia" w:ascii="仿宋" w:hAnsi="仿宋" w:eastAsia="仿宋" w:cs="仿宋"/>
          <w:color w:val="000000"/>
          <w:sz w:val="24"/>
          <w:szCs w:val="24"/>
          <w:highlight w:val="none"/>
        </w:rPr>
      </w:pPr>
    </w:p>
    <w:p w14:paraId="25E89A8D">
      <w:pPr>
        <w:ind w:firstLine="3600" w:firstLineChars="15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投标单位（</w:t>
      </w:r>
      <w:r>
        <w:rPr>
          <w:rFonts w:hint="eastAsia" w:ascii="仿宋" w:hAnsi="仿宋" w:eastAsia="仿宋" w:cs="仿宋"/>
          <w:b/>
          <w:color w:val="000000"/>
          <w:sz w:val="24"/>
          <w:szCs w:val="24"/>
          <w:highlight w:val="none"/>
        </w:rPr>
        <w:t>盖公章</w:t>
      </w:r>
      <w:r>
        <w:rPr>
          <w:rFonts w:hint="eastAsia" w:ascii="仿宋" w:hAnsi="仿宋" w:eastAsia="仿宋" w:cs="仿宋"/>
          <w:color w:val="000000"/>
          <w:sz w:val="24"/>
          <w:szCs w:val="24"/>
          <w:highlight w:val="none"/>
        </w:rPr>
        <w:t>）：</w:t>
      </w:r>
    </w:p>
    <w:p w14:paraId="23A37E2D">
      <w:pPr>
        <w:jc w:val="left"/>
        <w:rPr>
          <w:rFonts w:hint="eastAsia" w:ascii="仿宋" w:hAnsi="仿宋" w:eastAsia="仿宋" w:cs="仿宋"/>
          <w:color w:val="000000"/>
          <w:sz w:val="24"/>
          <w:szCs w:val="24"/>
          <w:highlight w:val="none"/>
        </w:rPr>
      </w:pPr>
    </w:p>
    <w:p w14:paraId="62F944C1">
      <w:pPr>
        <w:jc w:val="righ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日期：    年  月  日</w:t>
      </w:r>
    </w:p>
    <w:p w14:paraId="583FB295">
      <w:pPr>
        <w:keepNext/>
        <w:keepLines/>
        <w:pageBreakBefore w:val="0"/>
        <w:widowControl w:val="0"/>
        <w:kinsoku/>
        <w:wordWrap/>
        <w:overflowPunct/>
        <w:topLinePunct w:val="0"/>
        <w:autoSpaceDE/>
        <w:autoSpaceDN/>
        <w:bidi w:val="0"/>
        <w:adjustRightInd/>
        <w:snapToGrid/>
        <w:spacing w:line="416" w:lineRule="auto"/>
        <w:jc w:val="center"/>
        <w:textAlignment w:val="auto"/>
        <w:outlineLvl w:val="9"/>
        <w:rPr>
          <w:rFonts w:hint="eastAsia" w:ascii="仿宋" w:hAnsi="仿宋" w:eastAsia="仿宋" w:cs="仿宋"/>
          <w:highlight w:val="none"/>
        </w:rPr>
      </w:pPr>
      <w:r>
        <w:rPr>
          <w:rFonts w:hint="eastAsia" w:ascii="仿宋" w:hAnsi="仿宋" w:eastAsia="仿宋" w:cs="仿宋"/>
          <w:b w:val="0"/>
          <w:bCs w:val="0"/>
          <w:sz w:val="24"/>
          <w:szCs w:val="24"/>
          <w:highlight w:val="none"/>
          <w:lang w:val="en-US" w:eastAsia="zh-CN"/>
        </w:rPr>
        <w:t xml:space="preserve"> </w:t>
      </w:r>
    </w:p>
    <w:p w14:paraId="33461E0D">
      <w:pPr>
        <w:keepNext/>
        <w:keepLines/>
        <w:pageBreakBefore w:val="0"/>
        <w:widowControl w:val="0"/>
        <w:kinsoku/>
        <w:wordWrap/>
        <w:overflowPunct/>
        <w:topLinePunct w:val="0"/>
        <w:autoSpaceDE/>
        <w:autoSpaceDN/>
        <w:bidi w:val="0"/>
        <w:adjustRightInd/>
        <w:snapToGrid/>
        <w:spacing w:line="416" w:lineRule="auto"/>
        <w:jc w:val="center"/>
        <w:textAlignment w:val="auto"/>
        <w:outlineLvl w:val="2"/>
        <w:rPr>
          <w:rFonts w:hint="eastAsia" w:ascii="仿宋" w:hAnsi="仿宋" w:eastAsia="仿宋" w:cs="仿宋"/>
          <w:highlight w:val="none"/>
        </w:rPr>
      </w:pPr>
      <w:r>
        <w:rPr>
          <w:rFonts w:hint="eastAsia" w:ascii="仿宋" w:hAnsi="仿宋" w:eastAsia="仿宋" w:cs="仿宋"/>
          <w:b w:val="0"/>
          <w:bCs w:val="0"/>
          <w:sz w:val="24"/>
          <w:szCs w:val="24"/>
          <w:highlight w:val="none"/>
        </w:rPr>
        <w:br w:type="page"/>
      </w:r>
      <w:bookmarkStart w:id="277" w:name="_Toc31072"/>
      <w:r>
        <w:rPr>
          <w:rFonts w:hint="eastAsia" w:ascii="仿宋" w:hAnsi="仿宋" w:eastAsia="仿宋" w:cs="仿宋"/>
          <w:b/>
          <w:bCs/>
          <w:sz w:val="28"/>
          <w:szCs w:val="28"/>
          <w:highlight w:val="none"/>
          <w:lang w:eastAsia="zh-CN"/>
        </w:rPr>
        <w:t>四</w:t>
      </w:r>
      <w:r>
        <w:rPr>
          <w:rFonts w:hint="eastAsia" w:ascii="仿宋" w:hAnsi="仿宋" w:eastAsia="仿宋" w:cs="仿宋"/>
          <w:b/>
          <w:bCs/>
          <w:sz w:val="28"/>
          <w:szCs w:val="28"/>
          <w:highlight w:val="none"/>
        </w:rPr>
        <w:t>、法定代表人（负责人或</w:t>
      </w:r>
      <w:r>
        <w:rPr>
          <w:rFonts w:hint="eastAsia" w:ascii="仿宋" w:hAnsi="仿宋" w:eastAsia="仿宋" w:cs="仿宋"/>
          <w:b/>
          <w:bCs/>
          <w:sz w:val="28"/>
          <w:szCs w:val="28"/>
          <w:highlight w:val="none"/>
          <w:lang w:eastAsia="zh-CN"/>
        </w:rPr>
        <w:t>执行事务合伙人</w:t>
      </w:r>
      <w:r>
        <w:rPr>
          <w:rFonts w:hint="eastAsia" w:ascii="仿宋" w:hAnsi="仿宋" w:eastAsia="仿宋" w:cs="仿宋"/>
          <w:b/>
          <w:bCs/>
          <w:sz w:val="28"/>
          <w:szCs w:val="28"/>
          <w:highlight w:val="none"/>
        </w:rPr>
        <w:t>）资格证明书</w:t>
      </w:r>
      <w:bookmarkEnd w:id="277"/>
    </w:p>
    <w:p w14:paraId="0461624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致友和保险经纪有限公司：</w:t>
      </w:r>
    </w:p>
    <w:p w14:paraId="3C5B550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单位名称：</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softHyphen/>
      </w:r>
      <w:r>
        <w:rPr>
          <w:rFonts w:hint="eastAsia" w:ascii="仿宋" w:hAnsi="仿宋" w:eastAsia="仿宋" w:cs="仿宋"/>
          <w:color w:val="000000"/>
          <w:sz w:val="24"/>
          <w:highlight w:val="none"/>
          <w:u w:val="single"/>
        </w:rPr>
        <w:softHyphen/>
      </w:r>
      <w:r>
        <w:rPr>
          <w:rFonts w:hint="eastAsia" w:ascii="仿宋" w:hAnsi="仿宋" w:eastAsia="仿宋" w:cs="仿宋"/>
          <w:color w:val="000000"/>
          <w:sz w:val="24"/>
          <w:highlight w:val="none"/>
          <w:u w:val="single"/>
        </w:rPr>
        <w:softHyphen/>
      </w:r>
      <w:r>
        <w:rPr>
          <w:rFonts w:hint="eastAsia" w:ascii="仿宋" w:hAnsi="仿宋" w:eastAsia="仿宋" w:cs="仿宋"/>
          <w:color w:val="000000"/>
          <w:sz w:val="24"/>
          <w:highlight w:val="none"/>
          <w:u w:val="single"/>
        </w:rPr>
        <w:softHyphen/>
      </w:r>
      <w:r>
        <w:rPr>
          <w:rFonts w:hint="eastAsia" w:ascii="仿宋" w:hAnsi="仿宋" w:eastAsia="仿宋" w:cs="仿宋"/>
          <w:color w:val="000000"/>
          <w:sz w:val="24"/>
          <w:highlight w:val="none"/>
          <w:u w:val="single"/>
        </w:rPr>
        <w:softHyphen/>
      </w:r>
    </w:p>
    <w:p w14:paraId="7730013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地    址：</w:t>
      </w:r>
      <w:r>
        <w:rPr>
          <w:rFonts w:hint="eastAsia" w:ascii="仿宋" w:hAnsi="仿宋" w:eastAsia="仿宋" w:cs="仿宋"/>
          <w:color w:val="000000"/>
          <w:sz w:val="24"/>
          <w:highlight w:val="none"/>
          <w:u w:val="single"/>
          <w:lang w:val="en-US" w:eastAsia="zh-CN"/>
        </w:rPr>
        <w:t xml:space="preserve">                   </w:t>
      </w:r>
    </w:p>
    <w:p w14:paraId="17C9E98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姓    名：</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性别：</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年龄：</w:t>
      </w:r>
      <w:r>
        <w:rPr>
          <w:rFonts w:hint="eastAsia" w:ascii="仿宋" w:hAnsi="仿宋" w:eastAsia="仿宋" w:cs="仿宋"/>
          <w:color w:val="000000"/>
          <w:sz w:val="24"/>
          <w:highlight w:val="none"/>
          <w:u w:val="single"/>
          <w:lang w:val="en-US" w:eastAsia="zh-CN"/>
        </w:rPr>
        <w:t xml:space="preserve">          </w:t>
      </w:r>
    </w:p>
    <w:p w14:paraId="3D74F31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身份证号码：</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rPr>
        <w:t>职务：</w:t>
      </w:r>
      <w:r>
        <w:rPr>
          <w:rFonts w:hint="eastAsia" w:ascii="仿宋" w:hAnsi="仿宋" w:eastAsia="仿宋" w:cs="仿宋"/>
          <w:color w:val="000000"/>
          <w:sz w:val="24"/>
          <w:highlight w:val="none"/>
          <w:u w:val="single"/>
          <w:lang w:val="en-US" w:eastAsia="zh-CN"/>
        </w:rPr>
        <w:t xml:space="preserve">                   </w:t>
      </w:r>
    </w:p>
    <w:p w14:paraId="239CDBE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联系电话或手机号码</w:t>
      </w:r>
      <w:r>
        <w:rPr>
          <w:rFonts w:hint="eastAsia" w:ascii="仿宋" w:hAnsi="仿宋" w:eastAsia="仿宋" w:cs="仿宋"/>
          <w:color w:val="000000"/>
          <w:sz w:val="24"/>
          <w:highlight w:val="none"/>
          <w:u w:val="single"/>
          <w:lang w:val="en-US" w:eastAsia="zh-CN"/>
        </w:rPr>
        <w:t>：（如法定代表人为投标人代表，则必须需填写此项）</w:t>
      </w:r>
      <w:r>
        <w:rPr>
          <w:rFonts w:hint="eastAsia" w:ascii="仿宋" w:hAnsi="仿宋" w:eastAsia="仿宋" w:cs="仿宋"/>
          <w:color w:val="000000"/>
          <w:sz w:val="24"/>
          <w:highlight w:val="none"/>
          <w:lang w:val="en-US" w:eastAsia="zh-CN"/>
        </w:rPr>
        <w:t>。</w:t>
      </w:r>
    </w:p>
    <w:p w14:paraId="5B7E154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我系</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投标人名称</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rPr>
        <w:t>的法定代表人（</w:t>
      </w:r>
      <w:r>
        <w:rPr>
          <w:rFonts w:hint="eastAsia" w:ascii="仿宋" w:hAnsi="仿宋" w:eastAsia="仿宋" w:cs="仿宋"/>
          <w:color w:val="000000"/>
          <w:sz w:val="24"/>
          <w:highlight w:val="none"/>
          <w:lang w:eastAsia="zh-CN"/>
        </w:rPr>
        <w:t>负责人或执行事务合伙人</w:t>
      </w:r>
      <w:r>
        <w:rPr>
          <w:rFonts w:hint="eastAsia" w:ascii="仿宋" w:hAnsi="仿宋" w:eastAsia="仿宋" w:cs="仿宋"/>
          <w:color w:val="000000"/>
          <w:sz w:val="24"/>
          <w:highlight w:val="none"/>
        </w:rPr>
        <w:t>）。本证明书用于</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lang w:eastAsia="zh-CN"/>
        </w:rPr>
        <w:t>投标人</w:t>
      </w:r>
      <w:r>
        <w:rPr>
          <w:rFonts w:hint="eastAsia" w:ascii="仿宋" w:hAnsi="仿宋" w:eastAsia="仿宋" w:cs="仿宋"/>
          <w:color w:val="000000"/>
          <w:sz w:val="24"/>
          <w:highlight w:val="none"/>
          <w:u w:val="single"/>
        </w:rPr>
        <w:t>名称</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rPr>
        <w:t>签署</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lang w:eastAsia="zh-CN"/>
        </w:rPr>
        <w:t>深圳自然博物馆展品征集（古生物标本修复）服务</w:t>
      </w:r>
      <w:r>
        <w:rPr>
          <w:rFonts w:hint="eastAsia" w:ascii="仿宋" w:hAnsi="仿宋" w:eastAsia="仿宋" w:cs="仿宋"/>
          <w:color w:val="000000"/>
          <w:sz w:val="24"/>
          <w:highlight w:val="none"/>
          <w:u w:val="single"/>
        </w:rPr>
        <w:t>（项目编号</w:t>
      </w:r>
      <w:r>
        <w:rPr>
          <w:rFonts w:hint="eastAsia" w:ascii="仿宋" w:hAnsi="仿宋" w:eastAsia="仿宋" w:cs="仿宋"/>
          <w:color w:val="000000"/>
          <w:sz w:val="24"/>
          <w:highlight w:val="none"/>
          <w:u w:val="single"/>
          <w:lang w:eastAsia="zh-CN"/>
        </w:rPr>
        <w:t>：UHOSZC20250792</w:t>
      </w:r>
      <w:r>
        <w:rPr>
          <w:rFonts w:hint="eastAsia" w:ascii="仿宋" w:hAnsi="仿宋" w:eastAsia="仿宋" w:cs="仿宋"/>
          <w:color w:val="000000"/>
          <w:sz w:val="24"/>
          <w:highlight w:val="none"/>
          <w:u w:val="single"/>
        </w:rPr>
        <w:t>）</w:t>
      </w:r>
      <w:r>
        <w:rPr>
          <w:rFonts w:hint="eastAsia" w:ascii="仿宋" w:hAnsi="仿宋" w:eastAsia="仿宋" w:cs="仿宋"/>
          <w:color w:val="000000"/>
          <w:sz w:val="24"/>
          <w:highlight w:val="none"/>
        </w:rPr>
        <w:t>项目的投标文件、进行合同投标、签署合同和处理与之有关的一切事务。</w:t>
      </w:r>
    </w:p>
    <w:p w14:paraId="77E545B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特此证明。</w:t>
      </w:r>
    </w:p>
    <w:p w14:paraId="3A3494E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月  日</w:t>
      </w:r>
    </w:p>
    <w:p w14:paraId="270132B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注：法定代表人为企业事业单位、国家机关、社会团体的主要行政负责人。</w:t>
      </w:r>
    </w:p>
    <w:p w14:paraId="2CAE52DD">
      <w:pPr>
        <w:spacing w:line="360" w:lineRule="auto"/>
        <w:rPr>
          <w:rFonts w:hint="eastAsia" w:ascii="仿宋" w:hAnsi="仿宋" w:eastAsia="仿宋" w:cs="仿宋"/>
          <w:bCs/>
          <w:color w:val="000000"/>
          <w:sz w:val="24"/>
          <w:highlight w:val="none"/>
        </w:rPr>
      </w:pPr>
      <w:r>
        <w:rPr>
          <w:rFonts w:hint="eastAsia" w:ascii="仿宋" w:hAnsi="仿宋" w:eastAsia="仿宋" w:cs="仿宋"/>
          <w:color w:val="000000"/>
          <w:highlight w:val="none"/>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109855</wp:posOffset>
                </wp:positionV>
                <wp:extent cx="2830830" cy="1920875"/>
                <wp:effectExtent l="5080" t="4445" r="21590" b="17780"/>
                <wp:wrapNone/>
                <wp:docPr id="3" name="文本框 3"/>
                <wp:cNvGraphicFramePr/>
                <a:graphic xmlns:a="http://schemas.openxmlformats.org/drawingml/2006/main">
                  <a:graphicData uri="http://schemas.microsoft.com/office/word/2010/wordprocessingShape">
                    <wps:wsp>
                      <wps:cNvSpPr txBox="1"/>
                      <wps:spPr>
                        <a:xfrm>
                          <a:off x="0" y="0"/>
                          <a:ext cx="2830830" cy="19208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9A6FD32">
                            <w:pPr>
                              <w:widowControl/>
                              <w:jc w:val="left"/>
                              <w:rPr>
                                <w:rFonts w:ascii="宋体" w:hAnsi="宋体" w:cs="宋体"/>
                                <w:kern w:val="0"/>
                                <w:sz w:val="24"/>
                              </w:rPr>
                            </w:pPr>
                          </w:p>
                          <w:p w14:paraId="077BF8CA">
                            <w:pPr>
                              <w:widowControl/>
                              <w:jc w:val="left"/>
                            </w:pPr>
                          </w:p>
                          <w:p w14:paraId="030C607B">
                            <w:pPr>
                              <w:jc w:val="center"/>
                              <w:rPr>
                                <w:rFonts w:hint="eastAsia" w:ascii="仿宋" w:hAnsi="仿宋" w:eastAsia="仿宋" w:cs="仿宋"/>
                                <w:bCs/>
                                <w:sz w:val="22"/>
                                <w:szCs w:val="22"/>
                              </w:rPr>
                            </w:pPr>
                            <w:r>
                              <w:rPr>
                                <w:rFonts w:hint="eastAsia" w:ascii="仿宋" w:hAnsi="仿宋" w:eastAsia="仿宋" w:cs="仿宋"/>
                                <w:bCs/>
                                <w:sz w:val="22"/>
                                <w:szCs w:val="22"/>
                              </w:rPr>
                              <w:t>法定代表人（</w:t>
                            </w:r>
                            <w:r>
                              <w:rPr>
                                <w:rFonts w:hint="eastAsia" w:ascii="仿宋" w:hAnsi="仿宋" w:eastAsia="仿宋" w:cs="仿宋"/>
                                <w:bCs/>
                                <w:sz w:val="22"/>
                                <w:szCs w:val="22"/>
                                <w:lang w:eastAsia="zh-CN"/>
                              </w:rPr>
                              <w:t>负责人或执行事务合伙人</w:t>
                            </w:r>
                            <w:r>
                              <w:rPr>
                                <w:rFonts w:hint="eastAsia" w:ascii="仿宋" w:hAnsi="仿宋" w:eastAsia="仿宋" w:cs="仿宋"/>
                                <w:bCs/>
                                <w:sz w:val="22"/>
                                <w:szCs w:val="22"/>
                              </w:rPr>
                              <w:t>）</w:t>
                            </w:r>
                          </w:p>
                          <w:p w14:paraId="3E1BAD8F">
                            <w:pPr>
                              <w:jc w:val="center"/>
                              <w:rPr>
                                <w:rFonts w:hint="eastAsia" w:ascii="仿宋" w:hAnsi="仿宋" w:eastAsia="仿宋" w:cs="仿宋"/>
                                <w:sz w:val="22"/>
                                <w:szCs w:val="28"/>
                              </w:rPr>
                            </w:pPr>
                            <w:r>
                              <w:rPr>
                                <w:rFonts w:hint="eastAsia" w:ascii="仿宋" w:hAnsi="仿宋" w:eastAsia="仿宋" w:cs="仿宋"/>
                                <w:bCs/>
                                <w:sz w:val="28"/>
                                <w:szCs w:val="28"/>
                              </w:rPr>
                              <w:t>身份证</w:t>
                            </w:r>
                            <w:r>
                              <w:rPr>
                                <w:rFonts w:hint="eastAsia" w:ascii="仿宋" w:hAnsi="仿宋" w:eastAsia="仿宋" w:cs="仿宋"/>
                                <w:sz w:val="28"/>
                                <w:szCs w:val="36"/>
                              </w:rPr>
                              <w:t>正面</w:t>
                            </w:r>
                          </w:p>
                        </w:txbxContent>
                      </wps:txbx>
                      <wps:bodyPr vert="horz" wrap="square" anchor="t" anchorCtr="0" upright="1"/>
                    </wps:wsp>
                  </a:graphicData>
                </a:graphic>
              </wp:anchor>
            </w:drawing>
          </mc:Choice>
          <mc:Fallback>
            <w:pict>
              <v:shape id="_x0000_s1026" o:spid="_x0000_s1026" o:spt="202" type="#_x0000_t202" style="position:absolute;left:0pt;margin-left:0.15pt;margin-top:8.65pt;height:151.25pt;width:222.9pt;z-index:251659264;mso-width-relative:page;mso-height-relative:page;" fillcolor="#FFFFFF" filled="t" stroked="t" coordsize="21600,21600" o:gfxdata="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VMnmr1QAAAAcBAAAPAAAAAAAAAAEAIAAAACIAAABkcnMvZG93bnJldi54bWxQSwEC&#10;FAAUAAAACACHTuJAu8rxRDACAAB4BAAADgAAAAAAAAABACAAAAAkAQAAZHJzL2Uyb0RvYy54bWxQ&#10;SwUGAAAAAAYABgBZAQAAxgUAAAAA&#10;">
                <v:fill on="t" focussize="0,0"/>
                <v:stroke color="#000000" joinstyle="miter"/>
                <v:imagedata o:title=""/>
                <o:lock v:ext="edit" aspectratio="f"/>
                <v:textbox>
                  <w:txbxContent>
                    <w:p w14:paraId="69A6FD32">
                      <w:pPr>
                        <w:widowControl/>
                        <w:jc w:val="left"/>
                        <w:rPr>
                          <w:rFonts w:ascii="宋体" w:hAnsi="宋体" w:cs="宋体"/>
                          <w:kern w:val="0"/>
                          <w:sz w:val="24"/>
                        </w:rPr>
                      </w:pPr>
                    </w:p>
                    <w:p w14:paraId="077BF8CA">
                      <w:pPr>
                        <w:widowControl/>
                        <w:jc w:val="left"/>
                      </w:pPr>
                    </w:p>
                    <w:p w14:paraId="030C607B">
                      <w:pPr>
                        <w:jc w:val="center"/>
                        <w:rPr>
                          <w:rFonts w:hint="eastAsia" w:ascii="仿宋" w:hAnsi="仿宋" w:eastAsia="仿宋" w:cs="仿宋"/>
                          <w:bCs/>
                          <w:sz w:val="22"/>
                          <w:szCs w:val="22"/>
                        </w:rPr>
                      </w:pPr>
                      <w:r>
                        <w:rPr>
                          <w:rFonts w:hint="eastAsia" w:ascii="仿宋" w:hAnsi="仿宋" w:eastAsia="仿宋" w:cs="仿宋"/>
                          <w:bCs/>
                          <w:sz w:val="22"/>
                          <w:szCs w:val="22"/>
                        </w:rPr>
                        <w:t>法定代表人（</w:t>
                      </w:r>
                      <w:r>
                        <w:rPr>
                          <w:rFonts w:hint="eastAsia" w:ascii="仿宋" w:hAnsi="仿宋" w:eastAsia="仿宋" w:cs="仿宋"/>
                          <w:bCs/>
                          <w:sz w:val="22"/>
                          <w:szCs w:val="22"/>
                          <w:lang w:eastAsia="zh-CN"/>
                        </w:rPr>
                        <w:t>负责人或执行事务合伙人</w:t>
                      </w:r>
                      <w:r>
                        <w:rPr>
                          <w:rFonts w:hint="eastAsia" w:ascii="仿宋" w:hAnsi="仿宋" w:eastAsia="仿宋" w:cs="仿宋"/>
                          <w:bCs/>
                          <w:sz w:val="22"/>
                          <w:szCs w:val="22"/>
                        </w:rPr>
                        <w:t>）</w:t>
                      </w:r>
                    </w:p>
                    <w:p w14:paraId="3E1BAD8F">
                      <w:pPr>
                        <w:jc w:val="center"/>
                        <w:rPr>
                          <w:rFonts w:hint="eastAsia" w:ascii="仿宋" w:hAnsi="仿宋" w:eastAsia="仿宋" w:cs="仿宋"/>
                          <w:sz w:val="22"/>
                          <w:szCs w:val="28"/>
                        </w:rPr>
                      </w:pPr>
                      <w:r>
                        <w:rPr>
                          <w:rFonts w:hint="eastAsia" w:ascii="仿宋" w:hAnsi="仿宋" w:eastAsia="仿宋" w:cs="仿宋"/>
                          <w:bCs/>
                          <w:sz w:val="28"/>
                          <w:szCs w:val="28"/>
                        </w:rPr>
                        <w:t>身份证</w:t>
                      </w:r>
                      <w:r>
                        <w:rPr>
                          <w:rFonts w:hint="eastAsia" w:ascii="仿宋" w:hAnsi="仿宋" w:eastAsia="仿宋" w:cs="仿宋"/>
                          <w:sz w:val="28"/>
                          <w:szCs w:val="36"/>
                        </w:rPr>
                        <w:t>正面</w:t>
                      </w:r>
                    </w:p>
                  </w:txbxContent>
                </v:textbox>
              </v:shape>
            </w:pict>
          </mc:Fallback>
        </mc:AlternateContent>
      </w:r>
    </w:p>
    <w:p w14:paraId="48F6BC61">
      <w:pPr>
        <w:spacing w:line="360" w:lineRule="auto"/>
        <w:rPr>
          <w:rFonts w:hint="eastAsia" w:ascii="仿宋" w:hAnsi="仿宋" w:eastAsia="仿宋" w:cs="仿宋"/>
          <w:bCs/>
          <w:color w:val="000000"/>
          <w:sz w:val="24"/>
          <w:highlight w:val="none"/>
        </w:rPr>
      </w:pPr>
    </w:p>
    <w:p w14:paraId="6F4D1626">
      <w:pPr>
        <w:spacing w:line="360" w:lineRule="auto"/>
        <w:rPr>
          <w:rFonts w:hint="eastAsia" w:ascii="仿宋" w:hAnsi="仿宋" w:eastAsia="仿宋" w:cs="仿宋"/>
          <w:bCs/>
          <w:color w:val="000000"/>
          <w:sz w:val="24"/>
          <w:highlight w:val="none"/>
        </w:rPr>
      </w:pPr>
    </w:p>
    <w:p w14:paraId="5136F3E1">
      <w:pPr>
        <w:spacing w:line="360" w:lineRule="auto"/>
        <w:rPr>
          <w:rFonts w:hint="eastAsia" w:ascii="仿宋" w:hAnsi="仿宋" w:eastAsia="仿宋" w:cs="仿宋"/>
          <w:bCs/>
          <w:color w:val="000000"/>
          <w:sz w:val="24"/>
          <w:highlight w:val="none"/>
        </w:rPr>
      </w:pPr>
    </w:p>
    <w:p w14:paraId="134C49D6">
      <w:pPr>
        <w:rPr>
          <w:rFonts w:hint="eastAsia" w:ascii="仿宋" w:hAnsi="仿宋" w:eastAsia="仿宋" w:cs="仿宋"/>
          <w:color w:val="000000"/>
          <w:sz w:val="24"/>
          <w:highlight w:val="none"/>
        </w:rPr>
      </w:pPr>
    </w:p>
    <w:p w14:paraId="5CD3CC67">
      <w:pPr>
        <w:rPr>
          <w:rFonts w:hint="eastAsia" w:ascii="仿宋" w:hAnsi="仿宋" w:eastAsia="仿宋" w:cs="仿宋"/>
          <w:color w:val="000000"/>
          <w:sz w:val="24"/>
          <w:highlight w:val="none"/>
        </w:rPr>
      </w:pPr>
    </w:p>
    <w:p w14:paraId="5E49537D">
      <w:pPr>
        <w:spacing w:after="60"/>
        <w:rPr>
          <w:rFonts w:hint="eastAsia" w:ascii="仿宋" w:hAnsi="仿宋" w:eastAsia="仿宋" w:cs="仿宋"/>
          <w:color w:val="000000"/>
          <w:sz w:val="24"/>
          <w:highlight w:val="none"/>
        </w:rPr>
      </w:pPr>
    </w:p>
    <w:p w14:paraId="08627A67">
      <w:pPr>
        <w:rPr>
          <w:rFonts w:hint="eastAsia" w:ascii="仿宋" w:hAnsi="仿宋" w:eastAsia="仿宋" w:cs="仿宋"/>
          <w:color w:val="000000"/>
          <w:sz w:val="24"/>
          <w:highlight w:val="none"/>
        </w:rPr>
      </w:pPr>
    </w:p>
    <w:p w14:paraId="38BF02B4">
      <w:pPr>
        <w:jc w:val="center"/>
        <w:rPr>
          <w:rFonts w:hint="eastAsia" w:ascii="仿宋" w:hAnsi="仿宋" w:eastAsia="仿宋" w:cs="仿宋"/>
          <w:b/>
          <w:bCs/>
          <w:color w:val="000000"/>
          <w:sz w:val="24"/>
          <w:highlight w:val="none"/>
        </w:rPr>
      </w:pPr>
      <w:r>
        <w:rPr>
          <w:rFonts w:hint="eastAsia" w:ascii="仿宋" w:hAnsi="仿宋" w:eastAsia="仿宋" w:cs="仿宋"/>
          <w:color w:val="000000"/>
          <w:highlight w:val="none"/>
        </w:rPr>
        <mc:AlternateContent>
          <mc:Choice Requires="wps">
            <w:drawing>
              <wp:anchor distT="0" distB="0" distL="114300" distR="114300" simplePos="0" relativeHeight="251660288" behindDoc="0" locked="0" layoutInCell="1" allowOverlap="1">
                <wp:simplePos x="0" y="0"/>
                <wp:positionH relativeFrom="column">
                  <wp:posOffset>2999740</wp:posOffset>
                </wp:positionH>
                <wp:positionV relativeFrom="paragraph">
                  <wp:posOffset>-1909445</wp:posOffset>
                </wp:positionV>
                <wp:extent cx="2782570" cy="1920875"/>
                <wp:effectExtent l="5080" t="4445" r="12700" b="17780"/>
                <wp:wrapNone/>
                <wp:docPr id="4" name="文本框 4"/>
                <wp:cNvGraphicFramePr/>
                <a:graphic xmlns:a="http://schemas.openxmlformats.org/drawingml/2006/main">
                  <a:graphicData uri="http://schemas.microsoft.com/office/word/2010/wordprocessingShape">
                    <wps:wsp>
                      <wps:cNvSpPr txBox="1"/>
                      <wps:spPr>
                        <a:xfrm>
                          <a:off x="0" y="0"/>
                          <a:ext cx="2782570" cy="19208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D81ED71">
                            <w:pPr>
                              <w:widowControl/>
                              <w:jc w:val="left"/>
                              <w:rPr>
                                <w:rFonts w:ascii="宋体" w:hAnsi="宋体" w:cs="宋体"/>
                                <w:kern w:val="0"/>
                                <w:sz w:val="24"/>
                              </w:rPr>
                            </w:pPr>
                          </w:p>
                          <w:p w14:paraId="42F312BA">
                            <w:pPr>
                              <w:widowControl/>
                              <w:jc w:val="left"/>
                            </w:pPr>
                          </w:p>
                          <w:p w14:paraId="22222EB4">
                            <w:pPr>
                              <w:jc w:val="center"/>
                              <w:rPr>
                                <w:rFonts w:hint="eastAsia" w:ascii="仿宋" w:hAnsi="仿宋" w:eastAsia="仿宋" w:cs="仿宋"/>
                                <w:bCs/>
                                <w:sz w:val="22"/>
                                <w:szCs w:val="22"/>
                              </w:rPr>
                            </w:pPr>
                            <w:r>
                              <w:rPr>
                                <w:rFonts w:hint="eastAsia" w:ascii="仿宋" w:hAnsi="仿宋" w:eastAsia="仿宋" w:cs="仿宋"/>
                                <w:bCs/>
                                <w:sz w:val="22"/>
                                <w:szCs w:val="22"/>
                              </w:rPr>
                              <w:t>法定代表人（</w:t>
                            </w:r>
                            <w:r>
                              <w:rPr>
                                <w:rFonts w:hint="eastAsia" w:ascii="仿宋" w:hAnsi="仿宋" w:eastAsia="仿宋" w:cs="仿宋"/>
                                <w:bCs/>
                                <w:sz w:val="22"/>
                                <w:szCs w:val="22"/>
                                <w:lang w:eastAsia="zh-CN"/>
                              </w:rPr>
                              <w:t>负责人或执行事务合伙人</w:t>
                            </w:r>
                            <w:r>
                              <w:rPr>
                                <w:rFonts w:hint="eastAsia" w:ascii="仿宋" w:hAnsi="仿宋" w:eastAsia="仿宋" w:cs="仿宋"/>
                                <w:bCs/>
                                <w:sz w:val="22"/>
                                <w:szCs w:val="22"/>
                              </w:rPr>
                              <w:t>）</w:t>
                            </w:r>
                          </w:p>
                          <w:p w14:paraId="237A83E0">
                            <w:pPr>
                              <w:jc w:val="center"/>
                              <w:rPr>
                                <w:rFonts w:hint="eastAsia" w:ascii="仿宋" w:hAnsi="仿宋" w:eastAsia="仿宋" w:cs="仿宋"/>
                                <w:bCs/>
                                <w:sz w:val="28"/>
                                <w:szCs w:val="28"/>
                              </w:rPr>
                            </w:pPr>
                            <w:r>
                              <w:rPr>
                                <w:rFonts w:hint="eastAsia" w:ascii="仿宋" w:hAnsi="仿宋" w:eastAsia="仿宋" w:cs="仿宋"/>
                                <w:bCs/>
                                <w:sz w:val="28"/>
                                <w:szCs w:val="28"/>
                              </w:rPr>
                              <w:t>身份证反面</w:t>
                            </w:r>
                          </w:p>
                        </w:txbxContent>
                      </wps:txbx>
                      <wps:bodyPr vert="horz" wrap="square" anchor="t" anchorCtr="0" upright="1"/>
                    </wps:wsp>
                  </a:graphicData>
                </a:graphic>
              </wp:anchor>
            </w:drawing>
          </mc:Choice>
          <mc:Fallback>
            <w:pict>
              <v:shape id="_x0000_s1026" o:spid="_x0000_s1026" o:spt="202" type="#_x0000_t202" style="position:absolute;left:0pt;margin-left:236.2pt;margin-top:-150.35pt;height:151.25pt;width:219.1pt;z-index:251660288;mso-width-relative:page;mso-height-relative:page;" fillcolor="#FFFFFF" filled="t" stroked="t" coordsize="21600,21600" o:gfxdata="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TiBpdkAAAAKAQAADwAAAAAAAAABACAAAAAiAAAAZHJzL2Rvd25yZXYueG1s&#10;UEsBAhQAFAAAAAgAh07iQHwd+cowAgAAeAQAAA4AAAAAAAAAAQAgAAAAKAEAAGRycy9lMm9Eb2Mu&#10;eG1sUEsFBgAAAAAGAAYAWQEAAMoFAAAAAA==&#10;">
                <v:fill on="t" focussize="0,0"/>
                <v:stroke color="#000000" joinstyle="miter"/>
                <v:imagedata o:title=""/>
                <o:lock v:ext="edit" aspectratio="f"/>
                <v:textbox>
                  <w:txbxContent>
                    <w:p w14:paraId="5D81ED71">
                      <w:pPr>
                        <w:widowControl/>
                        <w:jc w:val="left"/>
                        <w:rPr>
                          <w:rFonts w:ascii="宋体" w:hAnsi="宋体" w:cs="宋体"/>
                          <w:kern w:val="0"/>
                          <w:sz w:val="24"/>
                        </w:rPr>
                      </w:pPr>
                    </w:p>
                    <w:p w14:paraId="42F312BA">
                      <w:pPr>
                        <w:widowControl/>
                        <w:jc w:val="left"/>
                      </w:pPr>
                    </w:p>
                    <w:p w14:paraId="22222EB4">
                      <w:pPr>
                        <w:jc w:val="center"/>
                        <w:rPr>
                          <w:rFonts w:hint="eastAsia" w:ascii="仿宋" w:hAnsi="仿宋" w:eastAsia="仿宋" w:cs="仿宋"/>
                          <w:bCs/>
                          <w:sz w:val="22"/>
                          <w:szCs w:val="22"/>
                        </w:rPr>
                      </w:pPr>
                      <w:r>
                        <w:rPr>
                          <w:rFonts w:hint="eastAsia" w:ascii="仿宋" w:hAnsi="仿宋" w:eastAsia="仿宋" w:cs="仿宋"/>
                          <w:bCs/>
                          <w:sz w:val="22"/>
                          <w:szCs w:val="22"/>
                        </w:rPr>
                        <w:t>法定代表人（</w:t>
                      </w:r>
                      <w:r>
                        <w:rPr>
                          <w:rFonts w:hint="eastAsia" w:ascii="仿宋" w:hAnsi="仿宋" w:eastAsia="仿宋" w:cs="仿宋"/>
                          <w:bCs/>
                          <w:sz w:val="22"/>
                          <w:szCs w:val="22"/>
                          <w:lang w:eastAsia="zh-CN"/>
                        </w:rPr>
                        <w:t>负责人或执行事务合伙人</w:t>
                      </w:r>
                      <w:r>
                        <w:rPr>
                          <w:rFonts w:hint="eastAsia" w:ascii="仿宋" w:hAnsi="仿宋" w:eastAsia="仿宋" w:cs="仿宋"/>
                          <w:bCs/>
                          <w:sz w:val="22"/>
                          <w:szCs w:val="22"/>
                        </w:rPr>
                        <w:t>）</w:t>
                      </w:r>
                    </w:p>
                    <w:p w14:paraId="237A83E0">
                      <w:pPr>
                        <w:jc w:val="center"/>
                        <w:rPr>
                          <w:rFonts w:hint="eastAsia" w:ascii="仿宋" w:hAnsi="仿宋" w:eastAsia="仿宋" w:cs="仿宋"/>
                          <w:bCs/>
                          <w:sz w:val="28"/>
                          <w:szCs w:val="28"/>
                        </w:rPr>
                      </w:pPr>
                      <w:r>
                        <w:rPr>
                          <w:rFonts w:hint="eastAsia" w:ascii="仿宋" w:hAnsi="仿宋" w:eastAsia="仿宋" w:cs="仿宋"/>
                          <w:bCs/>
                          <w:sz w:val="28"/>
                          <w:szCs w:val="28"/>
                        </w:rPr>
                        <w:t>身份证反面</w:t>
                      </w:r>
                    </w:p>
                  </w:txbxContent>
                </v:textbox>
              </v:shape>
            </w:pict>
          </mc:Fallback>
        </mc:AlternateContent>
      </w:r>
    </w:p>
    <w:p w14:paraId="284DE2B0">
      <w:pPr>
        <w:snapToGrid w:val="0"/>
        <w:ind w:left="840" w:hanging="840" w:hangingChars="35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说明：</w:t>
      </w:r>
    </w:p>
    <w:p w14:paraId="48BA1F73">
      <w:pPr>
        <w:snapToGrid w:val="0"/>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1.本证明书要求投标人提供</w:t>
      </w:r>
      <w:r>
        <w:rPr>
          <w:rFonts w:hint="eastAsia" w:ascii="仿宋" w:hAnsi="仿宋" w:eastAsia="仿宋" w:cs="仿宋"/>
          <w:b/>
          <w:bCs/>
          <w:color w:val="000000"/>
          <w:sz w:val="24"/>
          <w:highlight w:val="none"/>
        </w:rPr>
        <w:t>加盖公章</w:t>
      </w:r>
      <w:r>
        <w:rPr>
          <w:rFonts w:hint="eastAsia" w:ascii="仿宋" w:hAnsi="仿宋" w:eastAsia="仿宋" w:cs="仿宋"/>
          <w:bCs/>
          <w:color w:val="000000"/>
          <w:sz w:val="24"/>
          <w:highlight w:val="none"/>
        </w:rPr>
        <w:t>后的原件方为有效；</w:t>
      </w:r>
    </w:p>
    <w:p w14:paraId="01FDE6AF">
      <w:pPr>
        <w:snapToGrid w:val="0"/>
        <w:ind w:firstLine="480" w:firstLineChars="200"/>
        <w:rPr>
          <w:rFonts w:hint="eastAsia" w:ascii="仿宋" w:hAnsi="仿宋" w:eastAsia="仿宋" w:cs="仿宋"/>
          <w:bCs/>
          <w:color w:val="000000"/>
          <w:sz w:val="24"/>
          <w:highlight w:val="none"/>
          <w:lang w:eastAsia="zh-CN"/>
        </w:rPr>
      </w:pPr>
      <w:r>
        <w:rPr>
          <w:rFonts w:hint="eastAsia" w:ascii="仿宋" w:hAnsi="仿宋" w:eastAsia="仿宋" w:cs="仿宋"/>
          <w:bCs/>
          <w:color w:val="000000"/>
          <w:sz w:val="24"/>
          <w:highlight w:val="none"/>
        </w:rPr>
        <w:t>2.须提供法定代表人（</w:t>
      </w:r>
      <w:r>
        <w:rPr>
          <w:rFonts w:hint="eastAsia" w:ascii="仿宋" w:hAnsi="仿宋" w:eastAsia="仿宋" w:cs="仿宋"/>
          <w:bCs/>
          <w:color w:val="000000"/>
          <w:sz w:val="24"/>
          <w:highlight w:val="none"/>
          <w:lang w:eastAsia="zh-CN"/>
        </w:rPr>
        <w:t>负责人或执行事务合伙人</w:t>
      </w:r>
      <w:r>
        <w:rPr>
          <w:rFonts w:hint="eastAsia" w:ascii="仿宋" w:hAnsi="仿宋" w:eastAsia="仿宋" w:cs="仿宋"/>
          <w:bCs/>
          <w:color w:val="000000"/>
          <w:sz w:val="24"/>
          <w:highlight w:val="none"/>
        </w:rPr>
        <w:t>）的身份证复印件</w:t>
      </w:r>
      <w:r>
        <w:rPr>
          <w:rFonts w:hint="eastAsia" w:ascii="仿宋" w:hAnsi="仿宋" w:eastAsia="仿宋" w:cs="仿宋"/>
          <w:bCs/>
          <w:color w:val="000000"/>
          <w:sz w:val="24"/>
          <w:highlight w:val="none"/>
          <w:lang w:eastAsia="zh-CN"/>
        </w:rPr>
        <w:t>；港澳台居民可提供来往通行证</w:t>
      </w:r>
      <w:r>
        <w:rPr>
          <w:rFonts w:hint="eastAsia" w:ascii="仿宋" w:hAnsi="仿宋" w:eastAsia="仿宋" w:cs="仿宋"/>
          <w:bCs/>
          <w:color w:val="000000"/>
          <w:sz w:val="24"/>
          <w:highlight w:val="none"/>
        </w:rPr>
        <w:t>复印件</w:t>
      </w:r>
      <w:r>
        <w:rPr>
          <w:rFonts w:hint="eastAsia" w:ascii="仿宋" w:hAnsi="仿宋" w:eastAsia="仿宋" w:cs="仿宋"/>
          <w:bCs/>
          <w:color w:val="000000"/>
          <w:sz w:val="24"/>
          <w:highlight w:val="none"/>
          <w:lang w:eastAsia="zh-CN"/>
        </w:rPr>
        <w:t>；非中国国籍管辖范围人员，可提供公安部门认可的身份证明材料</w:t>
      </w:r>
      <w:r>
        <w:rPr>
          <w:rFonts w:hint="eastAsia" w:ascii="仿宋" w:hAnsi="仿宋" w:eastAsia="仿宋" w:cs="仿宋"/>
          <w:bCs/>
          <w:color w:val="000000"/>
          <w:sz w:val="24"/>
          <w:highlight w:val="none"/>
        </w:rPr>
        <w:t>复印件</w:t>
      </w:r>
      <w:r>
        <w:rPr>
          <w:rFonts w:hint="eastAsia" w:ascii="仿宋" w:hAnsi="仿宋" w:eastAsia="仿宋" w:cs="仿宋"/>
          <w:bCs/>
          <w:color w:val="000000"/>
          <w:sz w:val="24"/>
          <w:highlight w:val="none"/>
          <w:lang w:eastAsia="zh-CN"/>
        </w:rPr>
        <w:t>；</w:t>
      </w:r>
    </w:p>
    <w:p w14:paraId="60CE74E9">
      <w:pPr>
        <w:snapToGrid w:val="0"/>
        <w:ind w:firstLine="480" w:firstLineChars="200"/>
        <w:rPr>
          <w:rFonts w:hint="eastAsia" w:ascii="仿宋" w:hAnsi="仿宋" w:eastAsia="仿宋" w:cs="仿宋"/>
          <w:bCs/>
          <w:color w:val="000000"/>
          <w:sz w:val="24"/>
          <w:highlight w:val="none"/>
          <w:lang w:val="en-US" w:eastAsia="zh-CN"/>
        </w:rPr>
      </w:pPr>
      <w:r>
        <w:rPr>
          <w:rFonts w:hint="eastAsia" w:ascii="仿宋" w:hAnsi="仿宋" w:eastAsia="仿宋" w:cs="仿宋"/>
          <w:bCs/>
          <w:color w:val="000000"/>
          <w:sz w:val="24"/>
          <w:highlight w:val="none"/>
          <w:lang w:val="en-US" w:eastAsia="zh-CN"/>
        </w:rPr>
        <w:t>3.招投标文件中涉及需法定代表人授权和签字（或</w:t>
      </w:r>
      <w:r>
        <w:rPr>
          <w:rFonts w:hint="eastAsia" w:ascii="仿宋" w:hAnsi="仿宋" w:eastAsia="仿宋" w:cs="仿宋"/>
          <w:bCs/>
          <w:color w:val="000000"/>
          <w:sz w:val="24"/>
          <w:highlight w:val="none"/>
        </w:rPr>
        <w:t>盖私章</w:t>
      </w:r>
      <w:r>
        <w:rPr>
          <w:rFonts w:hint="eastAsia" w:ascii="仿宋" w:hAnsi="仿宋" w:eastAsia="仿宋" w:cs="仿宋"/>
          <w:bCs/>
          <w:color w:val="000000"/>
          <w:sz w:val="24"/>
          <w:highlight w:val="none"/>
          <w:lang w:val="en-US" w:eastAsia="zh-CN"/>
        </w:rPr>
        <w:t>）之处，非法人组织可由负责人或执行事务合伙人执行。</w:t>
      </w:r>
    </w:p>
    <w:p w14:paraId="1E23C5F3">
      <w:pPr>
        <w:snapToGrid w:val="0"/>
        <w:ind w:firstLine="480" w:firstLineChars="200"/>
        <w:rPr>
          <w:rFonts w:hint="eastAsia" w:ascii="仿宋" w:hAnsi="仿宋" w:eastAsia="仿宋" w:cs="仿宋"/>
          <w:bCs/>
          <w:color w:val="000000"/>
          <w:sz w:val="24"/>
          <w:highlight w:val="none"/>
          <w:lang w:val="en-US" w:eastAsia="zh-CN"/>
        </w:rPr>
      </w:pPr>
      <w:r>
        <w:rPr>
          <w:rFonts w:hint="eastAsia" w:ascii="仿宋" w:hAnsi="仿宋" w:eastAsia="仿宋" w:cs="仿宋"/>
          <w:bCs/>
          <w:color w:val="000000"/>
          <w:sz w:val="24"/>
          <w:highlight w:val="none"/>
          <w:lang w:val="en-US" w:eastAsia="zh-CN"/>
        </w:rPr>
        <w:t>4.如是法定代表人（负责人或执行事务合伙人）直接参与投标，必须填写《法定代表人（负责人或执行事务合伙人）资格证明书》，可不用填写《法定代表人（负责人或执行事务合伙人）授权书》。</w:t>
      </w:r>
    </w:p>
    <w:p w14:paraId="32F51C86">
      <w:pPr>
        <w:keepNext w:val="0"/>
        <w:keepLines w:val="0"/>
        <w:pageBreakBefore w:val="0"/>
        <w:kinsoku/>
        <w:wordWrap/>
        <w:overflowPunct/>
        <w:topLinePunct w:val="0"/>
        <w:autoSpaceDE/>
        <w:autoSpaceDN/>
        <w:bidi w:val="0"/>
        <w:adjustRightInd/>
        <w:snapToGrid w:val="0"/>
        <w:spacing w:line="340" w:lineRule="exact"/>
        <w:ind w:firstLine="422" w:firstLineChars="200"/>
        <w:textAlignment w:val="auto"/>
        <w:rPr>
          <w:rFonts w:hint="eastAsia" w:ascii="仿宋" w:hAnsi="仿宋" w:eastAsia="仿宋" w:cs="仿宋"/>
          <w:color w:val="FF0000"/>
          <w:szCs w:val="21"/>
          <w:highlight w:val="none"/>
          <w:lang w:val="en-US" w:eastAsia="zh-CN"/>
        </w:rPr>
      </w:pPr>
      <w:r>
        <w:rPr>
          <w:rFonts w:hint="eastAsia" w:ascii="仿宋" w:hAnsi="仿宋" w:eastAsia="仿宋" w:cs="仿宋"/>
          <w:b/>
          <w:bCs/>
          <w:color w:val="FF0000"/>
          <w:szCs w:val="21"/>
          <w:highlight w:val="none"/>
          <w:lang w:val="en-US" w:eastAsia="zh-CN"/>
        </w:rPr>
        <w:t>温馨提示:</w:t>
      </w:r>
      <w:r>
        <w:rPr>
          <w:rFonts w:hint="eastAsia" w:ascii="仿宋" w:hAnsi="仿宋" w:eastAsia="仿宋" w:cs="仿宋"/>
          <w:color w:val="FF0000"/>
          <w:szCs w:val="21"/>
          <w:highlight w:val="none"/>
          <w:lang w:val="en-US" w:eastAsia="zh-CN"/>
        </w:rPr>
        <w:t>为避免出现《深圳经济特区政府采购条例实施细则》第七十五条第二项所列情形，请投标供应商核实你单位法定代表人、本项目投标授权代表人、项目负责人、主要技术人员等是否在你公司缴纳社会保险。</w:t>
      </w:r>
    </w:p>
    <w:p w14:paraId="271692D5">
      <w:pPr>
        <w:pStyle w:val="4"/>
        <w:spacing w:before="120" w:after="120"/>
        <w:jc w:val="center"/>
        <w:outlineLvl w:val="2"/>
        <w:rPr>
          <w:rFonts w:hint="eastAsia" w:ascii="仿宋" w:hAnsi="仿宋" w:eastAsia="仿宋" w:cs="仿宋"/>
          <w:b w:val="0"/>
          <w:sz w:val="28"/>
          <w:highlight w:val="none"/>
        </w:rPr>
      </w:pPr>
      <w:r>
        <w:rPr>
          <w:rFonts w:hint="eastAsia" w:ascii="仿宋" w:hAnsi="仿宋" w:eastAsia="仿宋" w:cs="仿宋"/>
          <w:highlight w:val="none"/>
        </w:rPr>
        <w:br w:type="page"/>
      </w:r>
      <w:bookmarkStart w:id="278" w:name="_Toc19949"/>
      <w:r>
        <w:rPr>
          <w:rFonts w:hint="eastAsia" w:ascii="仿宋" w:hAnsi="仿宋" w:eastAsia="仿宋" w:cs="仿宋"/>
          <w:b/>
          <w:bCs/>
          <w:sz w:val="28"/>
          <w:szCs w:val="28"/>
          <w:highlight w:val="none"/>
          <w:lang w:eastAsia="zh-CN"/>
        </w:rPr>
        <w:t>五</w:t>
      </w:r>
      <w:r>
        <w:rPr>
          <w:rFonts w:hint="eastAsia" w:ascii="仿宋" w:hAnsi="仿宋" w:eastAsia="仿宋" w:cs="仿宋"/>
          <w:b/>
          <w:bCs/>
          <w:sz w:val="28"/>
          <w:szCs w:val="28"/>
          <w:highlight w:val="none"/>
        </w:rPr>
        <w:t>、法定代表人（</w:t>
      </w:r>
      <w:r>
        <w:rPr>
          <w:rFonts w:hint="eastAsia" w:ascii="仿宋" w:hAnsi="仿宋" w:eastAsia="仿宋" w:cs="仿宋"/>
          <w:b/>
          <w:bCs/>
          <w:sz w:val="28"/>
          <w:szCs w:val="28"/>
          <w:highlight w:val="none"/>
          <w:lang w:eastAsia="zh-CN"/>
        </w:rPr>
        <w:t>负责人或执行事务合伙人</w:t>
      </w:r>
      <w:r>
        <w:rPr>
          <w:rFonts w:hint="eastAsia" w:ascii="仿宋" w:hAnsi="仿宋" w:eastAsia="仿宋" w:cs="仿宋"/>
          <w:b/>
          <w:bCs/>
          <w:sz w:val="28"/>
          <w:szCs w:val="28"/>
          <w:highlight w:val="none"/>
        </w:rPr>
        <w:t>）授权书</w:t>
      </w:r>
      <w:bookmarkEnd w:id="278"/>
    </w:p>
    <w:p w14:paraId="5545CD2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致友和保险经纪有限公司：</w:t>
      </w:r>
    </w:p>
    <w:p w14:paraId="5A0F769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本授权委托书声明：我</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姓名</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rPr>
        <w:t>系</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投标人名称</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rPr>
        <w:t>的法定代表人（</w:t>
      </w:r>
      <w:r>
        <w:rPr>
          <w:rFonts w:hint="eastAsia" w:ascii="仿宋" w:hAnsi="仿宋" w:eastAsia="仿宋" w:cs="仿宋"/>
          <w:color w:val="000000"/>
          <w:sz w:val="24"/>
          <w:highlight w:val="none"/>
          <w:lang w:eastAsia="zh-CN"/>
        </w:rPr>
        <w:t>负责人或执行事务合伙人</w:t>
      </w:r>
      <w:r>
        <w:rPr>
          <w:rFonts w:hint="eastAsia" w:ascii="仿宋" w:hAnsi="仿宋" w:eastAsia="仿宋" w:cs="仿宋"/>
          <w:color w:val="000000"/>
          <w:sz w:val="24"/>
          <w:highlight w:val="none"/>
        </w:rPr>
        <w:t>），现授权委托</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姓名</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rPr>
        <w:t>为我公司签署本项目已递交的投标文件的法定代表人的授权委托代理人，代理人全权代表我所签署的本项目已递交的投标文件内容我均承认。</w:t>
      </w:r>
    </w:p>
    <w:p w14:paraId="0AED999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000000"/>
          <w:sz w:val="24"/>
          <w:highlight w:val="none"/>
          <w:u w:val="single"/>
        </w:rPr>
      </w:pPr>
      <w:r>
        <w:rPr>
          <w:rFonts w:hint="eastAsia" w:ascii="仿宋" w:hAnsi="仿宋" w:eastAsia="仿宋" w:cs="仿宋"/>
          <w:b/>
          <w:bCs/>
          <w:color w:val="000000"/>
          <w:sz w:val="24"/>
          <w:highlight w:val="none"/>
          <w:u w:val="single"/>
        </w:rPr>
        <w:t>法定代表人的</w:t>
      </w:r>
      <w:r>
        <w:rPr>
          <w:rFonts w:hint="eastAsia" w:ascii="仿宋" w:hAnsi="仿宋" w:eastAsia="仿宋" w:cs="仿宋"/>
          <w:b/>
          <w:bCs/>
          <w:color w:val="FF0000"/>
          <w:sz w:val="24"/>
          <w:highlight w:val="none"/>
          <w:u w:val="single"/>
        </w:rPr>
        <w:t>签字（或盖私章）：</w:t>
      </w:r>
    </w:p>
    <w:p w14:paraId="41DFCC35">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color w:val="000000"/>
          <w:sz w:val="24"/>
          <w:highlight w:val="none"/>
          <w:u w:val="single"/>
        </w:rPr>
      </w:pPr>
      <w:r>
        <w:rPr>
          <w:rFonts w:hint="eastAsia" w:ascii="仿宋" w:hAnsi="仿宋" w:eastAsia="仿宋" w:cs="仿宋"/>
          <w:b/>
          <w:bCs/>
          <w:color w:val="000000"/>
          <w:sz w:val="24"/>
          <w:highlight w:val="none"/>
          <w:u w:val="single"/>
        </w:rPr>
        <w:t>投标单位</w:t>
      </w:r>
      <w:r>
        <w:rPr>
          <w:rFonts w:hint="eastAsia" w:ascii="仿宋" w:hAnsi="仿宋" w:eastAsia="仿宋" w:cs="仿宋"/>
          <w:b/>
          <w:bCs/>
          <w:color w:val="FF0000"/>
          <w:sz w:val="24"/>
          <w:highlight w:val="none"/>
          <w:u w:val="single"/>
        </w:rPr>
        <w:t>（盖公章）：</w:t>
      </w:r>
    </w:p>
    <w:p w14:paraId="4EAC7A0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代理人无转委托权，特此委托。</w:t>
      </w:r>
    </w:p>
    <w:p w14:paraId="449A8D4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highlight w:val="none"/>
        </w:rPr>
      </w:pPr>
    </w:p>
    <w:p w14:paraId="43CDA13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代理人： </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性别：</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年龄：</w:t>
      </w:r>
    </w:p>
    <w:p w14:paraId="1073B36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联系电话： </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手机：</w:t>
      </w:r>
    </w:p>
    <w:p w14:paraId="6F995C2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 xml:space="preserve">身份证号码： </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职务：</w:t>
      </w:r>
    </w:p>
    <w:p w14:paraId="2304385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highlight w:val="none"/>
        </w:rPr>
      </w:pPr>
    </w:p>
    <w:p w14:paraId="627501D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授权委托日期：</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 xml:space="preserve"> 年 月</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日，有效期至：</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 xml:space="preserve"> 年 月</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w:t>
      </w:r>
    </w:p>
    <w:p w14:paraId="322D9E96">
      <w:pPr>
        <w:spacing w:line="360" w:lineRule="auto"/>
        <w:rPr>
          <w:rFonts w:hint="eastAsia" w:ascii="仿宋" w:hAnsi="仿宋" w:eastAsia="仿宋" w:cs="仿宋"/>
          <w:bCs/>
          <w:color w:val="000000"/>
          <w:sz w:val="24"/>
          <w:highlight w:val="none"/>
        </w:rPr>
      </w:pPr>
      <w:r>
        <w:rPr>
          <w:rFonts w:hint="eastAsia" w:ascii="仿宋" w:hAnsi="仿宋" w:eastAsia="仿宋" w:cs="仿宋"/>
          <w:color w:val="000000"/>
          <w:highlight w:val="none"/>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109855</wp:posOffset>
                </wp:positionV>
                <wp:extent cx="2830830" cy="1920875"/>
                <wp:effectExtent l="5080" t="4445" r="21590" b="17780"/>
                <wp:wrapNone/>
                <wp:docPr id="1" name="文本框 1"/>
                <wp:cNvGraphicFramePr/>
                <a:graphic xmlns:a="http://schemas.openxmlformats.org/drawingml/2006/main">
                  <a:graphicData uri="http://schemas.microsoft.com/office/word/2010/wordprocessingShape">
                    <wps:wsp>
                      <wps:cNvSpPr txBox="1"/>
                      <wps:spPr>
                        <a:xfrm>
                          <a:off x="0" y="0"/>
                          <a:ext cx="2830830" cy="19208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7CE8FD8">
                            <w:pPr>
                              <w:widowControl/>
                              <w:jc w:val="left"/>
                              <w:rPr>
                                <w:rFonts w:ascii="宋体" w:hAnsi="宋体" w:cs="宋体"/>
                                <w:kern w:val="0"/>
                                <w:sz w:val="24"/>
                              </w:rPr>
                            </w:pPr>
                          </w:p>
                          <w:p w14:paraId="73A8B498">
                            <w:pPr>
                              <w:widowControl/>
                              <w:jc w:val="left"/>
                            </w:pPr>
                          </w:p>
                          <w:p w14:paraId="3121FB6A">
                            <w:pPr>
                              <w:jc w:val="center"/>
                              <w:rPr>
                                <w:rFonts w:hint="eastAsia" w:ascii="仿宋" w:hAnsi="仿宋" w:eastAsia="仿宋" w:cs="仿宋"/>
                                <w:bCs/>
                                <w:sz w:val="22"/>
                                <w:szCs w:val="22"/>
                              </w:rPr>
                            </w:pPr>
                            <w:r>
                              <w:rPr>
                                <w:rFonts w:hint="eastAsia" w:ascii="仿宋" w:hAnsi="仿宋" w:eastAsia="仿宋" w:cs="仿宋"/>
                                <w:bCs/>
                                <w:sz w:val="24"/>
                                <w:szCs w:val="24"/>
                              </w:rPr>
                              <w:t>被授权人身份证正面</w:t>
                            </w:r>
                          </w:p>
                        </w:txbxContent>
                      </wps:txbx>
                      <wps:bodyPr vert="horz" wrap="square" anchor="t" anchorCtr="0" upright="1"/>
                    </wps:wsp>
                  </a:graphicData>
                </a:graphic>
              </wp:anchor>
            </w:drawing>
          </mc:Choice>
          <mc:Fallback>
            <w:pict>
              <v:shape id="_x0000_s1026" o:spid="_x0000_s1026" o:spt="202" type="#_x0000_t202" style="position:absolute;left:0pt;margin-left:0.15pt;margin-top:8.65pt;height:151.25pt;width:222.9pt;z-index:251661312;mso-width-relative:page;mso-height-relative:page;" fillcolor="#FFFFFF" filled="t" stroked="t" coordsize="21600,21600" o:gfxdata="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TJ5q9UAAAAHAQAADwAAAAAAAAABACAAAAAiAAAAZHJzL2Rvd25yZXYueG1sUEsBAhQA&#10;FAAAAAgAh07iQCA5dVsuAgAAeAQAAA4AAAAAAAAAAQAgAAAAJAEAAGRycy9lMm9Eb2MueG1sUEsF&#10;BgAAAAAGAAYAWQEAAMQFAAAAAA==&#10;">
                <v:fill on="t" focussize="0,0"/>
                <v:stroke color="#000000" joinstyle="miter"/>
                <v:imagedata o:title=""/>
                <o:lock v:ext="edit" aspectratio="f"/>
                <v:textbox>
                  <w:txbxContent>
                    <w:p w14:paraId="67CE8FD8">
                      <w:pPr>
                        <w:widowControl/>
                        <w:jc w:val="left"/>
                        <w:rPr>
                          <w:rFonts w:ascii="宋体" w:hAnsi="宋体" w:cs="宋体"/>
                          <w:kern w:val="0"/>
                          <w:sz w:val="24"/>
                        </w:rPr>
                      </w:pPr>
                    </w:p>
                    <w:p w14:paraId="73A8B498">
                      <w:pPr>
                        <w:widowControl/>
                        <w:jc w:val="left"/>
                      </w:pPr>
                    </w:p>
                    <w:p w14:paraId="3121FB6A">
                      <w:pPr>
                        <w:jc w:val="center"/>
                        <w:rPr>
                          <w:rFonts w:hint="eastAsia" w:ascii="仿宋" w:hAnsi="仿宋" w:eastAsia="仿宋" w:cs="仿宋"/>
                          <w:bCs/>
                          <w:sz w:val="22"/>
                          <w:szCs w:val="22"/>
                        </w:rPr>
                      </w:pPr>
                      <w:r>
                        <w:rPr>
                          <w:rFonts w:hint="eastAsia" w:ascii="仿宋" w:hAnsi="仿宋" w:eastAsia="仿宋" w:cs="仿宋"/>
                          <w:bCs/>
                          <w:sz w:val="24"/>
                          <w:szCs w:val="24"/>
                        </w:rPr>
                        <w:t>被授权人身份证正面</w:t>
                      </w:r>
                    </w:p>
                  </w:txbxContent>
                </v:textbox>
              </v:shape>
            </w:pict>
          </mc:Fallback>
        </mc:AlternateContent>
      </w:r>
    </w:p>
    <w:p w14:paraId="3DA2B21F">
      <w:pPr>
        <w:spacing w:line="360" w:lineRule="auto"/>
        <w:rPr>
          <w:rFonts w:hint="eastAsia" w:ascii="仿宋" w:hAnsi="仿宋" w:eastAsia="仿宋" w:cs="仿宋"/>
          <w:bCs/>
          <w:color w:val="000000"/>
          <w:sz w:val="24"/>
          <w:highlight w:val="none"/>
        </w:rPr>
      </w:pPr>
    </w:p>
    <w:p w14:paraId="04F88769">
      <w:pPr>
        <w:spacing w:line="360" w:lineRule="auto"/>
        <w:rPr>
          <w:rFonts w:hint="eastAsia" w:ascii="仿宋" w:hAnsi="仿宋" w:eastAsia="仿宋" w:cs="仿宋"/>
          <w:bCs/>
          <w:color w:val="000000"/>
          <w:sz w:val="24"/>
          <w:highlight w:val="none"/>
        </w:rPr>
      </w:pPr>
    </w:p>
    <w:p w14:paraId="3AC3F27A">
      <w:pPr>
        <w:spacing w:line="360" w:lineRule="auto"/>
        <w:rPr>
          <w:rFonts w:hint="eastAsia" w:ascii="仿宋" w:hAnsi="仿宋" w:eastAsia="仿宋" w:cs="仿宋"/>
          <w:bCs/>
          <w:color w:val="000000"/>
          <w:sz w:val="24"/>
          <w:highlight w:val="none"/>
        </w:rPr>
      </w:pPr>
    </w:p>
    <w:p w14:paraId="0037FF92">
      <w:pPr>
        <w:rPr>
          <w:rFonts w:hint="eastAsia" w:ascii="仿宋" w:hAnsi="仿宋" w:eastAsia="仿宋" w:cs="仿宋"/>
          <w:color w:val="000000"/>
          <w:sz w:val="24"/>
          <w:highlight w:val="none"/>
        </w:rPr>
      </w:pPr>
    </w:p>
    <w:p w14:paraId="6F990370">
      <w:pPr>
        <w:rPr>
          <w:rFonts w:hint="eastAsia" w:ascii="仿宋" w:hAnsi="仿宋" w:eastAsia="仿宋" w:cs="仿宋"/>
          <w:color w:val="000000"/>
          <w:sz w:val="24"/>
          <w:highlight w:val="none"/>
        </w:rPr>
      </w:pPr>
    </w:p>
    <w:p w14:paraId="4227B96F">
      <w:pPr>
        <w:spacing w:after="60"/>
        <w:rPr>
          <w:rFonts w:hint="eastAsia" w:ascii="仿宋" w:hAnsi="仿宋" w:eastAsia="仿宋" w:cs="仿宋"/>
          <w:color w:val="000000"/>
          <w:sz w:val="24"/>
          <w:highlight w:val="none"/>
        </w:rPr>
      </w:pPr>
    </w:p>
    <w:p w14:paraId="67FBAEF9">
      <w:pPr>
        <w:rPr>
          <w:rFonts w:hint="eastAsia" w:ascii="仿宋" w:hAnsi="仿宋" w:eastAsia="仿宋" w:cs="仿宋"/>
          <w:color w:val="000000"/>
          <w:sz w:val="24"/>
          <w:highlight w:val="none"/>
        </w:rPr>
      </w:pPr>
    </w:p>
    <w:p w14:paraId="73B68111">
      <w:pPr>
        <w:jc w:val="left"/>
        <w:rPr>
          <w:rFonts w:hint="eastAsia" w:ascii="仿宋" w:hAnsi="仿宋" w:eastAsia="仿宋" w:cs="仿宋"/>
          <w:bCs/>
          <w:color w:val="000000"/>
          <w:sz w:val="24"/>
          <w:highlight w:val="none"/>
        </w:rPr>
      </w:pPr>
      <w:r>
        <w:rPr>
          <w:rFonts w:hint="eastAsia" w:ascii="仿宋" w:hAnsi="仿宋" w:eastAsia="仿宋" w:cs="仿宋"/>
          <w:color w:val="000000"/>
          <w:highlight w:val="none"/>
        </w:rPr>
        <mc:AlternateContent>
          <mc:Choice Requires="wps">
            <w:drawing>
              <wp:anchor distT="0" distB="0" distL="114300" distR="114300" simplePos="0" relativeHeight="251662336" behindDoc="0" locked="0" layoutInCell="1" allowOverlap="1">
                <wp:simplePos x="0" y="0"/>
                <wp:positionH relativeFrom="column">
                  <wp:posOffset>2999740</wp:posOffset>
                </wp:positionH>
                <wp:positionV relativeFrom="paragraph">
                  <wp:posOffset>-1909445</wp:posOffset>
                </wp:positionV>
                <wp:extent cx="2782570" cy="1920875"/>
                <wp:effectExtent l="5080" t="4445" r="12700" b="17780"/>
                <wp:wrapNone/>
                <wp:docPr id="2" name="文本框 2"/>
                <wp:cNvGraphicFramePr/>
                <a:graphic xmlns:a="http://schemas.openxmlformats.org/drawingml/2006/main">
                  <a:graphicData uri="http://schemas.microsoft.com/office/word/2010/wordprocessingShape">
                    <wps:wsp>
                      <wps:cNvSpPr txBox="1"/>
                      <wps:spPr>
                        <a:xfrm>
                          <a:off x="0" y="0"/>
                          <a:ext cx="2782570" cy="19208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1EA3784">
                            <w:pPr>
                              <w:widowControl/>
                              <w:jc w:val="left"/>
                              <w:rPr>
                                <w:rFonts w:ascii="宋体" w:hAnsi="宋体" w:cs="宋体"/>
                                <w:kern w:val="0"/>
                                <w:sz w:val="24"/>
                              </w:rPr>
                            </w:pPr>
                          </w:p>
                          <w:p w14:paraId="23534337">
                            <w:pPr>
                              <w:widowControl/>
                              <w:jc w:val="left"/>
                            </w:pPr>
                          </w:p>
                          <w:p w14:paraId="76DA4920">
                            <w:pPr>
                              <w:jc w:val="center"/>
                              <w:rPr>
                                <w:rFonts w:hint="eastAsia" w:ascii="仿宋" w:hAnsi="仿宋" w:eastAsia="仿宋" w:cs="仿宋"/>
                                <w:bCs/>
                                <w:sz w:val="24"/>
                                <w:szCs w:val="24"/>
                              </w:rPr>
                            </w:pPr>
                            <w:r>
                              <w:rPr>
                                <w:rFonts w:hint="eastAsia" w:ascii="仿宋" w:hAnsi="仿宋" w:eastAsia="仿宋" w:cs="仿宋"/>
                                <w:bCs/>
                                <w:sz w:val="24"/>
                                <w:szCs w:val="24"/>
                              </w:rPr>
                              <w:t>被授权人身份证反面</w:t>
                            </w:r>
                          </w:p>
                        </w:txbxContent>
                      </wps:txbx>
                      <wps:bodyPr vert="horz" wrap="square" anchor="t" anchorCtr="0" upright="1"/>
                    </wps:wsp>
                  </a:graphicData>
                </a:graphic>
              </wp:anchor>
            </w:drawing>
          </mc:Choice>
          <mc:Fallback>
            <w:pict>
              <v:shape id="_x0000_s1026" o:spid="_x0000_s1026" o:spt="202" type="#_x0000_t202" style="position:absolute;left:0pt;margin-left:236.2pt;margin-top:-150.35pt;height:151.25pt;width:219.1pt;z-index:251662336;mso-width-relative:page;mso-height-relative:page;" fillcolor="#FFFFFF" filled="t" stroked="t" coordsize="21600,21600" o:gfxdata="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JOIGl2QAAAAoBAAAPAAAAAAAAAAEAIAAAACIAAABkcnMvZG93bnJldi54bWxQ&#10;SwECFAAUAAAACACHTuJA0Ql06i8CAAB4BAAADgAAAAAAAAABACAAAAAoAQAAZHJzL2Uyb0RvYy54&#10;bWxQSwUGAAAAAAYABgBZAQAAyQUAAAAA&#10;">
                <v:fill on="t" focussize="0,0"/>
                <v:stroke color="#000000" joinstyle="miter"/>
                <v:imagedata o:title=""/>
                <o:lock v:ext="edit" aspectratio="f"/>
                <v:textbox>
                  <w:txbxContent>
                    <w:p w14:paraId="51EA3784">
                      <w:pPr>
                        <w:widowControl/>
                        <w:jc w:val="left"/>
                        <w:rPr>
                          <w:rFonts w:ascii="宋体" w:hAnsi="宋体" w:cs="宋体"/>
                          <w:kern w:val="0"/>
                          <w:sz w:val="24"/>
                        </w:rPr>
                      </w:pPr>
                    </w:p>
                    <w:p w14:paraId="23534337">
                      <w:pPr>
                        <w:widowControl/>
                        <w:jc w:val="left"/>
                      </w:pPr>
                    </w:p>
                    <w:p w14:paraId="76DA4920">
                      <w:pPr>
                        <w:jc w:val="center"/>
                        <w:rPr>
                          <w:rFonts w:hint="eastAsia" w:ascii="仿宋" w:hAnsi="仿宋" w:eastAsia="仿宋" w:cs="仿宋"/>
                          <w:bCs/>
                          <w:sz w:val="24"/>
                          <w:szCs w:val="24"/>
                        </w:rPr>
                      </w:pPr>
                      <w:r>
                        <w:rPr>
                          <w:rFonts w:hint="eastAsia" w:ascii="仿宋" w:hAnsi="仿宋" w:eastAsia="仿宋" w:cs="仿宋"/>
                          <w:bCs/>
                          <w:sz w:val="24"/>
                          <w:szCs w:val="24"/>
                        </w:rPr>
                        <w:t>被授权人身份证反面</w:t>
                      </w:r>
                    </w:p>
                  </w:txbxContent>
                </v:textbox>
              </v:shape>
            </w:pict>
          </mc:Fallback>
        </mc:AlternateContent>
      </w:r>
      <w:r>
        <w:rPr>
          <w:rFonts w:hint="eastAsia" w:ascii="仿宋" w:hAnsi="仿宋" w:eastAsia="仿宋" w:cs="仿宋"/>
          <w:bCs/>
          <w:color w:val="000000"/>
          <w:sz w:val="24"/>
          <w:highlight w:val="none"/>
        </w:rPr>
        <w:t>说明：</w:t>
      </w:r>
    </w:p>
    <w:p w14:paraId="28C6EFB1">
      <w:pPr>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1.本授权书要求投标人提供有</w:t>
      </w:r>
      <w:r>
        <w:rPr>
          <w:rFonts w:hint="eastAsia" w:ascii="仿宋" w:hAnsi="仿宋" w:eastAsia="仿宋" w:cs="仿宋"/>
          <w:b/>
          <w:bCs/>
          <w:color w:val="000000"/>
          <w:sz w:val="24"/>
          <w:highlight w:val="none"/>
        </w:rPr>
        <w:t>法定代表人的签字（或盖私章）和加盖公章</w:t>
      </w:r>
      <w:r>
        <w:rPr>
          <w:rFonts w:hint="eastAsia" w:ascii="仿宋" w:hAnsi="仿宋" w:eastAsia="仿宋" w:cs="仿宋"/>
          <w:bCs/>
          <w:color w:val="000000"/>
          <w:sz w:val="24"/>
          <w:highlight w:val="none"/>
        </w:rPr>
        <w:t>后的原件方为有效；</w:t>
      </w:r>
    </w:p>
    <w:p w14:paraId="4F729DE1">
      <w:pPr>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2.提供被授权人的身份证复印件</w:t>
      </w:r>
      <w:r>
        <w:rPr>
          <w:rFonts w:hint="eastAsia" w:ascii="仿宋" w:hAnsi="仿宋" w:eastAsia="仿宋" w:cs="仿宋"/>
          <w:bCs/>
          <w:color w:val="000000"/>
          <w:sz w:val="24"/>
          <w:highlight w:val="none"/>
          <w:lang w:eastAsia="zh-CN"/>
        </w:rPr>
        <w:t>；港澳台居民可提供来往通行证</w:t>
      </w:r>
      <w:r>
        <w:rPr>
          <w:rFonts w:hint="eastAsia" w:ascii="仿宋" w:hAnsi="仿宋" w:eastAsia="仿宋" w:cs="仿宋"/>
          <w:bCs/>
          <w:color w:val="000000"/>
          <w:sz w:val="24"/>
          <w:highlight w:val="none"/>
        </w:rPr>
        <w:t>复印件</w:t>
      </w:r>
      <w:r>
        <w:rPr>
          <w:rFonts w:hint="eastAsia" w:ascii="仿宋" w:hAnsi="仿宋" w:eastAsia="仿宋" w:cs="仿宋"/>
          <w:bCs/>
          <w:color w:val="000000"/>
          <w:sz w:val="24"/>
          <w:highlight w:val="none"/>
          <w:lang w:eastAsia="zh-CN"/>
        </w:rPr>
        <w:t>；非中国国籍管辖范围人员，可提供公安部门认可的身份证明材料</w:t>
      </w:r>
      <w:r>
        <w:rPr>
          <w:rFonts w:hint="eastAsia" w:ascii="仿宋" w:hAnsi="仿宋" w:eastAsia="仿宋" w:cs="仿宋"/>
          <w:bCs/>
          <w:color w:val="000000"/>
          <w:sz w:val="24"/>
          <w:highlight w:val="none"/>
        </w:rPr>
        <w:t>复印件。</w:t>
      </w:r>
    </w:p>
    <w:p w14:paraId="0840634E">
      <w:pPr>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3.如是代理人（受托人）参与投标，则必须提供《法定代表人（负责人或执行事务合伙人）资格证明书》和《法定代表人（负责人或执行事务合伙人）授权书》，且《投标函》的委托代理人与《法定代表人（负责人或执行事务合伙人）授权书》的代理人（受托人）必须一致。</w:t>
      </w:r>
    </w:p>
    <w:p w14:paraId="4820BB65">
      <w:pPr>
        <w:keepNext w:val="0"/>
        <w:keepLines w:val="0"/>
        <w:pageBreakBefore w:val="0"/>
        <w:kinsoku/>
        <w:wordWrap/>
        <w:overflowPunct/>
        <w:topLinePunct w:val="0"/>
        <w:autoSpaceDE/>
        <w:autoSpaceDN/>
        <w:bidi w:val="0"/>
        <w:adjustRightInd/>
        <w:snapToGrid w:val="0"/>
        <w:spacing w:line="340" w:lineRule="exact"/>
        <w:ind w:firstLine="422" w:firstLineChars="200"/>
        <w:textAlignment w:val="auto"/>
        <w:rPr>
          <w:rFonts w:hint="eastAsia" w:ascii="仿宋" w:hAnsi="仿宋" w:eastAsia="仿宋" w:cs="仿宋"/>
          <w:color w:val="FF0000"/>
          <w:szCs w:val="21"/>
          <w:highlight w:val="none"/>
          <w:lang w:val="en-US" w:eastAsia="zh-CN"/>
        </w:rPr>
      </w:pPr>
      <w:r>
        <w:rPr>
          <w:rFonts w:hint="eastAsia" w:ascii="仿宋" w:hAnsi="仿宋" w:eastAsia="仿宋" w:cs="仿宋"/>
          <w:b/>
          <w:bCs/>
          <w:color w:val="FF0000"/>
          <w:szCs w:val="21"/>
          <w:highlight w:val="none"/>
          <w:lang w:val="en-US" w:eastAsia="zh-CN"/>
        </w:rPr>
        <w:t>温馨提示:</w:t>
      </w:r>
      <w:r>
        <w:rPr>
          <w:rFonts w:hint="eastAsia" w:ascii="仿宋" w:hAnsi="仿宋" w:eastAsia="仿宋" w:cs="仿宋"/>
          <w:color w:val="FF0000"/>
          <w:szCs w:val="21"/>
          <w:highlight w:val="none"/>
          <w:lang w:val="en-US" w:eastAsia="zh-CN"/>
        </w:rPr>
        <w:t>为避免出现《深圳经济特区政府采购条例实施细则》第七十五条第二项所列情形，请投标供应商核实你单位法定代表人、本项目投标授权代表人、项目负责人、主要技术人员等是否在你公司缴纳社会保险。</w:t>
      </w:r>
    </w:p>
    <w:p w14:paraId="7C4E755D">
      <w:pPr>
        <w:keepNext w:val="0"/>
        <w:keepLines w:val="0"/>
        <w:pageBreakBefore w:val="0"/>
        <w:widowControl w:val="0"/>
        <w:kinsoku/>
        <w:wordWrap/>
        <w:overflowPunct/>
        <w:topLinePunct w:val="0"/>
        <w:autoSpaceDE/>
        <w:autoSpaceDN/>
        <w:bidi w:val="0"/>
        <w:adjustRightInd/>
        <w:snapToGrid/>
        <w:spacing w:line="400" w:lineRule="exact"/>
        <w:ind w:firstLine="3150" w:firstLineChars="1500"/>
        <w:jc w:val="left"/>
        <w:textAlignment w:val="auto"/>
        <w:rPr>
          <w:rFonts w:hint="eastAsia" w:ascii="仿宋" w:hAnsi="仿宋" w:eastAsia="仿宋" w:cs="仿宋"/>
          <w:color w:val="000000"/>
          <w:sz w:val="24"/>
          <w:highlight w:val="none"/>
        </w:rPr>
      </w:pPr>
      <w:r>
        <w:rPr>
          <w:rFonts w:hint="eastAsia" w:ascii="仿宋" w:hAnsi="仿宋" w:eastAsia="仿宋" w:cs="仿宋"/>
          <w:highlight w:val="none"/>
        </w:rPr>
        <w:br w:type="page"/>
      </w:r>
    </w:p>
    <w:p w14:paraId="7570AD3D">
      <w:pPr>
        <w:pStyle w:val="4"/>
        <w:spacing w:before="120" w:after="120"/>
        <w:jc w:val="center"/>
        <w:outlineLvl w:val="2"/>
        <w:rPr>
          <w:rFonts w:hint="eastAsia" w:ascii="仿宋" w:hAnsi="仿宋" w:eastAsia="仿宋" w:cs="仿宋"/>
          <w:b/>
          <w:bCs/>
          <w:sz w:val="28"/>
          <w:szCs w:val="28"/>
          <w:highlight w:val="none"/>
        </w:rPr>
      </w:pPr>
      <w:bookmarkStart w:id="279" w:name="_Toc18711"/>
      <w:r>
        <w:rPr>
          <w:rFonts w:hint="eastAsia" w:ascii="仿宋" w:hAnsi="仿宋" w:eastAsia="仿宋" w:cs="仿宋"/>
          <w:b/>
          <w:bCs/>
          <w:sz w:val="28"/>
          <w:szCs w:val="28"/>
          <w:highlight w:val="none"/>
          <w:lang w:val="en-US" w:eastAsia="zh-CN"/>
        </w:rPr>
        <w:t>六</w:t>
      </w:r>
      <w:r>
        <w:rPr>
          <w:rFonts w:hint="eastAsia" w:ascii="仿宋" w:hAnsi="仿宋" w:eastAsia="仿宋" w:cs="仿宋"/>
          <w:b/>
          <w:bCs/>
          <w:sz w:val="28"/>
          <w:szCs w:val="28"/>
          <w:highlight w:val="none"/>
        </w:rPr>
        <w:t>、供应商情况介绍</w:t>
      </w:r>
      <w:bookmarkEnd w:id="279"/>
    </w:p>
    <w:p w14:paraId="6F7089A7">
      <w:pPr>
        <w:spacing w:line="360" w:lineRule="auto"/>
        <w:outlineLvl w:val="3"/>
        <w:rPr>
          <w:rFonts w:hint="eastAsia" w:ascii="仿宋" w:hAnsi="仿宋" w:eastAsia="仿宋" w:cs="仿宋"/>
          <w:b/>
          <w:color w:val="000000"/>
          <w:szCs w:val="21"/>
          <w:highlight w:val="none"/>
        </w:rPr>
      </w:pPr>
      <w:bookmarkStart w:id="280" w:name="_Toc7666"/>
      <w:bookmarkStart w:id="281" w:name="_Toc30987"/>
      <w:bookmarkStart w:id="282" w:name="_Toc3759"/>
      <w:bookmarkStart w:id="283" w:name="_Toc10277"/>
      <w:r>
        <w:rPr>
          <w:rFonts w:hint="eastAsia" w:ascii="仿宋" w:hAnsi="仿宋" w:eastAsia="仿宋" w:cs="仿宋"/>
          <w:b/>
          <w:color w:val="000000"/>
          <w:szCs w:val="21"/>
          <w:highlight w:val="none"/>
        </w:rPr>
        <w:t>（一）供应商一览表</w:t>
      </w:r>
      <w:bookmarkEnd w:id="280"/>
      <w:bookmarkEnd w:id="281"/>
      <w:bookmarkEnd w:id="282"/>
      <w:bookmarkEnd w:id="283"/>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898"/>
        <w:gridCol w:w="4316"/>
      </w:tblGrid>
      <w:tr w14:paraId="767A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noWrap w:val="0"/>
            <w:vAlign w:val="center"/>
          </w:tcPr>
          <w:p w14:paraId="42AD427B">
            <w:pPr>
              <w:keepNext w:val="0"/>
              <w:keepLines w:val="0"/>
              <w:suppressLineNumbers w:val="0"/>
              <w:spacing w:before="0" w:beforeAutospacing="0" w:after="0" w:afterAutospacing="0"/>
              <w:ind w:left="0" w:right="0"/>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序号</w:t>
            </w:r>
          </w:p>
        </w:tc>
        <w:tc>
          <w:tcPr>
            <w:tcW w:w="2898" w:type="dxa"/>
            <w:noWrap w:val="0"/>
            <w:vAlign w:val="center"/>
          </w:tcPr>
          <w:p w14:paraId="03F5FE4C">
            <w:pPr>
              <w:keepNext w:val="0"/>
              <w:keepLines w:val="0"/>
              <w:suppressLineNumbers w:val="0"/>
              <w:spacing w:before="0" w:beforeAutospacing="0" w:after="0" w:afterAutospacing="0"/>
              <w:ind w:left="0" w:right="0"/>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项  目</w:t>
            </w:r>
          </w:p>
        </w:tc>
        <w:tc>
          <w:tcPr>
            <w:tcW w:w="4316" w:type="dxa"/>
            <w:noWrap w:val="0"/>
            <w:vAlign w:val="center"/>
          </w:tcPr>
          <w:p w14:paraId="4B1A4C02">
            <w:pPr>
              <w:keepNext w:val="0"/>
              <w:keepLines w:val="0"/>
              <w:suppressLineNumbers w:val="0"/>
              <w:spacing w:before="0" w:beforeAutospacing="0" w:after="0" w:afterAutospacing="0"/>
              <w:ind w:left="0" w:right="0"/>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内容及说明</w:t>
            </w:r>
          </w:p>
        </w:tc>
      </w:tr>
      <w:tr w14:paraId="59BB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4" w:type="dxa"/>
            <w:vMerge w:val="restart"/>
            <w:noWrap w:val="0"/>
            <w:vAlign w:val="center"/>
          </w:tcPr>
          <w:p w14:paraId="5851C4AC">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一</w:t>
            </w:r>
          </w:p>
        </w:tc>
        <w:tc>
          <w:tcPr>
            <w:tcW w:w="2898" w:type="dxa"/>
            <w:noWrap w:val="0"/>
            <w:vAlign w:val="center"/>
          </w:tcPr>
          <w:p w14:paraId="10361994">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营业执照/事业单位法人证书或其他证明材料</w:t>
            </w:r>
          </w:p>
        </w:tc>
        <w:tc>
          <w:tcPr>
            <w:tcW w:w="4316" w:type="dxa"/>
            <w:noWrap w:val="0"/>
            <w:vAlign w:val="center"/>
          </w:tcPr>
          <w:p w14:paraId="0E9EB1F8">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p>
        </w:tc>
      </w:tr>
      <w:tr w14:paraId="7432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4" w:type="dxa"/>
            <w:vMerge w:val="continue"/>
            <w:noWrap w:val="0"/>
            <w:vAlign w:val="center"/>
          </w:tcPr>
          <w:p w14:paraId="7ED2FF3C">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p>
        </w:tc>
        <w:tc>
          <w:tcPr>
            <w:tcW w:w="2898" w:type="dxa"/>
            <w:noWrap w:val="0"/>
            <w:vAlign w:val="center"/>
          </w:tcPr>
          <w:p w14:paraId="0C8A7CAE">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1.注册年度及注册编号</w:t>
            </w:r>
          </w:p>
        </w:tc>
        <w:tc>
          <w:tcPr>
            <w:tcW w:w="4316" w:type="dxa"/>
            <w:noWrap w:val="0"/>
            <w:vAlign w:val="center"/>
          </w:tcPr>
          <w:p w14:paraId="76F3CE53">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p>
        </w:tc>
      </w:tr>
      <w:tr w14:paraId="2A00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4" w:type="dxa"/>
            <w:vMerge w:val="continue"/>
            <w:noWrap w:val="0"/>
            <w:vAlign w:val="center"/>
          </w:tcPr>
          <w:p w14:paraId="4B981E3B">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p>
        </w:tc>
        <w:tc>
          <w:tcPr>
            <w:tcW w:w="2898" w:type="dxa"/>
            <w:noWrap w:val="0"/>
            <w:vAlign w:val="center"/>
          </w:tcPr>
          <w:p w14:paraId="7126A29B">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2.注册资金（万元）：</w:t>
            </w:r>
          </w:p>
        </w:tc>
        <w:tc>
          <w:tcPr>
            <w:tcW w:w="4316" w:type="dxa"/>
            <w:noWrap w:val="0"/>
            <w:vAlign w:val="center"/>
          </w:tcPr>
          <w:p w14:paraId="755BD1CA">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p>
        </w:tc>
      </w:tr>
      <w:tr w14:paraId="01B2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4" w:type="dxa"/>
            <w:vMerge w:val="continue"/>
            <w:noWrap w:val="0"/>
            <w:vAlign w:val="center"/>
          </w:tcPr>
          <w:p w14:paraId="7193291B">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p>
        </w:tc>
        <w:tc>
          <w:tcPr>
            <w:tcW w:w="2898" w:type="dxa"/>
            <w:noWrap w:val="0"/>
            <w:vAlign w:val="center"/>
          </w:tcPr>
          <w:p w14:paraId="2D995CAC">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3.经营场所：</w:t>
            </w:r>
          </w:p>
        </w:tc>
        <w:tc>
          <w:tcPr>
            <w:tcW w:w="4316" w:type="dxa"/>
            <w:noWrap w:val="0"/>
            <w:vAlign w:val="center"/>
          </w:tcPr>
          <w:p w14:paraId="79403116">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p>
        </w:tc>
      </w:tr>
      <w:tr w14:paraId="59E8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4" w:type="dxa"/>
            <w:vMerge w:val="continue"/>
            <w:noWrap w:val="0"/>
            <w:vAlign w:val="center"/>
          </w:tcPr>
          <w:p w14:paraId="05450ED3">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p>
        </w:tc>
        <w:tc>
          <w:tcPr>
            <w:tcW w:w="2898" w:type="dxa"/>
            <w:noWrap w:val="0"/>
            <w:vAlign w:val="center"/>
          </w:tcPr>
          <w:p w14:paraId="7FA3E710">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4.有效期：</w:t>
            </w:r>
          </w:p>
        </w:tc>
        <w:tc>
          <w:tcPr>
            <w:tcW w:w="4316" w:type="dxa"/>
            <w:noWrap w:val="0"/>
            <w:vAlign w:val="center"/>
          </w:tcPr>
          <w:p w14:paraId="07FEA4EC">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p>
        </w:tc>
      </w:tr>
      <w:tr w14:paraId="099C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4" w:type="dxa"/>
            <w:vMerge w:val="restart"/>
            <w:noWrap w:val="0"/>
            <w:vAlign w:val="center"/>
          </w:tcPr>
          <w:p w14:paraId="58F3FD81">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二</w:t>
            </w:r>
          </w:p>
        </w:tc>
        <w:tc>
          <w:tcPr>
            <w:tcW w:w="2898" w:type="dxa"/>
            <w:noWrap w:val="0"/>
            <w:vAlign w:val="center"/>
          </w:tcPr>
          <w:p w14:paraId="712698EA">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其他资格（质）证书</w:t>
            </w:r>
          </w:p>
        </w:tc>
        <w:tc>
          <w:tcPr>
            <w:tcW w:w="4316" w:type="dxa"/>
            <w:noWrap w:val="0"/>
            <w:vAlign w:val="center"/>
          </w:tcPr>
          <w:p w14:paraId="73C81C3D">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（可按表格格式扩展）</w:t>
            </w:r>
          </w:p>
        </w:tc>
      </w:tr>
      <w:tr w14:paraId="13EF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Merge w:val="continue"/>
            <w:noWrap w:val="0"/>
            <w:vAlign w:val="center"/>
          </w:tcPr>
          <w:p w14:paraId="4966E287">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p>
        </w:tc>
        <w:tc>
          <w:tcPr>
            <w:tcW w:w="2898" w:type="dxa"/>
            <w:noWrap w:val="0"/>
            <w:vAlign w:val="center"/>
          </w:tcPr>
          <w:p w14:paraId="15613F86">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1.证书名称</w:t>
            </w:r>
          </w:p>
        </w:tc>
        <w:tc>
          <w:tcPr>
            <w:tcW w:w="4316" w:type="dxa"/>
            <w:noWrap w:val="0"/>
            <w:vAlign w:val="center"/>
          </w:tcPr>
          <w:p w14:paraId="0C1E78DE">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p>
        </w:tc>
      </w:tr>
      <w:tr w14:paraId="03AA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Merge w:val="continue"/>
            <w:noWrap w:val="0"/>
            <w:vAlign w:val="center"/>
          </w:tcPr>
          <w:p w14:paraId="62A24226">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p>
        </w:tc>
        <w:tc>
          <w:tcPr>
            <w:tcW w:w="2898" w:type="dxa"/>
            <w:noWrap w:val="0"/>
            <w:vAlign w:val="center"/>
          </w:tcPr>
          <w:p w14:paraId="1DA94298">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2.批准单位</w:t>
            </w:r>
          </w:p>
        </w:tc>
        <w:tc>
          <w:tcPr>
            <w:tcW w:w="4316" w:type="dxa"/>
            <w:noWrap w:val="0"/>
            <w:vAlign w:val="center"/>
          </w:tcPr>
          <w:p w14:paraId="783AE4E3">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p>
        </w:tc>
      </w:tr>
      <w:tr w14:paraId="61A1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Merge w:val="continue"/>
            <w:noWrap w:val="0"/>
            <w:vAlign w:val="center"/>
          </w:tcPr>
          <w:p w14:paraId="2D9099E3">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p>
        </w:tc>
        <w:tc>
          <w:tcPr>
            <w:tcW w:w="2898" w:type="dxa"/>
            <w:noWrap w:val="0"/>
            <w:vAlign w:val="center"/>
          </w:tcPr>
          <w:p w14:paraId="651B13B7">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3.等级</w:t>
            </w:r>
          </w:p>
        </w:tc>
        <w:tc>
          <w:tcPr>
            <w:tcW w:w="4316" w:type="dxa"/>
            <w:noWrap w:val="0"/>
            <w:vAlign w:val="center"/>
          </w:tcPr>
          <w:p w14:paraId="775B441B">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p>
        </w:tc>
      </w:tr>
      <w:tr w14:paraId="44D9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Merge w:val="continue"/>
            <w:noWrap w:val="0"/>
            <w:vAlign w:val="center"/>
          </w:tcPr>
          <w:p w14:paraId="6B791001">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p>
        </w:tc>
        <w:tc>
          <w:tcPr>
            <w:tcW w:w="2898" w:type="dxa"/>
            <w:noWrap w:val="0"/>
            <w:vAlign w:val="center"/>
          </w:tcPr>
          <w:p w14:paraId="210FEDB0">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4.批准时间及编号</w:t>
            </w:r>
          </w:p>
        </w:tc>
        <w:tc>
          <w:tcPr>
            <w:tcW w:w="4316" w:type="dxa"/>
            <w:noWrap w:val="0"/>
            <w:vAlign w:val="center"/>
          </w:tcPr>
          <w:p w14:paraId="152669E2">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p>
        </w:tc>
      </w:tr>
      <w:tr w14:paraId="30D1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Merge w:val="continue"/>
            <w:noWrap w:val="0"/>
            <w:vAlign w:val="center"/>
          </w:tcPr>
          <w:p w14:paraId="4E44293B">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p>
        </w:tc>
        <w:tc>
          <w:tcPr>
            <w:tcW w:w="2898" w:type="dxa"/>
            <w:noWrap w:val="0"/>
            <w:vAlign w:val="center"/>
          </w:tcPr>
          <w:p w14:paraId="383123FE">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5.有效期</w:t>
            </w:r>
          </w:p>
        </w:tc>
        <w:tc>
          <w:tcPr>
            <w:tcW w:w="4316" w:type="dxa"/>
            <w:noWrap w:val="0"/>
            <w:vAlign w:val="center"/>
          </w:tcPr>
          <w:p w14:paraId="70B98EFB">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p>
        </w:tc>
      </w:tr>
      <w:tr w14:paraId="3FD6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Merge w:val="restart"/>
            <w:noWrap w:val="0"/>
            <w:vAlign w:val="center"/>
          </w:tcPr>
          <w:p w14:paraId="4F1713AD">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三</w:t>
            </w:r>
          </w:p>
        </w:tc>
        <w:tc>
          <w:tcPr>
            <w:tcW w:w="2898" w:type="dxa"/>
            <w:noWrap w:val="0"/>
            <w:vAlign w:val="center"/>
          </w:tcPr>
          <w:p w14:paraId="4464A045">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其他</w:t>
            </w:r>
          </w:p>
        </w:tc>
        <w:tc>
          <w:tcPr>
            <w:tcW w:w="4316" w:type="dxa"/>
            <w:noWrap w:val="0"/>
            <w:vAlign w:val="center"/>
          </w:tcPr>
          <w:p w14:paraId="7B235F9B">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投标人认为需补充的其他说明</w:t>
            </w:r>
          </w:p>
        </w:tc>
      </w:tr>
      <w:tr w14:paraId="3C32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Merge w:val="continue"/>
            <w:noWrap w:val="0"/>
            <w:vAlign w:val="center"/>
          </w:tcPr>
          <w:p w14:paraId="7684303A">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p>
        </w:tc>
        <w:tc>
          <w:tcPr>
            <w:tcW w:w="2898" w:type="dxa"/>
            <w:noWrap w:val="0"/>
            <w:vAlign w:val="center"/>
          </w:tcPr>
          <w:p w14:paraId="35F47FDB">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w:t>
            </w:r>
          </w:p>
        </w:tc>
        <w:tc>
          <w:tcPr>
            <w:tcW w:w="4316" w:type="dxa"/>
            <w:noWrap w:val="0"/>
            <w:vAlign w:val="center"/>
          </w:tcPr>
          <w:p w14:paraId="2482EBCF">
            <w:pPr>
              <w:keepNext w:val="0"/>
              <w:keepLines w:val="0"/>
              <w:suppressLineNumbers w:val="0"/>
              <w:spacing w:before="0" w:beforeAutospacing="0" w:after="0" w:afterAutospacing="0"/>
              <w:ind w:left="0" w:right="0"/>
              <w:jc w:val="left"/>
              <w:rPr>
                <w:rFonts w:hint="eastAsia" w:ascii="仿宋" w:hAnsi="仿宋" w:eastAsia="仿宋" w:cs="仿宋"/>
                <w:color w:val="000000"/>
                <w:szCs w:val="21"/>
                <w:highlight w:val="none"/>
              </w:rPr>
            </w:pPr>
          </w:p>
        </w:tc>
      </w:tr>
    </w:tbl>
    <w:p w14:paraId="72F7115C">
      <w:pPr>
        <w:snapToGrid w:val="0"/>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ab/>
      </w:r>
      <w:r>
        <w:rPr>
          <w:rFonts w:hint="eastAsia" w:ascii="仿宋" w:hAnsi="仿宋" w:eastAsia="仿宋" w:cs="仿宋"/>
          <w:b/>
          <w:color w:val="000000"/>
          <w:szCs w:val="21"/>
          <w:highlight w:val="none"/>
        </w:rPr>
        <w:t>注：在按要求填写好此表格后，各投标单位可以用其他的方式，就公司整体情况作出详细的介绍（可以提供相应文字、照片等）。</w:t>
      </w:r>
    </w:p>
    <w:p w14:paraId="7582146A">
      <w:pPr>
        <w:snapToGrid w:val="0"/>
        <w:rPr>
          <w:rFonts w:hint="eastAsia" w:ascii="仿宋" w:hAnsi="仿宋" w:eastAsia="仿宋" w:cs="仿宋"/>
          <w:bCs/>
          <w:color w:val="000000"/>
          <w:szCs w:val="21"/>
          <w:highlight w:val="none"/>
        </w:rPr>
      </w:pPr>
    </w:p>
    <w:p w14:paraId="4398EEC6">
      <w:pPr>
        <w:rPr>
          <w:rFonts w:hint="eastAsia" w:ascii="仿宋" w:hAnsi="仿宋" w:eastAsia="仿宋" w:cs="仿宋"/>
          <w:b/>
          <w:color w:val="000000"/>
          <w:szCs w:val="21"/>
          <w:highlight w:val="none"/>
        </w:rPr>
      </w:pPr>
      <w:bookmarkStart w:id="284" w:name="_Toc30351"/>
      <w:bookmarkStart w:id="285" w:name="_Toc18303"/>
      <w:bookmarkStart w:id="286" w:name="_Toc19898"/>
      <w:bookmarkStart w:id="287" w:name="_Toc4064"/>
      <w:r>
        <w:rPr>
          <w:rFonts w:hint="eastAsia" w:ascii="仿宋" w:hAnsi="仿宋" w:eastAsia="仿宋" w:cs="仿宋"/>
          <w:b/>
          <w:color w:val="000000"/>
          <w:szCs w:val="21"/>
          <w:highlight w:val="none"/>
        </w:rPr>
        <w:br w:type="page"/>
      </w:r>
    </w:p>
    <w:p w14:paraId="53849C1A">
      <w:pPr>
        <w:snapToGrid w:val="0"/>
        <w:outlineLvl w:val="3"/>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（二）供应商资格证明文件</w:t>
      </w:r>
      <w:bookmarkEnd w:id="284"/>
      <w:bookmarkEnd w:id="285"/>
      <w:bookmarkEnd w:id="286"/>
      <w:bookmarkEnd w:id="287"/>
    </w:p>
    <w:p w14:paraId="0F50AABF">
      <w:pPr>
        <w:keepNext w:val="0"/>
        <w:keepLines w:val="0"/>
        <w:pageBreakBefore w:val="0"/>
        <w:widowControl w:val="0"/>
        <w:kinsoku/>
        <w:wordWrap/>
        <w:overflowPunct/>
        <w:topLinePunct w:val="0"/>
        <w:autoSpaceDE/>
        <w:autoSpaceDN/>
        <w:bidi w:val="0"/>
        <w:adjustRightInd/>
        <w:snapToGrid w:val="0"/>
        <w:ind w:firstLine="420" w:firstLineChars="200"/>
        <w:textAlignment w:val="auto"/>
        <w:outlineLvl w:val="9"/>
        <w:rPr>
          <w:rFonts w:hint="eastAsia" w:ascii="仿宋" w:hAnsi="仿宋" w:eastAsia="仿宋" w:cs="仿宋"/>
          <w:bCs/>
          <w:color w:val="000000"/>
          <w:szCs w:val="21"/>
          <w:highlight w:val="none"/>
        </w:rPr>
      </w:pPr>
      <w:bookmarkStart w:id="288" w:name="_Toc6707"/>
      <w:bookmarkStart w:id="289" w:name="_Toc5975"/>
      <w:bookmarkStart w:id="290" w:name="_Toc10265"/>
      <w:r>
        <w:rPr>
          <w:rFonts w:hint="eastAsia" w:ascii="仿宋" w:hAnsi="仿宋" w:eastAsia="仿宋" w:cs="仿宋"/>
          <w:bCs/>
          <w:color w:val="000000"/>
          <w:szCs w:val="21"/>
          <w:highlight w:val="none"/>
        </w:rPr>
        <w:t>1.投标人资格要求的证明文件：</w:t>
      </w:r>
      <w:bookmarkEnd w:id="288"/>
      <w:bookmarkEnd w:id="289"/>
      <w:bookmarkEnd w:id="290"/>
    </w:p>
    <w:p w14:paraId="165A4BD9">
      <w:pPr>
        <w:keepNext w:val="0"/>
        <w:keepLines w:val="0"/>
        <w:pageBreakBefore w:val="0"/>
        <w:widowControl w:val="0"/>
        <w:kinsoku/>
        <w:wordWrap/>
        <w:overflowPunct/>
        <w:topLinePunct w:val="0"/>
        <w:autoSpaceDE/>
        <w:autoSpaceDN/>
        <w:bidi w:val="0"/>
        <w:adjustRightInd/>
        <w:snapToGrid w:val="0"/>
        <w:ind w:firstLine="420" w:firstLineChars="200"/>
        <w:textAlignment w:val="auto"/>
        <w:outlineLvl w:val="9"/>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（1）营业执照复印件（</w:t>
      </w:r>
      <w:r>
        <w:rPr>
          <w:rFonts w:hint="eastAsia" w:ascii="仿宋" w:hAnsi="仿宋" w:eastAsia="仿宋" w:cs="仿宋"/>
          <w:highlight w:val="none"/>
        </w:rPr>
        <w:t>加盖投标人公章）</w:t>
      </w:r>
      <w:r>
        <w:rPr>
          <w:rFonts w:hint="eastAsia" w:ascii="仿宋" w:hAnsi="仿宋" w:eastAsia="仿宋" w:cs="仿宋"/>
          <w:bCs/>
          <w:color w:val="000000"/>
          <w:szCs w:val="21"/>
          <w:highlight w:val="none"/>
        </w:rPr>
        <w:t>；</w:t>
      </w:r>
    </w:p>
    <w:p w14:paraId="6B123C83">
      <w:pPr>
        <w:keepNext w:val="0"/>
        <w:keepLines w:val="0"/>
        <w:pageBreakBefore w:val="0"/>
        <w:widowControl w:val="0"/>
        <w:kinsoku/>
        <w:wordWrap/>
        <w:overflowPunct/>
        <w:topLinePunct w:val="0"/>
        <w:autoSpaceDE/>
        <w:autoSpaceDN/>
        <w:bidi w:val="0"/>
        <w:adjustRightInd/>
        <w:snapToGrid w:val="0"/>
        <w:ind w:firstLine="420" w:firstLineChars="200"/>
        <w:textAlignment w:val="auto"/>
        <w:outlineLvl w:val="9"/>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（2）提供招标公告中关于投标人资格要求的相关资格证明文件复印件（</w:t>
      </w:r>
      <w:r>
        <w:rPr>
          <w:rFonts w:hint="eastAsia" w:ascii="仿宋" w:hAnsi="仿宋" w:eastAsia="仿宋" w:cs="仿宋"/>
          <w:highlight w:val="none"/>
        </w:rPr>
        <w:t>加盖投标人公章）</w:t>
      </w:r>
      <w:r>
        <w:rPr>
          <w:rFonts w:hint="eastAsia" w:ascii="仿宋" w:hAnsi="仿宋" w:eastAsia="仿宋" w:cs="仿宋"/>
          <w:bCs/>
          <w:color w:val="000000"/>
          <w:szCs w:val="21"/>
          <w:highlight w:val="none"/>
        </w:rPr>
        <w:t>。</w:t>
      </w:r>
    </w:p>
    <w:p w14:paraId="3C8F3834">
      <w:pPr>
        <w:keepNext w:val="0"/>
        <w:keepLines w:val="0"/>
        <w:pageBreakBefore w:val="0"/>
        <w:widowControl w:val="0"/>
        <w:kinsoku/>
        <w:wordWrap/>
        <w:overflowPunct/>
        <w:topLinePunct w:val="0"/>
        <w:autoSpaceDE/>
        <w:autoSpaceDN/>
        <w:bidi w:val="0"/>
        <w:adjustRightInd/>
        <w:snapToGrid w:val="0"/>
        <w:ind w:firstLine="420" w:firstLineChars="200"/>
        <w:textAlignment w:val="auto"/>
        <w:outlineLvl w:val="9"/>
        <w:rPr>
          <w:rFonts w:hint="eastAsia" w:ascii="仿宋" w:hAnsi="仿宋" w:eastAsia="仿宋" w:cs="仿宋"/>
          <w:bCs/>
          <w:color w:val="000000"/>
          <w:szCs w:val="21"/>
          <w:highlight w:val="none"/>
          <w:lang w:eastAsia="zh-CN"/>
        </w:rPr>
      </w:pPr>
      <w:r>
        <w:rPr>
          <w:rFonts w:hint="eastAsia" w:ascii="仿宋" w:hAnsi="仿宋" w:eastAsia="仿宋" w:cs="仿宋"/>
          <w:bCs/>
          <w:color w:val="000000"/>
          <w:szCs w:val="21"/>
          <w:highlight w:val="none"/>
          <w:lang w:eastAsia="zh-CN"/>
        </w:rPr>
        <w:t>（</w:t>
      </w:r>
      <w:r>
        <w:rPr>
          <w:rFonts w:hint="eastAsia" w:ascii="仿宋" w:hAnsi="仿宋" w:eastAsia="仿宋" w:cs="仿宋"/>
          <w:bCs/>
          <w:color w:val="000000"/>
          <w:szCs w:val="21"/>
          <w:highlight w:val="none"/>
          <w:lang w:val="en-US" w:eastAsia="zh-CN"/>
        </w:rPr>
        <w:t>3</w:t>
      </w:r>
      <w:r>
        <w:rPr>
          <w:rFonts w:hint="eastAsia" w:ascii="仿宋" w:hAnsi="仿宋" w:eastAsia="仿宋" w:cs="仿宋"/>
          <w:bCs/>
          <w:color w:val="000000"/>
          <w:szCs w:val="21"/>
          <w:highlight w:val="none"/>
          <w:lang w:eastAsia="zh-CN"/>
        </w:rPr>
        <w:t>）……</w:t>
      </w:r>
    </w:p>
    <w:p w14:paraId="61AAD3F7">
      <w:pPr>
        <w:snapToGrid w:val="0"/>
        <w:ind w:firstLine="420" w:firstLineChars="200"/>
        <w:rPr>
          <w:rFonts w:hint="eastAsia" w:ascii="仿宋" w:hAnsi="仿宋" w:eastAsia="仿宋" w:cs="仿宋"/>
          <w:color w:val="FF0000"/>
          <w:szCs w:val="21"/>
        </w:rPr>
      </w:pPr>
      <w:bookmarkStart w:id="291" w:name="_Toc1998"/>
      <w:bookmarkStart w:id="292" w:name="_Toc20640"/>
      <w:bookmarkStart w:id="293" w:name="_Toc32145"/>
      <w:bookmarkStart w:id="294" w:name="_Toc4181"/>
      <w:r>
        <w:rPr>
          <w:rFonts w:hint="eastAsia" w:ascii="仿宋" w:hAnsi="仿宋" w:eastAsia="仿宋" w:cs="仿宋"/>
          <w:color w:val="FF0000"/>
          <w:szCs w:val="21"/>
        </w:rPr>
        <w:t>注：按本招标文件第一章招标公告 “申请人的资格要求”提供相关的资质证明，投标文件未按要求提供证明材料或提供不完整、不符合要求的，投标文件将按无效投标处理。</w:t>
      </w:r>
    </w:p>
    <w:p w14:paraId="1CCC7F5E">
      <w:pPr>
        <w:snapToGrid w:val="0"/>
        <w:ind w:firstLine="420" w:firstLineChars="200"/>
        <w:rPr>
          <w:rFonts w:hint="eastAsia" w:ascii="仿宋" w:hAnsi="仿宋" w:eastAsia="仿宋" w:cs="仿宋"/>
          <w:color w:val="FF0000"/>
          <w:szCs w:val="21"/>
        </w:rPr>
      </w:pPr>
    </w:p>
    <w:p w14:paraId="4974B88B">
      <w:pPr>
        <w:snapToGrid w:val="0"/>
        <w:ind w:firstLine="422" w:firstLineChars="200"/>
        <w:rPr>
          <w:rFonts w:hint="eastAsia" w:ascii="仿宋" w:hAnsi="仿宋" w:eastAsia="仿宋" w:cs="仿宋"/>
          <w:b/>
          <w:color w:val="0000FF"/>
          <w:szCs w:val="21"/>
        </w:rPr>
      </w:pPr>
      <w:r>
        <w:rPr>
          <w:rFonts w:hint="eastAsia" w:ascii="仿宋" w:hAnsi="仿宋" w:eastAsia="仿宋" w:cs="仿宋"/>
          <w:b/>
          <w:color w:val="0000FF"/>
          <w:szCs w:val="21"/>
        </w:rPr>
        <w:t>（注：已在其它章节提供的材料，投标人可以不在本章节重复提供，备注说明具体页码即可。但是投标文件中应当具备招标公告 “申请人的资格要求”要求的全部证明材料；未按要求提供的，投标文件将按无效投标处理）</w:t>
      </w:r>
    </w:p>
    <w:p w14:paraId="2EF9AE90">
      <w:pPr>
        <w:rPr>
          <w:rFonts w:hint="eastAsia" w:ascii="仿宋" w:hAnsi="仿宋" w:eastAsia="仿宋" w:cs="仿宋"/>
          <w:b/>
          <w:color w:val="000000"/>
          <w:szCs w:val="21"/>
          <w:highlight w:val="none"/>
          <w:lang w:eastAsia="zh-CN"/>
        </w:rPr>
      </w:pPr>
      <w:r>
        <w:rPr>
          <w:rFonts w:hint="eastAsia" w:ascii="仿宋" w:hAnsi="仿宋" w:eastAsia="仿宋" w:cs="仿宋"/>
          <w:b/>
          <w:color w:val="000000"/>
          <w:szCs w:val="21"/>
          <w:highlight w:val="none"/>
          <w:lang w:eastAsia="zh-CN"/>
        </w:rPr>
        <w:br w:type="page"/>
      </w:r>
    </w:p>
    <w:p w14:paraId="0C08081C">
      <w:pPr>
        <w:snapToGrid w:val="0"/>
        <w:outlineLvl w:val="3"/>
        <w:rPr>
          <w:rFonts w:hint="eastAsia" w:ascii="仿宋" w:hAnsi="仿宋" w:eastAsia="仿宋" w:cs="仿宋"/>
          <w:b/>
          <w:color w:val="000000"/>
          <w:szCs w:val="21"/>
          <w:highlight w:val="none"/>
          <w:lang w:eastAsia="zh-CN"/>
        </w:rPr>
      </w:pPr>
      <w:r>
        <w:rPr>
          <w:rFonts w:hint="eastAsia" w:ascii="仿宋" w:hAnsi="仿宋" w:eastAsia="仿宋" w:cs="仿宋"/>
          <w:b/>
          <w:color w:val="000000"/>
          <w:szCs w:val="21"/>
          <w:highlight w:val="none"/>
          <w:lang w:eastAsia="zh-CN"/>
        </w:rPr>
        <w:t>（三）供应商</w:t>
      </w:r>
      <w:r>
        <w:rPr>
          <w:rFonts w:hint="eastAsia" w:ascii="仿宋" w:hAnsi="仿宋" w:eastAsia="仿宋" w:cs="仿宋"/>
          <w:b/>
          <w:color w:val="000000"/>
          <w:szCs w:val="21"/>
          <w:highlight w:val="none"/>
          <w:lang w:val="en-US" w:eastAsia="zh-CN"/>
        </w:rPr>
        <w:t>基本情况</w:t>
      </w:r>
      <w:bookmarkEnd w:id="291"/>
      <w:bookmarkEnd w:id="292"/>
    </w:p>
    <w:p w14:paraId="30390D2C">
      <w:pPr>
        <w:keepNext w:val="0"/>
        <w:keepLines w:val="0"/>
        <w:pageBreakBefore w:val="0"/>
        <w:widowControl w:val="0"/>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color w:val="FF0000"/>
          <w:szCs w:val="21"/>
          <w:highlight w:val="none"/>
          <w:lang w:eastAsia="zh-CN"/>
        </w:rPr>
      </w:pPr>
      <w:r>
        <w:rPr>
          <w:rFonts w:hint="eastAsia" w:ascii="仿宋" w:hAnsi="仿宋" w:eastAsia="仿宋" w:cs="仿宋"/>
          <w:b/>
          <w:color w:val="FF0000"/>
          <w:szCs w:val="21"/>
          <w:highlight w:val="none"/>
          <w:lang w:eastAsia="zh-CN"/>
        </w:rPr>
        <w:t>（注：根据《深圳经济特区政府采购条例实施细则》第七十五条规定，以下内容将作为评审委员会和主管部门判定本项目不同投标供应商是否涉嫌、属于串通投标的重要依据，请供应商认真填报，并保证所填信息的真实、准确和完整。）</w:t>
      </w:r>
    </w:p>
    <w:p w14:paraId="729A7F97">
      <w:pPr>
        <w:keepNext w:val="0"/>
        <w:keepLines w:val="0"/>
        <w:pageBreakBefore w:val="0"/>
        <w:widowControl w:val="0"/>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color w:val="auto"/>
          <w:szCs w:val="21"/>
          <w:highlight w:val="none"/>
          <w:lang w:val="en-US" w:eastAsia="zh-CN"/>
        </w:rPr>
      </w:pPr>
    </w:p>
    <w:p w14:paraId="2F1AC695">
      <w:pPr>
        <w:keepNext w:val="0"/>
        <w:keepLines w:val="0"/>
        <w:pageBreakBefore w:val="0"/>
        <w:widowControl w:val="0"/>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color w:val="auto"/>
          <w:szCs w:val="21"/>
          <w:highlight w:val="none"/>
          <w:lang w:val="en-US" w:eastAsia="zh-CN"/>
        </w:rPr>
      </w:pPr>
      <w:r>
        <w:rPr>
          <w:rFonts w:hint="eastAsia" w:ascii="仿宋" w:hAnsi="仿宋" w:eastAsia="仿宋" w:cs="仿宋"/>
          <w:b/>
          <w:color w:val="auto"/>
          <w:szCs w:val="21"/>
          <w:highlight w:val="none"/>
          <w:lang w:val="en-US" w:eastAsia="zh-CN"/>
        </w:rPr>
        <w:t>1.供应商基本情况表</w:t>
      </w:r>
    </w:p>
    <w:p w14:paraId="597F383D">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填表单位（</w:t>
      </w:r>
      <w:r>
        <w:rPr>
          <w:rFonts w:hint="eastAsia" w:ascii="仿宋" w:hAnsi="仿宋" w:eastAsia="仿宋" w:cs="仿宋"/>
          <w:b/>
          <w:bCs/>
          <w:color w:val="FF0000"/>
          <w:sz w:val="21"/>
          <w:szCs w:val="21"/>
          <w:highlight w:val="none"/>
        </w:rPr>
        <w:t>加盖单位公章</w:t>
      </w:r>
      <w:r>
        <w:rPr>
          <w:rFonts w:hint="eastAsia" w:ascii="仿宋" w:hAnsi="仿宋" w:eastAsia="仿宋" w:cs="仿宋"/>
          <w:sz w:val="21"/>
          <w:szCs w:val="21"/>
          <w:highlight w:val="none"/>
        </w:rPr>
        <w:t>）：</w:t>
      </w:r>
    </w:p>
    <w:p w14:paraId="234411CA">
      <w:pPr>
        <w:adjustRightInd w:val="0"/>
        <w:snapToGrid w:val="0"/>
        <w:jc w:val="left"/>
        <w:rPr>
          <w:rFonts w:hint="eastAsia" w:ascii="仿宋" w:hAnsi="仿宋" w:eastAsia="仿宋" w:cs="仿宋"/>
          <w:highlight w:val="none"/>
          <w:lang w:val="en-US" w:eastAsia="zh-CN"/>
        </w:rPr>
      </w:pPr>
      <w:r>
        <w:rPr>
          <w:rFonts w:hint="eastAsia" w:ascii="仿宋" w:hAnsi="仿宋" w:eastAsia="仿宋" w:cs="仿宋"/>
          <w:sz w:val="21"/>
          <w:szCs w:val="21"/>
          <w:highlight w:val="none"/>
        </w:rPr>
        <w:t>填表日期：        年     月      日</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617"/>
        <w:gridCol w:w="1469"/>
        <w:gridCol w:w="927"/>
        <w:gridCol w:w="721"/>
        <w:gridCol w:w="1305"/>
        <w:gridCol w:w="1399"/>
        <w:gridCol w:w="1423"/>
      </w:tblGrid>
      <w:tr w14:paraId="0F31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gridSpan w:val="2"/>
            <w:noWrap w:val="0"/>
            <w:vAlign w:val="center"/>
          </w:tcPr>
          <w:p w14:paraId="07933D1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投标（响应）供应商</w:t>
            </w:r>
          </w:p>
        </w:tc>
        <w:tc>
          <w:tcPr>
            <w:tcW w:w="2396" w:type="dxa"/>
            <w:gridSpan w:val="2"/>
            <w:noWrap w:val="0"/>
            <w:vAlign w:val="center"/>
          </w:tcPr>
          <w:p w14:paraId="5504830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2026" w:type="dxa"/>
            <w:gridSpan w:val="2"/>
            <w:noWrap w:val="0"/>
            <w:vAlign w:val="center"/>
          </w:tcPr>
          <w:p w14:paraId="77A54AE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供应商统一社会信用代码</w:t>
            </w:r>
          </w:p>
        </w:tc>
        <w:tc>
          <w:tcPr>
            <w:tcW w:w="2821" w:type="dxa"/>
            <w:gridSpan w:val="2"/>
            <w:noWrap w:val="0"/>
            <w:vAlign w:val="center"/>
          </w:tcPr>
          <w:p w14:paraId="6A5D063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r>
      <w:tr w14:paraId="2338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9" w:type="dxa"/>
            <w:gridSpan w:val="8"/>
            <w:noWrap w:val="0"/>
            <w:vAlign w:val="center"/>
          </w:tcPr>
          <w:p w14:paraId="03813BA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投标（响应）供应商相关人员情况</w:t>
            </w:r>
          </w:p>
        </w:tc>
      </w:tr>
      <w:tr w14:paraId="4F2A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bottom w:val="single" w:color="auto" w:sz="4" w:space="0"/>
            </w:tcBorders>
            <w:noWrap w:val="0"/>
            <w:vAlign w:val="center"/>
          </w:tcPr>
          <w:p w14:paraId="7F31EAF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序号</w:t>
            </w:r>
          </w:p>
        </w:tc>
        <w:tc>
          <w:tcPr>
            <w:tcW w:w="2085" w:type="dxa"/>
            <w:gridSpan w:val="2"/>
            <w:tcBorders>
              <w:bottom w:val="single" w:color="auto" w:sz="4" w:space="0"/>
            </w:tcBorders>
            <w:noWrap w:val="0"/>
            <w:vAlign w:val="center"/>
          </w:tcPr>
          <w:p w14:paraId="0F8BD14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职务</w:t>
            </w:r>
          </w:p>
        </w:tc>
        <w:tc>
          <w:tcPr>
            <w:tcW w:w="927" w:type="dxa"/>
            <w:tcBorders>
              <w:bottom w:val="single" w:color="auto" w:sz="4" w:space="0"/>
            </w:tcBorders>
            <w:noWrap w:val="0"/>
            <w:vAlign w:val="center"/>
          </w:tcPr>
          <w:p w14:paraId="4754585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姓名</w:t>
            </w:r>
          </w:p>
        </w:tc>
        <w:tc>
          <w:tcPr>
            <w:tcW w:w="2026" w:type="dxa"/>
            <w:gridSpan w:val="2"/>
            <w:tcBorders>
              <w:bottom w:val="single" w:color="auto" w:sz="4" w:space="0"/>
            </w:tcBorders>
            <w:noWrap w:val="0"/>
            <w:vAlign w:val="center"/>
          </w:tcPr>
          <w:p w14:paraId="3616299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身份证号码</w:t>
            </w:r>
          </w:p>
        </w:tc>
        <w:tc>
          <w:tcPr>
            <w:tcW w:w="1398" w:type="dxa"/>
            <w:tcBorders>
              <w:bottom w:val="single" w:color="auto" w:sz="4" w:space="0"/>
            </w:tcBorders>
            <w:noWrap w:val="0"/>
            <w:vAlign w:val="center"/>
          </w:tcPr>
          <w:p w14:paraId="1DB446F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right="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劳动合同</w:t>
            </w:r>
          </w:p>
          <w:p w14:paraId="310E903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关系单位</w:t>
            </w:r>
          </w:p>
        </w:tc>
        <w:tc>
          <w:tcPr>
            <w:tcW w:w="1423" w:type="dxa"/>
            <w:tcBorders>
              <w:bottom w:val="single" w:color="auto" w:sz="4" w:space="0"/>
            </w:tcBorders>
            <w:noWrap w:val="0"/>
            <w:vAlign w:val="center"/>
          </w:tcPr>
          <w:p w14:paraId="365021B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right="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缴纳社会</w:t>
            </w:r>
          </w:p>
          <w:p w14:paraId="028247F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保险单位</w:t>
            </w:r>
          </w:p>
        </w:tc>
      </w:tr>
      <w:tr w14:paraId="39F7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3F3B730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w:t>
            </w:r>
          </w:p>
        </w:tc>
        <w:tc>
          <w:tcPr>
            <w:tcW w:w="2085" w:type="dxa"/>
            <w:gridSpan w:val="2"/>
            <w:tcBorders>
              <w:top w:val="single" w:color="auto" w:sz="4" w:space="0"/>
              <w:left w:val="single" w:color="auto" w:sz="4" w:space="0"/>
              <w:bottom w:val="single" w:color="auto" w:sz="4" w:space="0"/>
              <w:right w:val="single" w:color="auto" w:sz="4" w:space="0"/>
            </w:tcBorders>
            <w:noWrap w:val="0"/>
            <w:vAlign w:val="center"/>
          </w:tcPr>
          <w:p w14:paraId="5F4C611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Cs w:val="21"/>
                <w:highlight w:val="none"/>
                <w:lang w:val="en-US" w:eastAsia="zh-CN"/>
              </w:rPr>
              <w:t>法定代表人（或单位负责人或执行事务合伙人）</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00CE28A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14:paraId="108693A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1398" w:type="dxa"/>
            <w:tcBorders>
              <w:top w:val="single" w:color="auto" w:sz="4" w:space="0"/>
              <w:left w:val="single" w:color="auto" w:sz="4" w:space="0"/>
              <w:bottom w:val="single" w:color="auto" w:sz="4" w:space="0"/>
              <w:right w:val="single" w:color="auto" w:sz="4" w:space="0"/>
            </w:tcBorders>
            <w:noWrap w:val="0"/>
            <w:vAlign w:val="center"/>
          </w:tcPr>
          <w:p w14:paraId="5E91D87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14:paraId="528C45B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r>
      <w:tr w14:paraId="7715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40A3193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w:t>
            </w:r>
          </w:p>
        </w:tc>
        <w:tc>
          <w:tcPr>
            <w:tcW w:w="2085" w:type="dxa"/>
            <w:gridSpan w:val="2"/>
            <w:tcBorders>
              <w:top w:val="single" w:color="auto" w:sz="4" w:space="0"/>
              <w:left w:val="single" w:color="auto" w:sz="4" w:space="0"/>
              <w:bottom w:val="single" w:color="auto" w:sz="4" w:space="0"/>
              <w:right w:val="single" w:color="auto" w:sz="4" w:space="0"/>
            </w:tcBorders>
            <w:noWrap w:val="0"/>
            <w:vAlign w:val="center"/>
          </w:tcPr>
          <w:p w14:paraId="6111AE6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color w:val="FF0000"/>
                <w:szCs w:val="21"/>
                <w:highlight w:val="none"/>
                <w:lang w:val="en-US" w:eastAsia="zh-CN"/>
              </w:rPr>
            </w:pPr>
            <w:r>
              <w:rPr>
                <w:rFonts w:hint="eastAsia" w:ascii="仿宋" w:hAnsi="仿宋" w:eastAsia="仿宋" w:cs="仿宋"/>
                <w:b w:val="0"/>
                <w:bCs/>
                <w:color w:val="auto"/>
                <w:szCs w:val="21"/>
                <w:highlight w:val="none"/>
                <w:lang w:val="en-US" w:eastAsia="zh-CN"/>
              </w:rPr>
              <w:t>主要经营负责人</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7F564AE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14:paraId="6709ABE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1398" w:type="dxa"/>
            <w:tcBorders>
              <w:top w:val="single" w:color="auto" w:sz="4" w:space="0"/>
              <w:left w:val="single" w:color="auto" w:sz="4" w:space="0"/>
              <w:bottom w:val="single" w:color="auto" w:sz="4" w:space="0"/>
              <w:right w:val="single" w:color="auto" w:sz="4" w:space="0"/>
            </w:tcBorders>
            <w:noWrap w:val="0"/>
            <w:vAlign w:val="center"/>
          </w:tcPr>
          <w:p w14:paraId="11955BE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14:paraId="5F019B9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r>
      <w:tr w14:paraId="4B4F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7968B5C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w:t>
            </w:r>
          </w:p>
        </w:tc>
        <w:tc>
          <w:tcPr>
            <w:tcW w:w="2085" w:type="dxa"/>
            <w:gridSpan w:val="2"/>
            <w:tcBorders>
              <w:top w:val="single" w:color="auto" w:sz="4" w:space="0"/>
              <w:left w:val="single" w:color="auto" w:sz="4" w:space="0"/>
              <w:bottom w:val="single" w:color="auto" w:sz="4" w:space="0"/>
              <w:right w:val="single" w:color="auto" w:sz="4" w:space="0"/>
            </w:tcBorders>
            <w:noWrap w:val="0"/>
            <w:vAlign w:val="center"/>
          </w:tcPr>
          <w:p w14:paraId="3D7A6A0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Cs w:val="21"/>
                <w:highlight w:val="none"/>
                <w:lang w:val="en-US" w:eastAsia="zh-CN"/>
              </w:rPr>
              <w:t>项目投标授权代表人</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24AF9EF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14:paraId="7C8BEC3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1398" w:type="dxa"/>
            <w:tcBorders>
              <w:top w:val="single" w:color="auto" w:sz="4" w:space="0"/>
              <w:left w:val="single" w:color="auto" w:sz="4" w:space="0"/>
              <w:bottom w:val="single" w:color="auto" w:sz="4" w:space="0"/>
              <w:right w:val="single" w:color="auto" w:sz="4" w:space="0"/>
            </w:tcBorders>
            <w:noWrap w:val="0"/>
            <w:vAlign w:val="center"/>
          </w:tcPr>
          <w:p w14:paraId="64EA37B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14:paraId="4E3EC52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r>
      <w:tr w14:paraId="13CE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single" w:color="auto" w:sz="4" w:space="0"/>
            </w:tcBorders>
            <w:noWrap w:val="0"/>
            <w:vAlign w:val="center"/>
          </w:tcPr>
          <w:p w14:paraId="24FB807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w:t>
            </w:r>
          </w:p>
        </w:tc>
        <w:tc>
          <w:tcPr>
            <w:tcW w:w="2085" w:type="dxa"/>
            <w:gridSpan w:val="2"/>
            <w:tcBorders>
              <w:top w:val="single" w:color="auto" w:sz="4" w:space="0"/>
            </w:tcBorders>
            <w:noWrap w:val="0"/>
            <w:vAlign w:val="center"/>
          </w:tcPr>
          <w:p w14:paraId="313C026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项目负责人</w:t>
            </w:r>
          </w:p>
        </w:tc>
        <w:tc>
          <w:tcPr>
            <w:tcW w:w="927" w:type="dxa"/>
            <w:tcBorders>
              <w:top w:val="single" w:color="auto" w:sz="4" w:space="0"/>
            </w:tcBorders>
            <w:noWrap w:val="0"/>
            <w:vAlign w:val="center"/>
          </w:tcPr>
          <w:p w14:paraId="479ED68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2026" w:type="dxa"/>
            <w:gridSpan w:val="2"/>
            <w:tcBorders>
              <w:top w:val="single" w:color="auto" w:sz="4" w:space="0"/>
            </w:tcBorders>
            <w:noWrap w:val="0"/>
            <w:vAlign w:val="center"/>
          </w:tcPr>
          <w:p w14:paraId="4C9CEE0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1398" w:type="dxa"/>
            <w:tcBorders>
              <w:top w:val="single" w:color="auto" w:sz="4" w:space="0"/>
            </w:tcBorders>
            <w:noWrap w:val="0"/>
            <w:vAlign w:val="center"/>
          </w:tcPr>
          <w:p w14:paraId="14FB3A5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1423" w:type="dxa"/>
            <w:tcBorders>
              <w:top w:val="single" w:color="auto" w:sz="4" w:space="0"/>
            </w:tcBorders>
            <w:noWrap w:val="0"/>
            <w:vAlign w:val="center"/>
          </w:tcPr>
          <w:p w14:paraId="6134B8F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r>
      <w:tr w14:paraId="49E2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noWrap w:val="0"/>
            <w:vAlign w:val="center"/>
          </w:tcPr>
          <w:p w14:paraId="3EE413A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5</w:t>
            </w:r>
          </w:p>
        </w:tc>
        <w:tc>
          <w:tcPr>
            <w:tcW w:w="2085" w:type="dxa"/>
            <w:gridSpan w:val="2"/>
            <w:noWrap w:val="0"/>
            <w:vAlign w:val="center"/>
          </w:tcPr>
          <w:p w14:paraId="659B553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主要技术人员</w:t>
            </w:r>
          </w:p>
        </w:tc>
        <w:tc>
          <w:tcPr>
            <w:tcW w:w="927" w:type="dxa"/>
            <w:noWrap w:val="0"/>
            <w:vAlign w:val="center"/>
          </w:tcPr>
          <w:p w14:paraId="54C62B6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2026" w:type="dxa"/>
            <w:gridSpan w:val="2"/>
            <w:noWrap w:val="0"/>
            <w:vAlign w:val="center"/>
          </w:tcPr>
          <w:p w14:paraId="498F95F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1398" w:type="dxa"/>
            <w:noWrap w:val="0"/>
            <w:vAlign w:val="center"/>
          </w:tcPr>
          <w:p w14:paraId="386C2E4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1423" w:type="dxa"/>
            <w:noWrap w:val="0"/>
            <w:vAlign w:val="center"/>
          </w:tcPr>
          <w:p w14:paraId="7434C8C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r>
      <w:tr w14:paraId="77FBF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noWrap w:val="0"/>
            <w:vAlign w:val="center"/>
          </w:tcPr>
          <w:p w14:paraId="5F654A9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6</w:t>
            </w:r>
          </w:p>
        </w:tc>
        <w:tc>
          <w:tcPr>
            <w:tcW w:w="2085" w:type="dxa"/>
            <w:gridSpan w:val="2"/>
            <w:noWrap w:val="0"/>
            <w:vAlign w:val="center"/>
          </w:tcPr>
          <w:p w14:paraId="24CB9CA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Cs w:val="21"/>
                <w:highlight w:val="none"/>
                <w:lang w:val="en-US" w:eastAsia="zh-CN"/>
              </w:rPr>
              <w:t>投标文件编制人员</w:t>
            </w:r>
          </w:p>
        </w:tc>
        <w:tc>
          <w:tcPr>
            <w:tcW w:w="927" w:type="dxa"/>
            <w:noWrap w:val="0"/>
            <w:vAlign w:val="center"/>
          </w:tcPr>
          <w:p w14:paraId="772BDCE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2026" w:type="dxa"/>
            <w:gridSpan w:val="2"/>
            <w:noWrap w:val="0"/>
            <w:vAlign w:val="center"/>
          </w:tcPr>
          <w:p w14:paraId="1311819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1398" w:type="dxa"/>
            <w:noWrap w:val="0"/>
            <w:vAlign w:val="center"/>
          </w:tcPr>
          <w:p w14:paraId="61BF440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1423" w:type="dxa"/>
            <w:noWrap w:val="0"/>
            <w:vAlign w:val="center"/>
          </w:tcPr>
          <w:p w14:paraId="5024D73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r>
      <w:tr w14:paraId="7C8D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9" w:type="dxa"/>
            <w:gridSpan w:val="8"/>
            <w:noWrap w:val="0"/>
            <w:vAlign w:val="center"/>
          </w:tcPr>
          <w:p w14:paraId="14E08F6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right="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说明：</w:t>
            </w:r>
          </w:p>
          <w:p w14:paraId="56F9294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right="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1.同一职务有多人担任（如主要技术人员）或同一人担任多个职务的，应分行填写。</w:t>
            </w:r>
          </w:p>
          <w:p w14:paraId="4194CC2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right="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2.上述项目负责人、主要技术人员必须为供应商本单位人员。</w:t>
            </w:r>
          </w:p>
          <w:p w14:paraId="57B62EF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highlight w:val="none"/>
                <w:lang w:val="en-US" w:eastAsia="zh-CN"/>
              </w:rPr>
            </w:pPr>
            <w:r>
              <w:rPr>
                <w:rFonts w:hint="eastAsia" w:ascii="仿宋" w:hAnsi="仿宋" w:eastAsia="仿宋" w:cs="仿宋"/>
                <w:b w:val="0"/>
                <w:bCs/>
                <w:color w:val="auto"/>
                <w:sz w:val="21"/>
                <w:szCs w:val="21"/>
                <w:highlight w:val="none"/>
                <w:lang w:val="en-US" w:eastAsia="zh-CN"/>
              </w:rPr>
              <w:t>3.依据《中华人民共和国民法典》第504条规定，上述单位负责人，是指非法人组织（如个体工商户、分支机构）的负责人，即对外代表该组织的自然人。</w:t>
            </w:r>
          </w:p>
        </w:tc>
      </w:tr>
      <w:tr w14:paraId="7478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519" w:type="dxa"/>
            <w:gridSpan w:val="8"/>
            <w:noWrap w:val="0"/>
            <w:vAlign w:val="center"/>
          </w:tcPr>
          <w:p w14:paraId="3140E9C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投标（响应）供应商关联关系情况</w:t>
            </w:r>
          </w:p>
        </w:tc>
      </w:tr>
      <w:tr w14:paraId="295C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6260092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序号</w:t>
            </w:r>
          </w:p>
        </w:tc>
        <w:tc>
          <w:tcPr>
            <w:tcW w:w="2085" w:type="dxa"/>
            <w:gridSpan w:val="2"/>
            <w:tcBorders>
              <w:top w:val="single" w:color="auto" w:sz="4" w:space="0"/>
              <w:left w:val="single" w:color="auto" w:sz="4" w:space="0"/>
              <w:bottom w:val="single" w:color="auto" w:sz="4" w:space="0"/>
              <w:right w:val="single" w:color="auto" w:sz="4" w:space="0"/>
            </w:tcBorders>
            <w:noWrap w:val="0"/>
            <w:vAlign w:val="center"/>
          </w:tcPr>
          <w:p w14:paraId="77A2DAA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关联关系类型</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14:paraId="513CA8D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关联主体名称</w:t>
            </w:r>
          </w:p>
        </w:tc>
        <w:tc>
          <w:tcPr>
            <w:tcW w:w="4126" w:type="dxa"/>
            <w:gridSpan w:val="3"/>
            <w:tcBorders>
              <w:top w:val="single" w:color="auto" w:sz="4" w:space="0"/>
              <w:left w:val="single" w:color="auto" w:sz="4" w:space="0"/>
              <w:bottom w:val="single" w:color="auto" w:sz="4" w:space="0"/>
              <w:right w:val="single" w:color="auto" w:sz="4" w:space="0"/>
            </w:tcBorders>
            <w:noWrap w:val="0"/>
            <w:vAlign w:val="center"/>
          </w:tcPr>
          <w:p w14:paraId="61F7E72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center"/>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备注</w:t>
            </w:r>
          </w:p>
        </w:tc>
      </w:tr>
      <w:tr w14:paraId="0D7E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6D9FF1F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w:t>
            </w:r>
          </w:p>
        </w:tc>
        <w:tc>
          <w:tcPr>
            <w:tcW w:w="2085" w:type="dxa"/>
            <w:gridSpan w:val="2"/>
            <w:tcBorders>
              <w:top w:val="single" w:color="auto" w:sz="4" w:space="0"/>
              <w:left w:val="single" w:color="auto" w:sz="4" w:space="0"/>
              <w:bottom w:val="single" w:color="auto" w:sz="4" w:space="0"/>
              <w:right w:val="single" w:color="auto" w:sz="4" w:space="0"/>
            </w:tcBorders>
            <w:noWrap w:val="0"/>
            <w:vAlign w:val="center"/>
          </w:tcPr>
          <w:p w14:paraId="3CA4AE8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Cs w:val="21"/>
                <w:highlight w:val="none"/>
                <w:lang w:val="en-US" w:eastAsia="zh-CN"/>
              </w:rPr>
              <w:t>控股股东</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14:paraId="3CDF3B6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4126" w:type="dxa"/>
            <w:gridSpan w:val="3"/>
            <w:tcBorders>
              <w:top w:val="single" w:color="auto" w:sz="4" w:space="0"/>
              <w:left w:val="single" w:color="auto" w:sz="4" w:space="0"/>
              <w:bottom w:val="single" w:color="auto" w:sz="4" w:space="0"/>
              <w:right w:val="single" w:color="auto" w:sz="4" w:space="0"/>
            </w:tcBorders>
            <w:noWrap w:val="0"/>
            <w:vAlign w:val="center"/>
          </w:tcPr>
          <w:p w14:paraId="3FDA3E8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right="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52D9101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2.如股东为法人或其他组织的,请填写法人或组织的全称及统一社会信用代码;如股东为自然人的，请填写姓名及身份证号;</w:t>
            </w:r>
          </w:p>
        </w:tc>
      </w:tr>
      <w:tr w14:paraId="0BBC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1491DD9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w:t>
            </w:r>
          </w:p>
        </w:tc>
        <w:tc>
          <w:tcPr>
            <w:tcW w:w="2085" w:type="dxa"/>
            <w:gridSpan w:val="2"/>
            <w:tcBorders>
              <w:top w:val="single" w:color="auto" w:sz="4" w:space="0"/>
              <w:left w:val="single" w:color="auto" w:sz="4" w:space="0"/>
              <w:bottom w:val="single" w:color="auto" w:sz="4" w:space="0"/>
              <w:right w:val="single" w:color="auto" w:sz="4" w:space="0"/>
            </w:tcBorders>
            <w:noWrap w:val="0"/>
            <w:vAlign w:val="center"/>
          </w:tcPr>
          <w:p w14:paraId="04F8030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管理关系</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14:paraId="4500007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p>
        </w:tc>
        <w:tc>
          <w:tcPr>
            <w:tcW w:w="4126" w:type="dxa"/>
            <w:gridSpan w:val="3"/>
            <w:tcBorders>
              <w:top w:val="single" w:color="auto" w:sz="4" w:space="0"/>
              <w:left w:val="single" w:color="auto" w:sz="4" w:space="0"/>
              <w:bottom w:val="single" w:color="auto" w:sz="4" w:space="0"/>
              <w:right w:val="single" w:color="auto" w:sz="4" w:space="0"/>
            </w:tcBorders>
            <w:noWrap w:val="0"/>
            <w:vAlign w:val="center"/>
          </w:tcPr>
          <w:p w14:paraId="091ADF6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both"/>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指对投标（响应）供应商不具有出资持股关系，但对其存在管理关系的主体。</w:t>
            </w:r>
          </w:p>
        </w:tc>
      </w:tr>
      <w:tr w14:paraId="5F87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7E7A5E4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right="0"/>
              <w:jc w:val="both"/>
              <w:textAlignment w:val="auto"/>
              <w:outlineLvl w:val="9"/>
              <w:rPr>
                <w:rFonts w:hint="eastAsia"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lang w:val="en-US" w:eastAsia="zh-CN"/>
              </w:rPr>
              <w:t>说明：</w:t>
            </w:r>
          </w:p>
          <w:p w14:paraId="4E861BE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ind w:left="0" w:right="0"/>
              <w:jc w:val="both"/>
              <w:textAlignment w:val="auto"/>
              <w:outlineLvl w:val="9"/>
              <w:rPr>
                <w:rFonts w:hint="eastAsia"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lang w:val="en-US" w:eastAsia="zh-CN"/>
              </w:rPr>
              <w:t>1.同一关联关系类型有多个主体的，应分行填写。</w:t>
            </w:r>
          </w:p>
          <w:p w14:paraId="41EB0A29">
            <w:pPr>
              <w:pStyle w:val="12"/>
              <w:keepNext w:val="0"/>
              <w:keepLines w:val="0"/>
              <w:suppressLineNumbers w:val="0"/>
              <w:spacing w:before="0" w:beforeAutospacing="0" w:after="0" w:afterAutospacing="0"/>
              <w:ind w:left="0" w:leftChars="0" w:right="0" w:firstLine="0" w:firstLineChars="0"/>
              <w:rPr>
                <w:rFonts w:hint="eastAsia" w:ascii="仿宋" w:hAnsi="仿宋" w:eastAsia="仿宋" w:cs="仿宋"/>
                <w:highlight w:val="none"/>
                <w:lang w:val="en-US" w:eastAsia="zh-CN"/>
              </w:rPr>
            </w:pPr>
            <w:r>
              <w:rPr>
                <w:rFonts w:hint="eastAsia" w:ascii="仿宋" w:hAnsi="仿宋" w:eastAsia="仿宋" w:cs="仿宋"/>
                <w:b/>
                <w:color w:val="auto"/>
                <w:kern w:val="2"/>
                <w:sz w:val="21"/>
                <w:szCs w:val="21"/>
                <w:highlight w:val="none"/>
                <w:lang w:val="en-US" w:eastAsia="zh-CN" w:bidi="ar-SA"/>
              </w:rPr>
              <w:t>2.上述规定的控股、管理关系仅限于直接控股、直接管理关系，不包括间接的控股或管理关系。</w:t>
            </w:r>
          </w:p>
        </w:tc>
      </w:tr>
    </w:tbl>
    <w:p w14:paraId="2877A73F">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bCs w:val="0"/>
          <w:color w:val="auto"/>
          <w:sz w:val="21"/>
          <w:szCs w:val="21"/>
          <w:highlight w:val="none"/>
          <w:lang w:val="en-US" w:eastAsia="zh-CN"/>
        </w:rPr>
      </w:pPr>
    </w:p>
    <w:p w14:paraId="33ACFFE6">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2.社保证明材料：</w:t>
      </w:r>
    </w:p>
    <w:p w14:paraId="25C26FBD">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（1）法定代表人（单位负责人或执行事务合伙人）</w:t>
      </w:r>
    </w:p>
    <w:p w14:paraId="5CA53FC4">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身份证扫描件（正反面）：</w:t>
      </w:r>
    </w:p>
    <w:p w14:paraId="3C860731">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开标前一个月的社保缴纳凭证(须由社保部门出具，并至少载明参保人姓名、身份证号和参保单位名称)：</w:t>
      </w:r>
    </w:p>
    <w:p w14:paraId="49A8CC98">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p>
    <w:p w14:paraId="5CFF937F">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（2）主要经营负责人</w:t>
      </w:r>
    </w:p>
    <w:p w14:paraId="3F5225F3">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身份证扫描件（正反面）：</w:t>
      </w:r>
    </w:p>
    <w:p w14:paraId="25DCDD68">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开标前一个月的社保缴纳凭证(须由社保部门出具，并至少载明参保人姓名、身份证号和参保单位名称)：</w:t>
      </w:r>
    </w:p>
    <w:p w14:paraId="19A8398A">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p>
    <w:p w14:paraId="673D138C">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val="en-US" w:eastAsia="zh-CN"/>
        </w:rPr>
        <w:t>（3）投标授权代表人</w:t>
      </w:r>
    </w:p>
    <w:p w14:paraId="020721A2">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身份证扫描件（正反面）：</w:t>
      </w:r>
    </w:p>
    <w:p w14:paraId="3F2C1887">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开标前一个月的社保缴纳凭证(须由社保部门出具，并至少载明参保人姓名、身份证号和参保单位名称)：</w:t>
      </w:r>
    </w:p>
    <w:p w14:paraId="337DEA01">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p>
    <w:p w14:paraId="41CF6B51">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val="en-US" w:eastAsia="zh-CN"/>
        </w:rPr>
        <w:t>（4）项目负责人</w:t>
      </w:r>
    </w:p>
    <w:p w14:paraId="6EA7BAA1">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身份证扫描件（正反面）：</w:t>
      </w:r>
    </w:p>
    <w:p w14:paraId="38227F71">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开标前一个月的社保缴纳凭证(须由社保部门出具，并至少载明参保人姓名、身份证号和参保单位名称)：</w:t>
      </w:r>
    </w:p>
    <w:p w14:paraId="2726A9FD">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p>
    <w:p w14:paraId="299E7352">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val="en-US" w:eastAsia="zh-CN"/>
        </w:rPr>
        <w:t>（5）主要技术人员</w:t>
      </w:r>
    </w:p>
    <w:p w14:paraId="4836E1DC">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身份证扫描件（正反面）：</w:t>
      </w:r>
    </w:p>
    <w:p w14:paraId="2D12E120">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开标前一个月的社保缴纳凭证(须由社保部门出具，并至少载明参保人姓名、身份证号和参保单位名称)：</w:t>
      </w:r>
    </w:p>
    <w:p w14:paraId="47A33E8C">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p>
    <w:p w14:paraId="0014AF4A">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（6）投标文件编制人员</w:t>
      </w:r>
    </w:p>
    <w:p w14:paraId="5195E15D">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身份证扫描件（正反面）：</w:t>
      </w:r>
    </w:p>
    <w:p w14:paraId="5CBBE684">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开标前一个月的社保缴纳凭证(须由社保部门出具，并至少载明参保人姓名、身份证号和参保单位名称)：</w:t>
      </w:r>
    </w:p>
    <w:p w14:paraId="4F873726">
      <w:pPr>
        <w:pStyle w:val="12"/>
        <w:keepNext w:val="0"/>
        <w:keepLines w:val="0"/>
        <w:pageBreakBefore w:val="0"/>
        <w:widowControl/>
        <w:kinsoku/>
        <w:wordWrap/>
        <w:overflowPunct/>
        <w:topLinePunct w:val="0"/>
        <w:autoSpaceDE/>
        <w:autoSpaceDN/>
        <w:bidi w:val="0"/>
        <w:adjustRightInd/>
        <w:textAlignment w:val="auto"/>
        <w:outlineLvl w:val="9"/>
        <w:rPr>
          <w:rFonts w:hint="eastAsia" w:ascii="仿宋" w:hAnsi="仿宋" w:eastAsia="仿宋" w:cs="仿宋"/>
          <w:color w:val="auto"/>
          <w:sz w:val="21"/>
          <w:szCs w:val="21"/>
          <w:highlight w:val="none"/>
          <w:lang w:val="en-US" w:eastAsia="zh-CN"/>
        </w:rPr>
      </w:pPr>
    </w:p>
    <w:p w14:paraId="46A9F77F">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注：</w:t>
      </w:r>
    </w:p>
    <w:p w14:paraId="5A50301B">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1.如开标前近一个月的社保材料因社保部门原因暂时无法取得，则可以往前顺延一个月。其中项目负责人及主要技术人员社保证明须由供应商缴纳。</w:t>
      </w:r>
    </w:p>
    <w:p w14:paraId="79EC2838">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2.供应商的项目投标授权代表人与法定代表人为同一人的，则须提供法定代表人的社保证明；本项目未安排项目负责人的，则无须提供项目负责人的社保证明。</w:t>
      </w:r>
    </w:p>
    <w:p w14:paraId="79A2463B">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3.如无法按上述要求提供人员社会保险证明材料的，提交以下材料亦视为符合：</w:t>
      </w:r>
    </w:p>
    <w:p w14:paraId="5DAA8F6F">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若供应商为新成立企业且成立时间不足一个月，提供加盖投标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097E95C6">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p>
    <w:p w14:paraId="68991682">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3.股权关系证明材料：</w:t>
      </w:r>
    </w:p>
    <w:p w14:paraId="06CB8E2B">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（1）股权（或管理）关系证明材料：</w:t>
      </w:r>
    </w:p>
    <w:p w14:paraId="63F44C62">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65E35CBD">
      <w:pPr>
        <w:jc w:val="left"/>
        <w:rPr>
          <w:rFonts w:hint="eastAsia" w:ascii="仿宋" w:hAnsi="仿宋" w:eastAsia="仿宋" w:cs="仿宋"/>
          <w:color w:val="auto"/>
          <w:sz w:val="21"/>
          <w:szCs w:val="21"/>
          <w:highlight w:val="none"/>
          <w:lang w:eastAsia="zh-CN"/>
        </w:rPr>
      </w:pPr>
    </w:p>
    <w:p w14:paraId="19FDDB28">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（2）股权关系情况承诺函</w:t>
      </w:r>
    </w:p>
    <w:p w14:paraId="7CB98268">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致：</w:t>
      </w:r>
      <w:r>
        <w:rPr>
          <w:rFonts w:hint="eastAsia" w:ascii="仿宋" w:hAnsi="仿宋" w:eastAsia="仿宋" w:cs="仿宋"/>
          <w:sz w:val="21"/>
          <w:szCs w:val="21"/>
          <w:highlight w:val="none"/>
          <w:lang w:val="en-US" w:eastAsia="zh-CN"/>
        </w:rPr>
        <w:t>深圳博物馆</w:t>
      </w:r>
      <w:r>
        <w:rPr>
          <w:rFonts w:hint="eastAsia" w:ascii="仿宋" w:hAnsi="仿宋" w:eastAsia="仿宋" w:cs="仿宋"/>
          <w:b w:val="0"/>
          <w:bCs/>
          <w:color w:val="auto"/>
          <w:sz w:val="21"/>
          <w:szCs w:val="21"/>
          <w:highlight w:val="none"/>
          <w:lang w:val="en-US" w:eastAsia="zh-CN"/>
        </w:rPr>
        <w:t>、友和保险经纪有限公司</w:t>
      </w:r>
    </w:p>
    <w:p w14:paraId="7EE1E844">
      <w:pPr>
        <w:keepNext w:val="0"/>
        <w:keepLines w:val="0"/>
        <w:pageBreakBefore w:val="0"/>
        <w:widowControl/>
        <w:numPr>
          <w:ilvl w:val="0"/>
          <w:numId w:val="0"/>
        </w:numPr>
        <w:kinsoku/>
        <w:wordWrap/>
        <w:overflowPunct/>
        <w:topLinePunct w:val="0"/>
        <w:autoSpaceDE/>
        <w:autoSpaceDN/>
        <w:bidi w:val="0"/>
        <w:adjustRightInd/>
        <w:snapToGrid w:val="0"/>
        <w:ind w:firstLine="420" w:firstLineChars="20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我公司申请参加深圳自然博物馆展品征集（古生物标本修复）服务项目编号为    的项目投标，并作出如下承诺：</w:t>
      </w:r>
    </w:p>
    <w:p w14:paraId="41427046">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我公司承诺所填的股权关系情况真实、准确、完整。</w:t>
      </w:r>
    </w:p>
    <w:p w14:paraId="57C0FDA7">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14:paraId="6B502895">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特此承诺！</w:t>
      </w:r>
    </w:p>
    <w:p w14:paraId="6418F806">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p>
    <w:p w14:paraId="12302DEA">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 xml:space="preserve">                                供应商名称（加盖公章</w:t>
      </w:r>
      <w:r>
        <w:rPr>
          <w:rFonts w:hint="eastAsia" w:ascii="仿宋" w:hAnsi="仿宋" w:eastAsia="仿宋" w:cs="仿宋"/>
          <w:b w:val="0"/>
          <w:bCs/>
          <w:color w:val="auto"/>
          <w:sz w:val="21"/>
          <w:szCs w:val="21"/>
          <w:highlight w:val="none"/>
          <w:lang w:val="en-US" w:eastAsia="zh-CN"/>
        </w:rPr>
        <w:tab/>
      </w:r>
      <w:r>
        <w:rPr>
          <w:rFonts w:hint="eastAsia" w:ascii="仿宋" w:hAnsi="仿宋" w:eastAsia="仿宋" w:cs="仿宋"/>
          <w:b w:val="0"/>
          <w:bCs/>
          <w:color w:val="auto"/>
          <w:sz w:val="21"/>
          <w:szCs w:val="21"/>
          <w:highlight w:val="none"/>
          <w:lang w:val="en-US" w:eastAsia="zh-CN"/>
        </w:rPr>
        <w:t xml:space="preserve">）： </w:t>
      </w:r>
    </w:p>
    <w:p w14:paraId="6DDC5CE8">
      <w:pPr>
        <w:keepNext w:val="0"/>
        <w:keepLines w:val="0"/>
        <w:pageBreakBefore w:val="0"/>
        <w:widowControl/>
        <w:numPr>
          <w:ilvl w:val="0"/>
          <w:numId w:val="0"/>
        </w:numPr>
        <w:kinsoku/>
        <w:wordWrap/>
        <w:overflowPunct/>
        <w:topLinePunct w:val="0"/>
        <w:autoSpaceDE/>
        <w:autoSpaceDN/>
        <w:bidi w:val="0"/>
        <w:adjustRightInd/>
        <w:snapToGrid w:val="0"/>
        <w:ind w:firstLine="3360" w:firstLineChars="160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日  期：       年    月   日</w:t>
      </w:r>
    </w:p>
    <w:p w14:paraId="1CC9A579">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z w:val="21"/>
          <w:szCs w:val="21"/>
          <w:highlight w:val="none"/>
          <w:lang w:val="en-US" w:eastAsia="zh-CN"/>
        </w:rPr>
      </w:pPr>
    </w:p>
    <w:p w14:paraId="763C7CAA">
      <w:pPr>
        <w:keepNext w:val="0"/>
        <w:keepLines w:val="0"/>
        <w:pageBreakBefore w:val="0"/>
        <w:widowControl w:val="0"/>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FF0000"/>
          <w:sz w:val="21"/>
          <w:szCs w:val="21"/>
          <w:highlight w:val="none"/>
          <w:lang w:val="en-US" w:eastAsia="zh-CN"/>
        </w:rPr>
      </w:pPr>
      <w:r>
        <w:rPr>
          <w:rFonts w:hint="eastAsia" w:ascii="仿宋" w:hAnsi="仿宋" w:eastAsia="仿宋" w:cs="仿宋"/>
          <w:b w:val="0"/>
          <w:bCs/>
          <w:color w:val="auto"/>
          <w:sz w:val="21"/>
          <w:szCs w:val="21"/>
          <w:highlight w:val="none"/>
          <w:lang w:val="en-US" w:eastAsia="zh-CN"/>
        </w:rPr>
        <w:t>注：代理机构将于截标当日同步通过上述网站进行查询，查询结果与供应商填报信息不一致的，以代理机构于截标当日的查询结果为准。</w:t>
      </w:r>
    </w:p>
    <w:p w14:paraId="589639B1">
      <w:pPr>
        <w:pStyle w:val="12"/>
        <w:rPr>
          <w:rFonts w:hint="eastAsia" w:ascii="仿宋" w:hAnsi="仿宋" w:eastAsia="仿宋" w:cs="仿宋"/>
          <w:highlight w:val="none"/>
          <w:lang w:val="en-US" w:eastAsia="zh-CN"/>
        </w:rPr>
      </w:pPr>
    </w:p>
    <w:bookmarkEnd w:id="293"/>
    <w:bookmarkEnd w:id="294"/>
    <w:p w14:paraId="6281864E">
      <w:pPr>
        <w:rPr>
          <w:rFonts w:hint="eastAsia" w:ascii="仿宋" w:hAnsi="仿宋" w:eastAsia="仿宋" w:cs="仿宋"/>
          <w:b/>
          <w:bCs/>
          <w:sz w:val="28"/>
          <w:szCs w:val="28"/>
          <w:highlight w:val="none"/>
          <w:lang w:eastAsia="zh-CN"/>
        </w:rPr>
      </w:pPr>
      <w:bookmarkStart w:id="295" w:name="_Toc30297"/>
      <w:r>
        <w:rPr>
          <w:rFonts w:hint="eastAsia" w:ascii="仿宋" w:hAnsi="仿宋" w:eastAsia="仿宋" w:cs="仿宋"/>
          <w:b/>
          <w:bCs/>
          <w:sz w:val="28"/>
          <w:szCs w:val="28"/>
          <w:highlight w:val="none"/>
          <w:lang w:eastAsia="zh-CN"/>
        </w:rPr>
        <w:br w:type="page"/>
      </w:r>
    </w:p>
    <w:p w14:paraId="261AA23E">
      <w:pPr>
        <w:pStyle w:val="4"/>
        <w:spacing w:before="120" w:after="120"/>
        <w:jc w:val="center"/>
        <w:outlineLvl w:val="2"/>
        <w:rPr>
          <w:rFonts w:hint="eastAsia" w:ascii="仿宋" w:hAnsi="仿宋" w:eastAsia="仿宋" w:cs="仿宋"/>
          <w:b/>
          <w:bCs/>
          <w:sz w:val="28"/>
          <w:szCs w:val="28"/>
          <w:lang w:val="en-US" w:eastAsia="zh-CN"/>
        </w:rPr>
      </w:pPr>
      <w:bookmarkStart w:id="296" w:name="_Toc20305"/>
      <w:bookmarkStart w:id="297" w:name="_Toc24203"/>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评分项商务部分证明文件</w:t>
      </w:r>
      <w:bookmarkEnd w:id="296"/>
      <w:bookmarkEnd w:id="297"/>
    </w:p>
    <w:bookmarkEnd w:id="295"/>
    <w:p w14:paraId="4699C829">
      <w:pPr>
        <w:pStyle w:val="5"/>
        <w:spacing w:before="120" w:after="120"/>
        <w:jc w:val="center"/>
        <w:outlineLvl w:val="3"/>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投标人同类项目业绩情况</w:t>
      </w:r>
    </w:p>
    <w:p w14:paraId="33F6515B">
      <w:pPr>
        <w:spacing w:after="60"/>
        <w:jc w:val="center"/>
        <w:rPr>
          <w:rFonts w:hint="eastAsia" w:ascii="仿宋" w:hAnsi="仿宋" w:eastAsia="仿宋" w:cs="仿宋"/>
          <w:highlight w:val="none"/>
          <w:lang w:eastAsia="zh-CN"/>
        </w:rPr>
      </w:pPr>
      <w:r>
        <w:rPr>
          <w:rFonts w:hint="eastAsia" w:ascii="仿宋" w:hAnsi="仿宋" w:eastAsia="仿宋" w:cs="仿宋"/>
          <w:highlight w:val="none"/>
          <w:lang w:eastAsia="zh-CN"/>
        </w:rPr>
        <w:t>（参考格式，投标人可根据招标文件要求和自身实际情况修改）</w:t>
      </w:r>
    </w:p>
    <w:p w14:paraId="75A29B98">
      <w:pPr>
        <w:spacing w:after="60"/>
        <w:jc w:val="center"/>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同类项目业绩清单</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670"/>
        <w:gridCol w:w="1704"/>
        <w:gridCol w:w="1704"/>
        <w:gridCol w:w="1705"/>
      </w:tblGrid>
      <w:tr w14:paraId="13D4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noWrap w:val="0"/>
            <w:vAlign w:val="top"/>
          </w:tcPr>
          <w:p w14:paraId="2F1AFD73">
            <w:pPr>
              <w:keepNext w:val="0"/>
              <w:keepLines w:val="0"/>
              <w:suppressLineNumbers w:val="0"/>
              <w:spacing w:before="0" w:beforeAutospacing="0" w:after="0" w:afterAutospacing="0"/>
              <w:ind w:left="0" w:right="0"/>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670" w:type="dxa"/>
            <w:noWrap w:val="0"/>
            <w:vAlign w:val="top"/>
          </w:tcPr>
          <w:p w14:paraId="646792B6">
            <w:pPr>
              <w:keepNext w:val="0"/>
              <w:keepLines w:val="0"/>
              <w:suppressLineNumbers w:val="0"/>
              <w:spacing w:before="0" w:beforeAutospacing="0" w:after="0" w:afterAutospacing="0"/>
              <w:ind w:left="0" w:right="0"/>
              <w:jc w:val="center"/>
              <w:rPr>
                <w:rFonts w:hint="eastAsia" w:ascii="仿宋" w:hAnsi="仿宋" w:eastAsia="仿宋" w:cs="仿宋"/>
                <w:b/>
                <w:bCs/>
                <w:highlight w:val="none"/>
                <w:lang w:eastAsia="zh-CN"/>
              </w:rPr>
            </w:pPr>
            <w:r>
              <w:rPr>
                <w:rFonts w:hint="eastAsia" w:ascii="仿宋" w:hAnsi="仿宋" w:eastAsia="仿宋" w:cs="仿宋"/>
                <w:b/>
                <w:bCs/>
                <w:highlight w:val="none"/>
                <w:lang w:eastAsia="zh-CN"/>
              </w:rPr>
              <w:t>委托单位</w:t>
            </w:r>
          </w:p>
        </w:tc>
        <w:tc>
          <w:tcPr>
            <w:tcW w:w="1704" w:type="dxa"/>
            <w:noWrap w:val="0"/>
            <w:vAlign w:val="top"/>
          </w:tcPr>
          <w:p w14:paraId="7BC45C42">
            <w:pPr>
              <w:keepNext w:val="0"/>
              <w:keepLines w:val="0"/>
              <w:suppressLineNumbers w:val="0"/>
              <w:spacing w:before="0" w:beforeAutospacing="0" w:after="0" w:afterAutospacing="0"/>
              <w:ind w:left="0" w:right="0"/>
              <w:jc w:val="center"/>
              <w:rPr>
                <w:rFonts w:hint="eastAsia" w:ascii="仿宋" w:hAnsi="仿宋" w:eastAsia="仿宋" w:cs="仿宋"/>
                <w:b/>
                <w:bCs/>
                <w:highlight w:val="none"/>
              </w:rPr>
            </w:pPr>
            <w:r>
              <w:rPr>
                <w:rFonts w:hint="eastAsia" w:ascii="仿宋" w:hAnsi="仿宋" w:eastAsia="仿宋" w:cs="仿宋"/>
                <w:b/>
                <w:bCs/>
                <w:highlight w:val="none"/>
              </w:rPr>
              <w:t>项目名称</w:t>
            </w:r>
          </w:p>
        </w:tc>
        <w:tc>
          <w:tcPr>
            <w:tcW w:w="1704" w:type="dxa"/>
            <w:noWrap w:val="0"/>
            <w:vAlign w:val="top"/>
          </w:tcPr>
          <w:p w14:paraId="070AB16C">
            <w:pPr>
              <w:keepNext w:val="0"/>
              <w:keepLines w:val="0"/>
              <w:suppressLineNumbers w:val="0"/>
              <w:spacing w:before="0" w:beforeAutospacing="0" w:after="0" w:afterAutospacing="0"/>
              <w:ind w:left="0" w:right="0"/>
              <w:jc w:val="center"/>
              <w:rPr>
                <w:rFonts w:hint="eastAsia" w:ascii="仿宋" w:hAnsi="仿宋" w:eastAsia="仿宋" w:cs="仿宋"/>
                <w:b/>
                <w:bCs/>
                <w:highlight w:val="none"/>
              </w:rPr>
            </w:pPr>
            <w:r>
              <w:rPr>
                <w:rFonts w:hint="eastAsia" w:ascii="仿宋" w:hAnsi="仿宋" w:eastAsia="仿宋" w:cs="仿宋"/>
                <w:b/>
                <w:bCs/>
                <w:highlight w:val="none"/>
              </w:rPr>
              <w:t>服务时间</w:t>
            </w:r>
          </w:p>
        </w:tc>
        <w:tc>
          <w:tcPr>
            <w:tcW w:w="1705" w:type="dxa"/>
            <w:noWrap w:val="0"/>
            <w:vAlign w:val="top"/>
          </w:tcPr>
          <w:p w14:paraId="1BA2F311">
            <w:pPr>
              <w:keepNext w:val="0"/>
              <w:keepLines w:val="0"/>
              <w:suppressLineNumbers w:val="0"/>
              <w:spacing w:before="0" w:beforeAutospacing="0" w:after="0" w:afterAutospacing="0"/>
              <w:ind w:left="0" w:right="0"/>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4F38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noWrap w:val="0"/>
            <w:vAlign w:val="top"/>
          </w:tcPr>
          <w:p w14:paraId="4EB09A32">
            <w:pPr>
              <w:keepNext w:val="0"/>
              <w:keepLines w:val="0"/>
              <w:suppressLineNumbers w:val="0"/>
              <w:spacing w:before="0" w:beforeAutospacing="0" w:after="0" w:afterAutospacing="0"/>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p>
        </w:tc>
        <w:tc>
          <w:tcPr>
            <w:tcW w:w="2670" w:type="dxa"/>
            <w:noWrap w:val="0"/>
            <w:vAlign w:val="top"/>
          </w:tcPr>
          <w:p w14:paraId="212DBC5C">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4" w:type="dxa"/>
            <w:noWrap w:val="0"/>
            <w:vAlign w:val="top"/>
          </w:tcPr>
          <w:p w14:paraId="0E5B5FA0">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4" w:type="dxa"/>
            <w:noWrap w:val="0"/>
            <w:vAlign w:val="top"/>
          </w:tcPr>
          <w:p w14:paraId="40AD9EE9">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5" w:type="dxa"/>
            <w:noWrap w:val="0"/>
            <w:vAlign w:val="top"/>
          </w:tcPr>
          <w:p w14:paraId="052ADAC7">
            <w:pPr>
              <w:keepNext w:val="0"/>
              <w:keepLines w:val="0"/>
              <w:suppressLineNumbers w:val="0"/>
              <w:spacing w:before="0" w:beforeAutospacing="0" w:after="0" w:afterAutospacing="0"/>
              <w:ind w:left="0" w:right="0"/>
              <w:rPr>
                <w:rFonts w:hint="eastAsia" w:ascii="仿宋" w:hAnsi="仿宋" w:eastAsia="仿宋" w:cs="仿宋"/>
                <w:highlight w:val="none"/>
              </w:rPr>
            </w:pPr>
          </w:p>
        </w:tc>
      </w:tr>
      <w:tr w14:paraId="3468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noWrap w:val="0"/>
            <w:vAlign w:val="top"/>
          </w:tcPr>
          <w:p w14:paraId="778BC218">
            <w:pPr>
              <w:keepNext w:val="0"/>
              <w:keepLines w:val="0"/>
              <w:suppressLineNumbers w:val="0"/>
              <w:spacing w:before="0" w:beforeAutospacing="0" w:after="0" w:afterAutospacing="0"/>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2</w:t>
            </w:r>
          </w:p>
        </w:tc>
        <w:tc>
          <w:tcPr>
            <w:tcW w:w="2670" w:type="dxa"/>
            <w:noWrap w:val="0"/>
            <w:vAlign w:val="top"/>
          </w:tcPr>
          <w:p w14:paraId="54A0F903">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4" w:type="dxa"/>
            <w:noWrap w:val="0"/>
            <w:vAlign w:val="top"/>
          </w:tcPr>
          <w:p w14:paraId="644DD063">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4" w:type="dxa"/>
            <w:noWrap w:val="0"/>
            <w:vAlign w:val="top"/>
          </w:tcPr>
          <w:p w14:paraId="7B16118D">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5" w:type="dxa"/>
            <w:noWrap w:val="0"/>
            <w:vAlign w:val="top"/>
          </w:tcPr>
          <w:p w14:paraId="1382701F">
            <w:pPr>
              <w:keepNext w:val="0"/>
              <w:keepLines w:val="0"/>
              <w:suppressLineNumbers w:val="0"/>
              <w:spacing w:before="0" w:beforeAutospacing="0" w:after="0" w:afterAutospacing="0"/>
              <w:ind w:left="0" w:right="0"/>
              <w:rPr>
                <w:rFonts w:hint="eastAsia" w:ascii="仿宋" w:hAnsi="仿宋" w:eastAsia="仿宋" w:cs="仿宋"/>
                <w:highlight w:val="none"/>
              </w:rPr>
            </w:pPr>
          </w:p>
        </w:tc>
      </w:tr>
      <w:tr w14:paraId="1D99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noWrap w:val="0"/>
            <w:vAlign w:val="top"/>
          </w:tcPr>
          <w:p w14:paraId="743CBBD0">
            <w:pPr>
              <w:keepNext w:val="0"/>
              <w:keepLines w:val="0"/>
              <w:suppressLineNumbers w:val="0"/>
              <w:spacing w:before="0" w:beforeAutospacing="0" w:after="0" w:afterAutospacing="0"/>
              <w:ind w:left="0" w:right="0"/>
              <w:jc w:val="center"/>
              <w:rPr>
                <w:rFonts w:hint="eastAsia" w:ascii="仿宋" w:hAnsi="仿宋" w:eastAsia="仿宋" w:cs="仿宋"/>
                <w:highlight w:val="none"/>
                <w:lang w:eastAsia="zh-CN"/>
              </w:rPr>
            </w:pPr>
            <w:r>
              <w:rPr>
                <w:rFonts w:hint="eastAsia" w:ascii="仿宋" w:hAnsi="仿宋" w:eastAsia="仿宋" w:cs="仿宋"/>
                <w:highlight w:val="none"/>
                <w:lang w:eastAsia="zh-CN"/>
              </w:rPr>
              <w:t>……</w:t>
            </w:r>
          </w:p>
        </w:tc>
        <w:tc>
          <w:tcPr>
            <w:tcW w:w="2670" w:type="dxa"/>
            <w:noWrap w:val="0"/>
            <w:vAlign w:val="top"/>
          </w:tcPr>
          <w:p w14:paraId="66BE858A">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4" w:type="dxa"/>
            <w:noWrap w:val="0"/>
            <w:vAlign w:val="top"/>
          </w:tcPr>
          <w:p w14:paraId="17D06C15">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4" w:type="dxa"/>
            <w:noWrap w:val="0"/>
            <w:vAlign w:val="top"/>
          </w:tcPr>
          <w:p w14:paraId="70C028D4">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5" w:type="dxa"/>
            <w:noWrap w:val="0"/>
            <w:vAlign w:val="top"/>
          </w:tcPr>
          <w:p w14:paraId="2CD103A7">
            <w:pPr>
              <w:keepNext w:val="0"/>
              <w:keepLines w:val="0"/>
              <w:suppressLineNumbers w:val="0"/>
              <w:spacing w:before="0" w:beforeAutospacing="0" w:after="0" w:afterAutospacing="0"/>
              <w:ind w:left="0" w:right="0"/>
              <w:rPr>
                <w:rFonts w:hint="eastAsia" w:ascii="仿宋" w:hAnsi="仿宋" w:eastAsia="仿宋" w:cs="仿宋"/>
                <w:highlight w:val="none"/>
              </w:rPr>
            </w:pPr>
          </w:p>
        </w:tc>
      </w:tr>
    </w:tbl>
    <w:p w14:paraId="5E5B8626">
      <w:pPr>
        <w:ind w:firstLine="420" w:firstLineChars="200"/>
        <w:jc w:val="left"/>
        <w:rPr>
          <w:rFonts w:hint="eastAsia" w:ascii="仿宋" w:hAnsi="仿宋" w:eastAsia="仿宋" w:cs="仿宋"/>
          <w:highlight w:val="none"/>
        </w:rPr>
      </w:pPr>
    </w:p>
    <w:p w14:paraId="2CE07955">
      <w:pPr>
        <w:spacing w:after="60"/>
        <w:jc w:val="both"/>
        <w:rPr>
          <w:rFonts w:hint="eastAsia" w:ascii="仿宋" w:hAnsi="仿宋" w:eastAsia="仿宋" w:cs="仿宋"/>
          <w:highlight w:val="none"/>
        </w:rPr>
      </w:pPr>
      <w:r>
        <w:rPr>
          <w:rFonts w:hint="eastAsia" w:ascii="仿宋" w:hAnsi="仿宋" w:eastAsia="仿宋" w:cs="仿宋"/>
          <w:highlight w:val="none"/>
        </w:rPr>
        <w:t>（特别提示：投标人须按本招标文件评标信息中“投标人同类项目业绩情况”这一评审因素要求，提供证明资料）</w:t>
      </w:r>
    </w:p>
    <w:p w14:paraId="274B702B">
      <w:pPr>
        <w:rPr>
          <w:rFonts w:hint="eastAsia" w:ascii="仿宋" w:hAnsi="仿宋" w:eastAsia="仿宋" w:cs="仿宋"/>
          <w:color w:val="000000"/>
          <w:sz w:val="28"/>
          <w:szCs w:val="28"/>
          <w:highlight w:val="none"/>
        </w:rPr>
      </w:pPr>
    </w:p>
    <w:p w14:paraId="02FD5F5B">
      <w:pPr>
        <w:pStyle w:val="13"/>
        <w:rPr>
          <w:rFonts w:hint="eastAsia" w:ascii="仿宋" w:hAnsi="仿宋" w:eastAsia="仿宋" w:cs="仿宋"/>
          <w:highlight w:val="none"/>
        </w:rPr>
      </w:pPr>
    </w:p>
    <w:p w14:paraId="30B00C85">
      <w:pPr>
        <w:ind w:firstLine="3150" w:firstLineChars="1500"/>
        <w:jc w:val="left"/>
        <w:rPr>
          <w:rFonts w:hint="eastAsia" w:ascii="仿宋" w:hAnsi="仿宋" w:eastAsia="仿宋" w:cs="仿宋"/>
          <w:color w:val="000000"/>
          <w:highlight w:val="none"/>
        </w:rPr>
      </w:pPr>
      <w:r>
        <w:rPr>
          <w:rFonts w:hint="eastAsia" w:ascii="仿宋" w:hAnsi="仿宋" w:eastAsia="仿宋" w:cs="仿宋"/>
          <w:color w:val="000000"/>
          <w:highlight w:val="none"/>
        </w:rPr>
        <w:t>法定代表人或其授权委托人（</w:t>
      </w:r>
      <w:r>
        <w:rPr>
          <w:rFonts w:hint="eastAsia" w:ascii="仿宋" w:hAnsi="仿宋" w:eastAsia="仿宋" w:cs="仿宋"/>
          <w:b/>
          <w:color w:val="000000"/>
          <w:highlight w:val="none"/>
        </w:rPr>
        <w:t>签名或盖私章</w:t>
      </w:r>
      <w:r>
        <w:rPr>
          <w:rFonts w:hint="eastAsia" w:ascii="仿宋" w:hAnsi="仿宋" w:eastAsia="仿宋" w:cs="仿宋"/>
          <w:color w:val="000000"/>
          <w:highlight w:val="none"/>
        </w:rPr>
        <w:t>）：</w:t>
      </w:r>
    </w:p>
    <w:p w14:paraId="660F74EC">
      <w:pPr>
        <w:jc w:val="left"/>
        <w:rPr>
          <w:rFonts w:hint="eastAsia" w:ascii="仿宋" w:hAnsi="仿宋" w:eastAsia="仿宋" w:cs="仿宋"/>
          <w:color w:val="000000"/>
          <w:highlight w:val="none"/>
        </w:rPr>
      </w:pPr>
    </w:p>
    <w:p w14:paraId="5C051AB8">
      <w:pPr>
        <w:ind w:firstLine="3150" w:firstLineChars="1500"/>
        <w:jc w:val="left"/>
        <w:rPr>
          <w:rFonts w:hint="eastAsia" w:ascii="仿宋" w:hAnsi="仿宋" w:eastAsia="仿宋" w:cs="仿宋"/>
          <w:color w:val="000000"/>
          <w:highlight w:val="none"/>
        </w:rPr>
      </w:pPr>
      <w:r>
        <w:rPr>
          <w:rFonts w:hint="eastAsia" w:ascii="仿宋" w:hAnsi="仿宋" w:eastAsia="仿宋" w:cs="仿宋"/>
          <w:color w:val="000000"/>
          <w:highlight w:val="none"/>
        </w:rPr>
        <w:t>投标单位（</w:t>
      </w:r>
      <w:r>
        <w:rPr>
          <w:rFonts w:hint="eastAsia" w:ascii="仿宋" w:hAnsi="仿宋" w:eastAsia="仿宋" w:cs="仿宋"/>
          <w:b/>
          <w:color w:val="000000"/>
          <w:highlight w:val="none"/>
        </w:rPr>
        <w:t>盖公章</w:t>
      </w:r>
      <w:r>
        <w:rPr>
          <w:rFonts w:hint="eastAsia" w:ascii="仿宋" w:hAnsi="仿宋" w:eastAsia="仿宋" w:cs="仿宋"/>
          <w:color w:val="000000"/>
          <w:highlight w:val="none"/>
        </w:rPr>
        <w:t>）：</w:t>
      </w:r>
    </w:p>
    <w:p w14:paraId="03BA6397">
      <w:pPr>
        <w:jc w:val="left"/>
        <w:rPr>
          <w:rFonts w:hint="eastAsia" w:ascii="仿宋" w:hAnsi="仿宋" w:eastAsia="仿宋" w:cs="仿宋"/>
          <w:color w:val="000000"/>
          <w:highlight w:val="none"/>
        </w:rPr>
      </w:pPr>
    </w:p>
    <w:p w14:paraId="395BFB33">
      <w:pPr>
        <w:jc w:val="right"/>
        <w:rPr>
          <w:rFonts w:hint="eastAsia" w:ascii="仿宋" w:hAnsi="仿宋" w:eastAsia="仿宋" w:cs="仿宋"/>
          <w:color w:val="000000"/>
          <w:highlight w:val="none"/>
        </w:rPr>
      </w:pPr>
      <w:r>
        <w:rPr>
          <w:rFonts w:hint="eastAsia" w:ascii="仿宋" w:hAnsi="仿宋" w:eastAsia="仿宋" w:cs="仿宋"/>
          <w:color w:val="000000"/>
          <w:highlight w:val="none"/>
        </w:rPr>
        <w:t>日期：    年  月  日</w:t>
      </w:r>
    </w:p>
    <w:p w14:paraId="6DFB31A5">
      <w:pPr>
        <w:pStyle w:val="4"/>
        <w:spacing w:before="120" w:after="120"/>
        <w:jc w:val="center"/>
        <w:outlineLvl w:val="9"/>
        <w:rPr>
          <w:rFonts w:hint="eastAsia" w:ascii="仿宋" w:hAnsi="仿宋" w:eastAsia="仿宋" w:cs="仿宋"/>
          <w:b/>
          <w:bCs/>
          <w:sz w:val="28"/>
          <w:szCs w:val="28"/>
          <w:highlight w:val="none"/>
        </w:rPr>
      </w:pPr>
    </w:p>
    <w:p w14:paraId="41C699ED">
      <w:pPr>
        <w:pStyle w:val="5"/>
        <w:spacing w:before="120" w:after="120"/>
        <w:jc w:val="center"/>
        <w:outlineLvl w:val="3"/>
        <w:rPr>
          <w:rFonts w:hint="eastAsia" w:ascii="仿宋" w:hAnsi="仿宋" w:eastAsia="仿宋" w:cs="仿宋"/>
          <w:b/>
          <w:bCs/>
          <w:sz w:val="28"/>
          <w:szCs w:val="28"/>
          <w:lang w:eastAsia="zh-CN"/>
        </w:rPr>
      </w:pPr>
      <w:r>
        <w:rPr>
          <w:rFonts w:hint="eastAsia" w:ascii="仿宋" w:hAnsi="仿宋" w:eastAsia="仿宋" w:cs="仿宋"/>
          <w:b/>
          <w:bCs/>
          <w:sz w:val="28"/>
          <w:szCs w:val="28"/>
          <w:highlight w:val="none"/>
        </w:rPr>
        <w:br w:type="page"/>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eastAsia="zh-CN"/>
        </w:rPr>
        <w:t>）项目团队情况</w:t>
      </w:r>
    </w:p>
    <w:p w14:paraId="5144A33E">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仿宋" w:hAnsi="仿宋" w:eastAsia="仿宋" w:cs="仿宋"/>
          <w:b/>
          <w:color w:val="000000"/>
          <w:szCs w:val="21"/>
        </w:rPr>
      </w:pPr>
      <w:r>
        <w:rPr>
          <w:rFonts w:hint="eastAsia" w:ascii="仿宋" w:hAnsi="仿宋" w:eastAsia="仿宋" w:cs="仿宋"/>
          <w:lang w:eastAsia="zh-CN"/>
        </w:rPr>
        <w:t>（参考格式，投标人可根据招标文件要求和自身实际情况修改）</w:t>
      </w:r>
    </w:p>
    <w:p w14:paraId="1CA4DB14">
      <w:pPr>
        <w:keepNext w:val="0"/>
        <w:keepLines w:val="0"/>
        <w:pageBreakBefore w:val="0"/>
        <w:widowControl w:val="0"/>
        <w:kinsoku/>
        <w:wordWrap/>
        <w:overflowPunct/>
        <w:topLinePunct w:val="0"/>
        <w:autoSpaceDE/>
        <w:autoSpaceDN/>
        <w:bidi w:val="0"/>
        <w:adjustRightInd/>
        <w:snapToGrid w:val="0"/>
        <w:textAlignment w:val="auto"/>
        <w:outlineLvl w:val="9"/>
        <w:rPr>
          <w:rFonts w:hint="eastAsia" w:ascii="仿宋" w:hAnsi="仿宋" w:eastAsia="仿宋" w:cs="仿宋"/>
          <w:b/>
          <w:color w:val="000000"/>
          <w:szCs w:val="21"/>
        </w:rPr>
      </w:pPr>
    </w:p>
    <w:p w14:paraId="00FB835D">
      <w:pPr>
        <w:snapToGrid w:val="0"/>
        <w:outlineLvl w:val="4"/>
        <w:rPr>
          <w:rFonts w:hint="eastAsia" w:ascii="仿宋" w:hAnsi="仿宋" w:eastAsia="仿宋" w:cs="仿宋"/>
          <w:b/>
          <w:color w:val="000000"/>
          <w:szCs w:val="21"/>
        </w:rPr>
      </w:pPr>
      <w:bookmarkStart w:id="298" w:name="_Toc17839"/>
      <w:bookmarkStart w:id="299" w:name="_Toc32740"/>
      <w:r>
        <w:rPr>
          <w:rFonts w:hint="eastAsia" w:ascii="仿宋" w:hAnsi="仿宋" w:eastAsia="仿宋" w:cs="仿宋"/>
          <w:b/>
          <w:color w:val="000000"/>
          <w:szCs w:val="21"/>
          <w:lang w:val="en-US" w:eastAsia="zh-CN"/>
        </w:rPr>
        <w:t>1、</w:t>
      </w:r>
      <w:r>
        <w:rPr>
          <w:rFonts w:hint="eastAsia" w:ascii="仿宋" w:hAnsi="仿宋" w:eastAsia="仿宋" w:cs="仿宋"/>
          <w:b/>
          <w:color w:val="000000"/>
          <w:szCs w:val="21"/>
        </w:rPr>
        <w:t>拟安排的</w:t>
      </w:r>
      <w:r>
        <w:rPr>
          <w:rFonts w:hint="eastAsia" w:ascii="仿宋" w:hAnsi="仿宋" w:eastAsia="仿宋" w:cs="仿宋"/>
          <w:b/>
          <w:color w:val="000000"/>
          <w:szCs w:val="21"/>
          <w:highlight w:val="none"/>
        </w:rPr>
        <w:t>项目负责人情况（仅限一人）</w:t>
      </w:r>
      <w:bookmarkEnd w:id="298"/>
      <w:bookmarkEnd w:id="299"/>
    </w:p>
    <w:p w14:paraId="70001DE0">
      <w:pPr>
        <w:spacing w:after="60"/>
        <w:jc w:val="center"/>
        <w:rPr>
          <w:rFonts w:hint="eastAsia" w:ascii="仿宋" w:hAnsi="仿宋" w:eastAsia="仿宋" w:cs="仿宋"/>
        </w:rPr>
      </w:pPr>
    </w:p>
    <w:p w14:paraId="3F0728E5">
      <w:pPr>
        <w:keepNext w:val="0"/>
        <w:keepLines w:val="0"/>
        <w:pageBreakBefore w:val="0"/>
        <w:widowControl w:val="0"/>
        <w:kinsoku/>
        <w:wordWrap/>
        <w:overflowPunct/>
        <w:topLinePunct w:val="0"/>
        <w:autoSpaceDE/>
        <w:autoSpaceDN/>
        <w:bidi w:val="0"/>
        <w:adjustRightInd/>
        <w:snapToGrid/>
        <w:spacing w:after="60"/>
        <w:jc w:val="center"/>
        <w:textAlignment w:val="auto"/>
        <w:outlineLvl w:val="9"/>
        <w:rPr>
          <w:rFonts w:hint="eastAsia" w:ascii="仿宋" w:hAnsi="仿宋" w:eastAsia="仿宋" w:cs="仿宋"/>
          <w:b/>
          <w:bCs/>
          <w:sz w:val="24"/>
        </w:rPr>
      </w:pPr>
      <w:bookmarkStart w:id="300" w:name="_Toc17692"/>
      <w:bookmarkStart w:id="301" w:name="_Toc19699"/>
      <w:r>
        <w:rPr>
          <w:rFonts w:hint="eastAsia" w:ascii="仿宋" w:hAnsi="仿宋" w:eastAsia="仿宋" w:cs="仿宋"/>
          <w:b/>
          <w:sz w:val="24"/>
        </w:rPr>
        <w:t>项目负责人简历表</w:t>
      </w:r>
      <w:bookmarkEnd w:id="300"/>
      <w:bookmarkEnd w:id="301"/>
    </w:p>
    <w:tbl>
      <w:tblPr>
        <w:tblStyle w:val="43"/>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275"/>
        <w:gridCol w:w="2064"/>
        <w:gridCol w:w="1084"/>
        <w:gridCol w:w="1400"/>
        <w:gridCol w:w="361"/>
        <w:gridCol w:w="1118"/>
        <w:gridCol w:w="464"/>
        <w:gridCol w:w="1084"/>
      </w:tblGrid>
      <w:tr w14:paraId="208C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noWrap w:val="0"/>
            <w:vAlign w:val="center"/>
          </w:tcPr>
          <w:p w14:paraId="1993B6E0">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r>
              <w:rPr>
                <w:rFonts w:hint="eastAsia" w:ascii="仿宋" w:hAnsi="仿宋" w:eastAsia="仿宋" w:cs="仿宋"/>
                <w:sz w:val="20"/>
                <w:szCs w:val="20"/>
              </w:rPr>
              <w:t>姓名</w:t>
            </w:r>
          </w:p>
        </w:tc>
        <w:tc>
          <w:tcPr>
            <w:tcW w:w="2339" w:type="dxa"/>
            <w:gridSpan w:val="2"/>
            <w:noWrap w:val="0"/>
            <w:vAlign w:val="center"/>
          </w:tcPr>
          <w:p w14:paraId="28AC30D2">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p>
        </w:tc>
        <w:tc>
          <w:tcPr>
            <w:tcW w:w="1084" w:type="dxa"/>
            <w:noWrap w:val="0"/>
            <w:vAlign w:val="center"/>
          </w:tcPr>
          <w:p w14:paraId="27E99778">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r>
              <w:rPr>
                <w:rFonts w:hint="eastAsia" w:ascii="仿宋" w:hAnsi="仿宋" w:eastAsia="仿宋" w:cs="仿宋"/>
                <w:sz w:val="20"/>
                <w:szCs w:val="20"/>
              </w:rPr>
              <w:t>性别</w:t>
            </w:r>
          </w:p>
        </w:tc>
        <w:tc>
          <w:tcPr>
            <w:tcW w:w="1761" w:type="dxa"/>
            <w:gridSpan w:val="2"/>
            <w:noWrap w:val="0"/>
            <w:vAlign w:val="center"/>
          </w:tcPr>
          <w:p w14:paraId="5C6EBCA1">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p>
        </w:tc>
        <w:tc>
          <w:tcPr>
            <w:tcW w:w="1118" w:type="dxa"/>
            <w:noWrap w:val="0"/>
            <w:vAlign w:val="center"/>
          </w:tcPr>
          <w:p w14:paraId="3D860A3E">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r>
              <w:rPr>
                <w:rFonts w:hint="eastAsia" w:ascii="仿宋" w:hAnsi="仿宋" w:eastAsia="仿宋" w:cs="仿宋"/>
                <w:sz w:val="20"/>
                <w:szCs w:val="20"/>
              </w:rPr>
              <w:t>年龄</w:t>
            </w:r>
          </w:p>
        </w:tc>
        <w:tc>
          <w:tcPr>
            <w:tcW w:w="1548" w:type="dxa"/>
            <w:gridSpan w:val="2"/>
            <w:noWrap w:val="0"/>
            <w:vAlign w:val="center"/>
          </w:tcPr>
          <w:p w14:paraId="4EB9B014">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p>
        </w:tc>
      </w:tr>
      <w:tr w14:paraId="630AA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noWrap w:val="0"/>
            <w:vAlign w:val="center"/>
          </w:tcPr>
          <w:p w14:paraId="15F35A48">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r>
              <w:rPr>
                <w:rFonts w:hint="eastAsia" w:ascii="仿宋" w:hAnsi="仿宋" w:eastAsia="仿宋" w:cs="仿宋"/>
                <w:sz w:val="20"/>
                <w:szCs w:val="20"/>
              </w:rPr>
              <w:t>职务</w:t>
            </w:r>
          </w:p>
        </w:tc>
        <w:tc>
          <w:tcPr>
            <w:tcW w:w="2339" w:type="dxa"/>
            <w:gridSpan w:val="2"/>
            <w:noWrap w:val="0"/>
            <w:vAlign w:val="center"/>
          </w:tcPr>
          <w:p w14:paraId="5AB5B576">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p>
        </w:tc>
        <w:tc>
          <w:tcPr>
            <w:tcW w:w="1084" w:type="dxa"/>
            <w:noWrap w:val="0"/>
            <w:vAlign w:val="center"/>
          </w:tcPr>
          <w:p w14:paraId="0EE5D323">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r>
              <w:rPr>
                <w:rFonts w:hint="eastAsia" w:ascii="仿宋" w:hAnsi="仿宋" w:eastAsia="仿宋" w:cs="仿宋"/>
                <w:sz w:val="20"/>
                <w:szCs w:val="20"/>
              </w:rPr>
              <w:t>职称</w:t>
            </w:r>
          </w:p>
        </w:tc>
        <w:tc>
          <w:tcPr>
            <w:tcW w:w="1761" w:type="dxa"/>
            <w:gridSpan w:val="2"/>
            <w:noWrap w:val="0"/>
            <w:vAlign w:val="center"/>
          </w:tcPr>
          <w:p w14:paraId="50C635FC">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p>
        </w:tc>
        <w:tc>
          <w:tcPr>
            <w:tcW w:w="1118" w:type="dxa"/>
            <w:noWrap w:val="0"/>
            <w:vAlign w:val="center"/>
          </w:tcPr>
          <w:p w14:paraId="386E2664">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r>
              <w:rPr>
                <w:rFonts w:hint="eastAsia" w:ascii="仿宋" w:hAnsi="仿宋" w:eastAsia="仿宋" w:cs="仿宋"/>
                <w:sz w:val="20"/>
                <w:szCs w:val="20"/>
              </w:rPr>
              <w:t>学历</w:t>
            </w:r>
          </w:p>
        </w:tc>
        <w:tc>
          <w:tcPr>
            <w:tcW w:w="1548" w:type="dxa"/>
            <w:gridSpan w:val="2"/>
            <w:noWrap w:val="0"/>
            <w:vAlign w:val="center"/>
          </w:tcPr>
          <w:p w14:paraId="794B7E53">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p>
        </w:tc>
      </w:tr>
      <w:tr w14:paraId="0DA8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noWrap w:val="0"/>
            <w:vAlign w:val="center"/>
          </w:tcPr>
          <w:p w14:paraId="4898FEEF">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r>
              <w:rPr>
                <w:rFonts w:hint="eastAsia" w:ascii="仿宋" w:hAnsi="仿宋" w:eastAsia="仿宋" w:cs="仿宋"/>
                <w:sz w:val="20"/>
                <w:szCs w:val="20"/>
              </w:rPr>
              <w:t>参加工作时间</w:t>
            </w:r>
          </w:p>
        </w:tc>
        <w:tc>
          <w:tcPr>
            <w:tcW w:w="3423" w:type="dxa"/>
            <w:gridSpan w:val="3"/>
            <w:noWrap w:val="0"/>
            <w:vAlign w:val="center"/>
          </w:tcPr>
          <w:p w14:paraId="0ABFCA2E">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p>
        </w:tc>
        <w:tc>
          <w:tcPr>
            <w:tcW w:w="2879" w:type="dxa"/>
            <w:gridSpan w:val="3"/>
            <w:noWrap w:val="0"/>
            <w:vAlign w:val="center"/>
          </w:tcPr>
          <w:p w14:paraId="02081E63">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r>
              <w:rPr>
                <w:rFonts w:hint="eastAsia" w:ascii="仿宋" w:hAnsi="仿宋" w:eastAsia="仿宋" w:cs="仿宋"/>
                <w:sz w:val="20"/>
                <w:szCs w:val="20"/>
              </w:rPr>
              <w:t>从事项目经理/</w:t>
            </w:r>
          </w:p>
          <w:p w14:paraId="41A3963D">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r>
              <w:rPr>
                <w:rFonts w:hint="eastAsia" w:ascii="仿宋" w:hAnsi="仿宋" w:eastAsia="仿宋" w:cs="仿宋"/>
                <w:sz w:val="20"/>
                <w:szCs w:val="20"/>
              </w:rPr>
              <w:t>项目负责人年限</w:t>
            </w:r>
          </w:p>
        </w:tc>
        <w:tc>
          <w:tcPr>
            <w:tcW w:w="1548" w:type="dxa"/>
            <w:gridSpan w:val="2"/>
            <w:noWrap w:val="0"/>
            <w:vAlign w:val="center"/>
          </w:tcPr>
          <w:p w14:paraId="505F730B">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p>
        </w:tc>
      </w:tr>
      <w:tr w14:paraId="395C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9" w:type="dxa"/>
            <w:gridSpan w:val="3"/>
            <w:noWrap w:val="0"/>
            <w:vAlign w:val="center"/>
          </w:tcPr>
          <w:p w14:paraId="738E9CA8">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r>
              <w:rPr>
                <w:rFonts w:hint="eastAsia" w:ascii="仿宋" w:hAnsi="仿宋" w:eastAsia="仿宋" w:cs="仿宋"/>
                <w:sz w:val="20"/>
                <w:szCs w:val="20"/>
              </w:rPr>
              <w:t>资格证书编号</w:t>
            </w:r>
          </w:p>
        </w:tc>
        <w:tc>
          <w:tcPr>
            <w:tcW w:w="5511" w:type="dxa"/>
            <w:gridSpan w:val="6"/>
            <w:noWrap w:val="0"/>
            <w:vAlign w:val="center"/>
          </w:tcPr>
          <w:p w14:paraId="33109C89">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p>
        </w:tc>
      </w:tr>
      <w:tr w14:paraId="1BDD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0" w:type="dxa"/>
            <w:gridSpan w:val="9"/>
            <w:noWrap w:val="0"/>
            <w:vAlign w:val="center"/>
          </w:tcPr>
          <w:p w14:paraId="4F61C362">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r>
              <w:rPr>
                <w:rFonts w:hint="eastAsia" w:ascii="仿宋" w:hAnsi="仿宋" w:eastAsia="仿宋" w:cs="仿宋"/>
                <w:sz w:val="20"/>
                <w:szCs w:val="20"/>
                <w:highlight w:val="none"/>
              </w:rPr>
              <w:t>在</w:t>
            </w:r>
            <w:r>
              <w:rPr>
                <w:rFonts w:hint="eastAsia" w:ascii="仿宋" w:hAnsi="仿宋" w:eastAsia="仿宋" w:cs="仿宋"/>
                <w:sz w:val="20"/>
                <w:szCs w:val="20"/>
                <w:highlight w:val="none"/>
                <w:lang w:eastAsia="zh-CN"/>
              </w:rPr>
              <w:t>办</w:t>
            </w:r>
            <w:r>
              <w:rPr>
                <w:rFonts w:hint="eastAsia" w:ascii="仿宋" w:hAnsi="仿宋" w:eastAsia="仿宋" w:cs="仿宋"/>
                <w:sz w:val="20"/>
                <w:szCs w:val="20"/>
                <w:highlight w:val="none"/>
              </w:rPr>
              <w:t>和已完成项目情况</w:t>
            </w:r>
          </w:p>
        </w:tc>
      </w:tr>
      <w:tr w14:paraId="57C1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gridSpan w:val="2"/>
            <w:noWrap w:val="0"/>
            <w:vAlign w:val="center"/>
          </w:tcPr>
          <w:p w14:paraId="3A260DB8">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r>
              <w:rPr>
                <w:rFonts w:hint="eastAsia" w:ascii="仿宋" w:hAnsi="仿宋" w:eastAsia="仿宋" w:cs="仿宋"/>
                <w:sz w:val="20"/>
                <w:szCs w:val="20"/>
                <w:lang w:eastAsia="zh-CN"/>
              </w:rPr>
              <w:t>委托</w:t>
            </w:r>
            <w:r>
              <w:rPr>
                <w:rFonts w:hint="eastAsia" w:ascii="仿宋" w:hAnsi="仿宋" w:eastAsia="仿宋" w:cs="仿宋"/>
                <w:sz w:val="20"/>
                <w:szCs w:val="20"/>
              </w:rPr>
              <w:t>单位</w:t>
            </w:r>
          </w:p>
        </w:tc>
        <w:tc>
          <w:tcPr>
            <w:tcW w:w="2064" w:type="dxa"/>
            <w:noWrap w:val="0"/>
            <w:vAlign w:val="center"/>
          </w:tcPr>
          <w:p w14:paraId="6A394214">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r>
              <w:rPr>
                <w:rFonts w:hint="eastAsia" w:ascii="仿宋" w:hAnsi="仿宋" w:eastAsia="仿宋" w:cs="仿宋"/>
                <w:sz w:val="20"/>
                <w:szCs w:val="20"/>
              </w:rPr>
              <w:t>项目名称</w:t>
            </w:r>
          </w:p>
        </w:tc>
        <w:tc>
          <w:tcPr>
            <w:tcW w:w="1084" w:type="dxa"/>
            <w:noWrap w:val="0"/>
            <w:vAlign w:val="center"/>
          </w:tcPr>
          <w:p w14:paraId="53EBC376">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r>
              <w:rPr>
                <w:rFonts w:hint="eastAsia" w:ascii="仿宋" w:hAnsi="仿宋" w:eastAsia="仿宋" w:cs="仿宋"/>
                <w:sz w:val="20"/>
                <w:szCs w:val="20"/>
              </w:rPr>
              <w:t>规模</w:t>
            </w:r>
          </w:p>
        </w:tc>
        <w:tc>
          <w:tcPr>
            <w:tcW w:w="1400" w:type="dxa"/>
            <w:noWrap w:val="0"/>
            <w:vAlign w:val="center"/>
          </w:tcPr>
          <w:p w14:paraId="7D7F3866">
            <w:pPr>
              <w:keepNext w:val="0"/>
              <w:keepLines w:val="0"/>
              <w:suppressLineNumbers w:val="0"/>
              <w:spacing w:before="20" w:beforeAutospacing="0" w:after="20" w:afterAutospacing="0"/>
              <w:ind w:left="0" w:right="0"/>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起止时间</w:t>
            </w:r>
          </w:p>
        </w:tc>
        <w:tc>
          <w:tcPr>
            <w:tcW w:w="1943" w:type="dxa"/>
            <w:gridSpan w:val="3"/>
            <w:noWrap w:val="0"/>
            <w:vAlign w:val="center"/>
          </w:tcPr>
          <w:p w14:paraId="12E12922">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r>
              <w:rPr>
                <w:rFonts w:hint="eastAsia" w:ascii="仿宋" w:hAnsi="仿宋" w:eastAsia="仿宋" w:cs="仿宋"/>
                <w:sz w:val="20"/>
                <w:szCs w:val="20"/>
              </w:rPr>
              <w:t>状态（</w:t>
            </w:r>
            <w:r>
              <w:rPr>
                <w:rFonts w:hint="eastAsia" w:ascii="仿宋" w:hAnsi="仿宋" w:eastAsia="仿宋" w:cs="仿宋"/>
                <w:sz w:val="20"/>
                <w:szCs w:val="20"/>
                <w:lang w:eastAsia="zh-CN"/>
              </w:rPr>
              <w:t>在办</w:t>
            </w:r>
            <w:r>
              <w:rPr>
                <w:rFonts w:hint="eastAsia" w:ascii="仿宋" w:hAnsi="仿宋" w:eastAsia="仿宋" w:cs="仿宋"/>
                <w:sz w:val="20"/>
                <w:szCs w:val="20"/>
              </w:rPr>
              <w:t>或</w:t>
            </w:r>
            <w:r>
              <w:rPr>
                <w:rFonts w:hint="eastAsia" w:ascii="仿宋" w:hAnsi="仿宋" w:eastAsia="仿宋" w:cs="仿宋"/>
                <w:sz w:val="20"/>
                <w:szCs w:val="20"/>
                <w:lang w:eastAsia="zh-CN"/>
              </w:rPr>
              <w:t>完成</w:t>
            </w:r>
            <w:r>
              <w:rPr>
                <w:rFonts w:hint="eastAsia" w:ascii="仿宋" w:hAnsi="仿宋" w:eastAsia="仿宋" w:cs="仿宋"/>
                <w:sz w:val="20"/>
                <w:szCs w:val="20"/>
              </w:rPr>
              <w:t>）</w:t>
            </w:r>
          </w:p>
        </w:tc>
        <w:tc>
          <w:tcPr>
            <w:tcW w:w="1084" w:type="dxa"/>
            <w:noWrap w:val="0"/>
            <w:vAlign w:val="center"/>
          </w:tcPr>
          <w:p w14:paraId="41CBCFD7">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r>
              <w:rPr>
                <w:rFonts w:hint="eastAsia" w:ascii="仿宋" w:hAnsi="仿宋" w:eastAsia="仿宋" w:cs="仿宋"/>
                <w:sz w:val="20"/>
                <w:szCs w:val="20"/>
              </w:rPr>
              <w:t>备注</w:t>
            </w:r>
          </w:p>
        </w:tc>
      </w:tr>
      <w:tr w14:paraId="09FB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785" w:type="dxa"/>
            <w:gridSpan w:val="2"/>
            <w:noWrap w:val="0"/>
            <w:vAlign w:val="center"/>
          </w:tcPr>
          <w:p w14:paraId="56A4423B">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p>
        </w:tc>
        <w:tc>
          <w:tcPr>
            <w:tcW w:w="2064" w:type="dxa"/>
            <w:noWrap w:val="0"/>
            <w:vAlign w:val="center"/>
          </w:tcPr>
          <w:p w14:paraId="12CE5BD1">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p>
        </w:tc>
        <w:tc>
          <w:tcPr>
            <w:tcW w:w="1084" w:type="dxa"/>
            <w:noWrap w:val="0"/>
            <w:vAlign w:val="center"/>
          </w:tcPr>
          <w:p w14:paraId="3C5FFDC0">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p>
        </w:tc>
        <w:tc>
          <w:tcPr>
            <w:tcW w:w="1400" w:type="dxa"/>
            <w:noWrap w:val="0"/>
            <w:vAlign w:val="center"/>
          </w:tcPr>
          <w:p w14:paraId="32FA3390">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p>
        </w:tc>
        <w:tc>
          <w:tcPr>
            <w:tcW w:w="1943" w:type="dxa"/>
            <w:gridSpan w:val="3"/>
            <w:noWrap w:val="0"/>
            <w:vAlign w:val="center"/>
          </w:tcPr>
          <w:p w14:paraId="082D0402">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p>
        </w:tc>
        <w:tc>
          <w:tcPr>
            <w:tcW w:w="1084" w:type="dxa"/>
            <w:noWrap w:val="0"/>
            <w:vAlign w:val="center"/>
          </w:tcPr>
          <w:p w14:paraId="67C9BF01">
            <w:pPr>
              <w:keepNext w:val="0"/>
              <w:keepLines w:val="0"/>
              <w:suppressLineNumbers w:val="0"/>
              <w:spacing w:before="20" w:beforeAutospacing="0" w:after="20" w:afterAutospacing="0"/>
              <w:ind w:left="0" w:right="0"/>
              <w:jc w:val="center"/>
              <w:rPr>
                <w:rFonts w:hint="eastAsia" w:ascii="仿宋" w:hAnsi="仿宋" w:eastAsia="仿宋" w:cs="仿宋"/>
                <w:sz w:val="20"/>
                <w:szCs w:val="20"/>
              </w:rPr>
            </w:pPr>
          </w:p>
        </w:tc>
      </w:tr>
    </w:tbl>
    <w:p w14:paraId="1DEFE9E8">
      <w:pPr>
        <w:ind w:firstLine="420" w:firstLineChars="200"/>
        <w:jc w:val="left"/>
        <w:rPr>
          <w:rFonts w:hint="eastAsia" w:ascii="仿宋" w:hAnsi="仿宋" w:eastAsia="仿宋" w:cs="仿宋"/>
        </w:rPr>
      </w:pPr>
      <w:r>
        <w:rPr>
          <w:rFonts w:hint="eastAsia" w:ascii="仿宋" w:hAnsi="仿宋" w:eastAsia="仿宋" w:cs="仿宋"/>
        </w:rPr>
        <w:t>注：填写上述表格，并按评分表要求提供投标人相关证明资料。</w:t>
      </w:r>
    </w:p>
    <w:p w14:paraId="5C2AA6D4">
      <w:pPr>
        <w:ind w:firstLine="420" w:firstLineChars="200"/>
        <w:rPr>
          <w:rFonts w:hint="eastAsia" w:ascii="仿宋" w:hAnsi="仿宋" w:eastAsia="仿宋" w:cs="仿宋"/>
        </w:rPr>
      </w:pPr>
    </w:p>
    <w:p w14:paraId="5376AB4A">
      <w:pPr>
        <w:ind w:firstLine="420" w:firstLineChars="200"/>
        <w:rPr>
          <w:rFonts w:hint="eastAsia" w:ascii="仿宋" w:hAnsi="仿宋" w:eastAsia="仿宋" w:cs="仿宋"/>
        </w:rPr>
      </w:pPr>
    </w:p>
    <w:p w14:paraId="499E5642">
      <w:pPr>
        <w:snapToGrid w:val="0"/>
        <w:outlineLvl w:val="4"/>
        <w:rPr>
          <w:rFonts w:hint="eastAsia" w:ascii="仿宋" w:hAnsi="仿宋" w:eastAsia="仿宋" w:cs="仿宋"/>
          <w:b/>
          <w:color w:val="000000"/>
          <w:szCs w:val="21"/>
        </w:rPr>
      </w:pPr>
      <w:bookmarkStart w:id="302" w:name="_Toc13984"/>
      <w:bookmarkStart w:id="303" w:name="_Toc13763"/>
      <w:r>
        <w:rPr>
          <w:rFonts w:hint="eastAsia" w:ascii="仿宋" w:hAnsi="仿宋" w:eastAsia="仿宋" w:cs="仿宋"/>
          <w:b/>
          <w:color w:val="000000"/>
          <w:szCs w:val="21"/>
          <w:lang w:val="en-US" w:eastAsia="zh-CN"/>
        </w:rPr>
        <w:t>2、</w:t>
      </w:r>
      <w:r>
        <w:rPr>
          <w:rFonts w:hint="eastAsia" w:ascii="仿宋" w:hAnsi="仿宋" w:eastAsia="仿宋" w:cs="仿宋"/>
          <w:b/>
          <w:color w:val="000000"/>
          <w:szCs w:val="21"/>
        </w:rPr>
        <w:t>拟安排的项目主要团队成员情况（项目负责人除外）</w:t>
      </w:r>
      <w:bookmarkEnd w:id="302"/>
      <w:bookmarkEnd w:id="303"/>
    </w:p>
    <w:p w14:paraId="7586E067">
      <w:pPr>
        <w:spacing w:after="60"/>
        <w:jc w:val="center"/>
        <w:rPr>
          <w:rFonts w:hint="eastAsia" w:ascii="仿宋" w:hAnsi="仿宋" w:eastAsia="仿宋" w:cs="仿宋"/>
        </w:rPr>
      </w:pPr>
    </w:p>
    <w:p w14:paraId="774FEFCD">
      <w:pPr>
        <w:keepNext w:val="0"/>
        <w:keepLines w:val="0"/>
        <w:pageBreakBefore w:val="0"/>
        <w:widowControl w:val="0"/>
        <w:kinsoku/>
        <w:wordWrap/>
        <w:overflowPunct/>
        <w:topLinePunct w:val="0"/>
        <w:autoSpaceDE/>
        <w:autoSpaceDN/>
        <w:bidi w:val="0"/>
        <w:adjustRightInd/>
        <w:snapToGrid/>
        <w:spacing w:after="60"/>
        <w:jc w:val="center"/>
        <w:textAlignment w:val="auto"/>
        <w:outlineLvl w:val="9"/>
        <w:rPr>
          <w:rFonts w:hint="eastAsia" w:ascii="仿宋" w:hAnsi="仿宋" w:eastAsia="仿宋" w:cs="仿宋"/>
          <w:b/>
          <w:sz w:val="24"/>
        </w:rPr>
      </w:pPr>
      <w:bookmarkStart w:id="304" w:name="_Toc17314"/>
      <w:bookmarkStart w:id="305" w:name="_Toc18505"/>
      <w:r>
        <w:rPr>
          <w:rFonts w:hint="eastAsia" w:ascii="仿宋" w:hAnsi="仿宋" w:eastAsia="仿宋" w:cs="仿宋"/>
          <w:b/>
          <w:sz w:val="24"/>
        </w:rPr>
        <w:t>拟派团队成员清单</w:t>
      </w:r>
      <w:bookmarkEnd w:id="304"/>
      <w:bookmarkEnd w:id="305"/>
    </w:p>
    <w:tbl>
      <w:tblPr>
        <w:tblStyle w:val="44"/>
        <w:tblW w:w="5488" w:type="pct"/>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015"/>
        <w:gridCol w:w="996"/>
        <w:gridCol w:w="1041"/>
        <w:gridCol w:w="994"/>
        <w:gridCol w:w="1706"/>
        <w:gridCol w:w="1807"/>
        <w:gridCol w:w="1080"/>
      </w:tblGrid>
      <w:tr w14:paraId="3B14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noWrap w:val="0"/>
            <w:vAlign w:val="center"/>
          </w:tcPr>
          <w:p w14:paraId="797A890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序号</w:t>
            </w:r>
          </w:p>
        </w:tc>
        <w:tc>
          <w:tcPr>
            <w:tcW w:w="542" w:type="pct"/>
            <w:noWrap w:val="0"/>
            <w:vAlign w:val="center"/>
          </w:tcPr>
          <w:p w14:paraId="4D81EF8D">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姓名</w:t>
            </w:r>
          </w:p>
        </w:tc>
        <w:tc>
          <w:tcPr>
            <w:tcW w:w="532" w:type="pct"/>
            <w:noWrap w:val="0"/>
            <w:vAlign w:val="center"/>
          </w:tcPr>
          <w:p w14:paraId="510C5D3C">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岗位</w:t>
            </w:r>
          </w:p>
        </w:tc>
        <w:tc>
          <w:tcPr>
            <w:tcW w:w="556" w:type="pct"/>
            <w:noWrap w:val="0"/>
            <w:vAlign w:val="center"/>
          </w:tcPr>
          <w:p w14:paraId="25DADB45">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职务</w:t>
            </w:r>
          </w:p>
        </w:tc>
        <w:tc>
          <w:tcPr>
            <w:tcW w:w="531" w:type="pct"/>
            <w:noWrap w:val="0"/>
            <w:vAlign w:val="center"/>
          </w:tcPr>
          <w:p w14:paraId="18BB0571">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学历</w:t>
            </w:r>
          </w:p>
        </w:tc>
        <w:tc>
          <w:tcPr>
            <w:tcW w:w="911" w:type="pct"/>
            <w:noWrap w:val="0"/>
            <w:vAlign w:val="center"/>
          </w:tcPr>
          <w:p w14:paraId="7A74C45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资质证书情况</w:t>
            </w:r>
          </w:p>
        </w:tc>
        <w:tc>
          <w:tcPr>
            <w:tcW w:w="965" w:type="pct"/>
            <w:noWrap w:val="0"/>
            <w:vAlign w:val="center"/>
          </w:tcPr>
          <w:p w14:paraId="030ED8A8">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经验年限</w:t>
            </w:r>
          </w:p>
        </w:tc>
        <w:tc>
          <w:tcPr>
            <w:tcW w:w="577" w:type="pct"/>
            <w:noWrap w:val="0"/>
            <w:vAlign w:val="center"/>
          </w:tcPr>
          <w:p w14:paraId="7255087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备注</w:t>
            </w:r>
          </w:p>
        </w:tc>
      </w:tr>
      <w:tr w14:paraId="642C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noWrap w:val="0"/>
            <w:vAlign w:val="top"/>
          </w:tcPr>
          <w:p w14:paraId="621ACD5A">
            <w:pPr>
              <w:keepNext w:val="0"/>
              <w:keepLines w:val="0"/>
              <w:suppressLineNumbers w:val="0"/>
              <w:spacing w:before="0" w:beforeAutospacing="0" w:after="0" w:afterAutospacing="0"/>
              <w:ind w:left="0" w:right="0"/>
              <w:rPr>
                <w:rFonts w:hint="eastAsia" w:ascii="仿宋" w:hAnsi="仿宋" w:eastAsia="仿宋" w:cs="仿宋"/>
              </w:rPr>
            </w:pPr>
          </w:p>
        </w:tc>
        <w:tc>
          <w:tcPr>
            <w:tcW w:w="542" w:type="pct"/>
            <w:noWrap w:val="0"/>
            <w:vAlign w:val="top"/>
          </w:tcPr>
          <w:p w14:paraId="70A15100">
            <w:pPr>
              <w:keepNext w:val="0"/>
              <w:keepLines w:val="0"/>
              <w:suppressLineNumbers w:val="0"/>
              <w:spacing w:before="0" w:beforeAutospacing="0" w:after="0" w:afterAutospacing="0"/>
              <w:ind w:left="0" w:right="0"/>
              <w:rPr>
                <w:rFonts w:hint="eastAsia" w:ascii="仿宋" w:hAnsi="仿宋" w:eastAsia="仿宋" w:cs="仿宋"/>
              </w:rPr>
            </w:pPr>
          </w:p>
        </w:tc>
        <w:tc>
          <w:tcPr>
            <w:tcW w:w="532" w:type="pct"/>
            <w:noWrap w:val="0"/>
            <w:vAlign w:val="top"/>
          </w:tcPr>
          <w:p w14:paraId="7681AB14">
            <w:pPr>
              <w:keepNext w:val="0"/>
              <w:keepLines w:val="0"/>
              <w:suppressLineNumbers w:val="0"/>
              <w:spacing w:before="0" w:beforeAutospacing="0" w:after="0" w:afterAutospacing="0"/>
              <w:ind w:left="0" w:right="0"/>
              <w:rPr>
                <w:rFonts w:hint="eastAsia" w:ascii="仿宋" w:hAnsi="仿宋" w:eastAsia="仿宋" w:cs="仿宋"/>
              </w:rPr>
            </w:pPr>
          </w:p>
        </w:tc>
        <w:tc>
          <w:tcPr>
            <w:tcW w:w="556" w:type="pct"/>
            <w:noWrap w:val="0"/>
            <w:vAlign w:val="top"/>
          </w:tcPr>
          <w:p w14:paraId="64D29FAF">
            <w:pPr>
              <w:keepNext w:val="0"/>
              <w:keepLines w:val="0"/>
              <w:suppressLineNumbers w:val="0"/>
              <w:spacing w:before="0" w:beforeAutospacing="0" w:after="0" w:afterAutospacing="0"/>
              <w:ind w:left="0" w:right="0"/>
              <w:rPr>
                <w:rFonts w:hint="eastAsia" w:ascii="仿宋" w:hAnsi="仿宋" w:eastAsia="仿宋" w:cs="仿宋"/>
              </w:rPr>
            </w:pPr>
          </w:p>
        </w:tc>
        <w:tc>
          <w:tcPr>
            <w:tcW w:w="531" w:type="pct"/>
            <w:noWrap w:val="0"/>
            <w:vAlign w:val="top"/>
          </w:tcPr>
          <w:p w14:paraId="6696281B">
            <w:pPr>
              <w:keepNext w:val="0"/>
              <w:keepLines w:val="0"/>
              <w:suppressLineNumbers w:val="0"/>
              <w:spacing w:before="0" w:beforeAutospacing="0" w:after="0" w:afterAutospacing="0"/>
              <w:ind w:left="0" w:right="0"/>
              <w:rPr>
                <w:rFonts w:hint="eastAsia" w:ascii="仿宋" w:hAnsi="仿宋" w:eastAsia="仿宋" w:cs="仿宋"/>
              </w:rPr>
            </w:pPr>
          </w:p>
        </w:tc>
        <w:tc>
          <w:tcPr>
            <w:tcW w:w="911" w:type="pct"/>
            <w:noWrap w:val="0"/>
            <w:vAlign w:val="top"/>
          </w:tcPr>
          <w:p w14:paraId="2F529BB5">
            <w:pPr>
              <w:keepNext w:val="0"/>
              <w:keepLines w:val="0"/>
              <w:suppressLineNumbers w:val="0"/>
              <w:spacing w:before="0" w:beforeAutospacing="0" w:after="0" w:afterAutospacing="0"/>
              <w:ind w:left="0" w:right="0"/>
              <w:rPr>
                <w:rFonts w:hint="eastAsia" w:ascii="仿宋" w:hAnsi="仿宋" w:eastAsia="仿宋" w:cs="仿宋"/>
              </w:rPr>
            </w:pPr>
          </w:p>
        </w:tc>
        <w:tc>
          <w:tcPr>
            <w:tcW w:w="965" w:type="pct"/>
            <w:noWrap w:val="0"/>
            <w:vAlign w:val="top"/>
          </w:tcPr>
          <w:p w14:paraId="240A8D7B">
            <w:pPr>
              <w:keepNext w:val="0"/>
              <w:keepLines w:val="0"/>
              <w:suppressLineNumbers w:val="0"/>
              <w:spacing w:before="0" w:beforeAutospacing="0" w:after="0" w:afterAutospacing="0"/>
              <w:ind w:left="0" w:right="0"/>
              <w:rPr>
                <w:rFonts w:hint="eastAsia" w:ascii="仿宋" w:hAnsi="仿宋" w:eastAsia="仿宋" w:cs="仿宋"/>
              </w:rPr>
            </w:pPr>
          </w:p>
        </w:tc>
        <w:tc>
          <w:tcPr>
            <w:tcW w:w="577" w:type="pct"/>
            <w:noWrap w:val="0"/>
            <w:vAlign w:val="top"/>
          </w:tcPr>
          <w:p w14:paraId="721F9585">
            <w:pPr>
              <w:keepNext w:val="0"/>
              <w:keepLines w:val="0"/>
              <w:suppressLineNumbers w:val="0"/>
              <w:spacing w:before="0" w:beforeAutospacing="0" w:after="0" w:afterAutospacing="0"/>
              <w:ind w:left="0" w:right="0"/>
              <w:rPr>
                <w:rFonts w:hint="eastAsia" w:ascii="仿宋" w:hAnsi="仿宋" w:eastAsia="仿宋" w:cs="仿宋"/>
              </w:rPr>
            </w:pPr>
          </w:p>
        </w:tc>
      </w:tr>
      <w:tr w14:paraId="5C53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noWrap w:val="0"/>
            <w:vAlign w:val="top"/>
          </w:tcPr>
          <w:p w14:paraId="300445C4">
            <w:pPr>
              <w:keepNext w:val="0"/>
              <w:keepLines w:val="0"/>
              <w:suppressLineNumbers w:val="0"/>
              <w:spacing w:before="0" w:beforeAutospacing="0" w:after="0" w:afterAutospacing="0"/>
              <w:ind w:left="0" w:right="0"/>
              <w:rPr>
                <w:rFonts w:hint="eastAsia" w:ascii="仿宋" w:hAnsi="仿宋" w:eastAsia="仿宋" w:cs="仿宋"/>
              </w:rPr>
            </w:pPr>
          </w:p>
        </w:tc>
        <w:tc>
          <w:tcPr>
            <w:tcW w:w="542" w:type="pct"/>
            <w:noWrap w:val="0"/>
            <w:vAlign w:val="top"/>
          </w:tcPr>
          <w:p w14:paraId="3B846E9A">
            <w:pPr>
              <w:keepNext w:val="0"/>
              <w:keepLines w:val="0"/>
              <w:suppressLineNumbers w:val="0"/>
              <w:spacing w:before="0" w:beforeAutospacing="0" w:after="0" w:afterAutospacing="0"/>
              <w:ind w:left="0" w:right="0"/>
              <w:rPr>
                <w:rFonts w:hint="eastAsia" w:ascii="仿宋" w:hAnsi="仿宋" w:eastAsia="仿宋" w:cs="仿宋"/>
              </w:rPr>
            </w:pPr>
          </w:p>
        </w:tc>
        <w:tc>
          <w:tcPr>
            <w:tcW w:w="532" w:type="pct"/>
            <w:noWrap w:val="0"/>
            <w:vAlign w:val="top"/>
          </w:tcPr>
          <w:p w14:paraId="0A35A9EB">
            <w:pPr>
              <w:keepNext w:val="0"/>
              <w:keepLines w:val="0"/>
              <w:suppressLineNumbers w:val="0"/>
              <w:spacing w:before="0" w:beforeAutospacing="0" w:after="0" w:afterAutospacing="0"/>
              <w:ind w:left="0" w:right="0"/>
              <w:rPr>
                <w:rFonts w:hint="eastAsia" w:ascii="仿宋" w:hAnsi="仿宋" w:eastAsia="仿宋" w:cs="仿宋"/>
              </w:rPr>
            </w:pPr>
          </w:p>
        </w:tc>
        <w:tc>
          <w:tcPr>
            <w:tcW w:w="556" w:type="pct"/>
            <w:noWrap w:val="0"/>
            <w:vAlign w:val="top"/>
          </w:tcPr>
          <w:p w14:paraId="397F7A9B">
            <w:pPr>
              <w:keepNext w:val="0"/>
              <w:keepLines w:val="0"/>
              <w:suppressLineNumbers w:val="0"/>
              <w:spacing w:before="0" w:beforeAutospacing="0" w:after="0" w:afterAutospacing="0"/>
              <w:ind w:left="0" w:right="0"/>
              <w:rPr>
                <w:rFonts w:hint="eastAsia" w:ascii="仿宋" w:hAnsi="仿宋" w:eastAsia="仿宋" w:cs="仿宋"/>
              </w:rPr>
            </w:pPr>
          </w:p>
        </w:tc>
        <w:tc>
          <w:tcPr>
            <w:tcW w:w="531" w:type="pct"/>
            <w:noWrap w:val="0"/>
            <w:vAlign w:val="top"/>
          </w:tcPr>
          <w:p w14:paraId="56CB1E8E">
            <w:pPr>
              <w:keepNext w:val="0"/>
              <w:keepLines w:val="0"/>
              <w:suppressLineNumbers w:val="0"/>
              <w:spacing w:before="0" w:beforeAutospacing="0" w:after="0" w:afterAutospacing="0"/>
              <w:ind w:left="0" w:right="0"/>
              <w:rPr>
                <w:rFonts w:hint="eastAsia" w:ascii="仿宋" w:hAnsi="仿宋" w:eastAsia="仿宋" w:cs="仿宋"/>
              </w:rPr>
            </w:pPr>
          </w:p>
        </w:tc>
        <w:tc>
          <w:tcPr>
            <w:tcW w:w="911" w:type="pct"/>
            <w:noWrap w:val="0"/>
            <w:vAlign w:val="top"/>
          </w:tcPr>
          <w:p w14:paraId="547B0CEA">
            <w:pPr>
              <w:keepNext w:val="0"/>
              <w:keepLines w:val="0"/>
              <w:suppressLineNumbers w:val="0"/>
              <w:spacing w:before="0" w:beforeAutospacing="0" w:after="0" w:afterAutospacing="0"/>
              <w:ind w:left="0" w:right="0"/>
              <w:rPr>
                <w:rFonts w:hint="eastAsia" w:ascii="仿宋" w:hAnsi="仿宋" w:eastAsia="仿宋" w:cs="仿宋"/>
              </w:rPr>
            </w:pPr>
          </w:p>
        </w:tc>
        <w:tc>
          <w:tcPr>
            <w:tcW w:w="965" w:type="pct"/>
            <w:noWrap w:val="0"/>
            <w:vAlign w:val="top"/>
          </w:tcPr>
          <w:p w14:paraId="0AE66BA3">
            <w:pPr>
              <w:keepNext w:val="0"/>
              <w:keepLines w:val="0"/>
              <w:suppressLineNumbers w:val="0"/>
              <w:spacing w:before="0" w:beforeAutospacing="0" w:after="0" w:afterAutospacing="0"/>
              <w:ind w:left="0" w:right="0"/>
              <w:rPr>
                <w:rFonts w:hint="eastAsia" w:ascii="仿宋" w:hAnsi="仿宋" w:eastAsia="仿宋" w:cs="仿宋"/>
              </w:rPr>
            </w:pPr>
          </w:p>
        </w:tc>
        <w:tc>
          <w:tcPr>
            <w:tcW w:w="577" w:type="pct"/>
            <w:noWrap w:val="0"/>
            <w:vAlign w:val="top"/>
          </w:tcPr>
          <w:p w14:paraId="6EDF8F9D">
            <w:pPr>
              <w:keepNext w:val="0"/>
              <w:keepLines w:val="0"/>
              <w:suppressLineNumbers w:val="0"/>
              <w:spacing w:before="0" w:beforeAutospacing="0" w:after="0" w:afterAutospacing="0"/>
              <w:ind w:left="0" w:right="0"/>
              <w:rPr>
                <w:rFonts w:hint="eastAsia" w:ascii="仿宋" w:hAnsi="仿宋" w:eastAsia="仿宋" w:cs="仿宋"/>
              </w:rPr>
            </w:pPr>
          </w:p>
        </w:tc>
      </w:tr>
      <w:tr w14:paraId="2254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noWrap w:val="0"/>
            <w:vAlign w:val="top"/>
          </w:tcPr>
          <w:p w14:paraId="445E286D">
            <w:pPr>
              <w:keepNext w:val="0"/>
              <w:keepLines w:val="0"/>
              <w:suppressLineNumbers w:val="0"/>
              <w:spacing w:before="0" w:beforeAutospacing="0" w:after="0" w:afterAutospacing="0"/>
              <w:ind w:left="0" w:right="0"/>
              <w:rPr>
                <w:rFonts w:hint="eastAsia" w:ascii="仿宋" w:hAnsi="仿宋" w:eastAsia="仿宋" w:cs="仿宋"/>
              </w:rPr>
            </w:pPr>
          </w:p>
        </w:tc>
        <w:tc>
          <w:tcPr>
            <w:tcW w:w="542" w:type="pct"/>
            <w:noWrap w:val="0"/>
            <w:vAlign w:val="top"/>
          </w:tcPr>
          <w:p w14:paraId="48D622D9">
            <w:pPr>
              <w:keepNext w:val="0"/>
              <w:keepLines w:val="0"/>
              <w:suppressLineNumbers w:val="0"/>
              <w:spacing w:before="0" w:beforeAutospacing="0" w:after="0" w:afterAutospacing="0"/>
              <w:ind w:left="0" w:right="0"/>
              <w:rPr>
                <w:rFonts w:hint="eastAsia" w:ascii="仿宋" w:hAnsi="仿宋" w:eastAsia="仿宋" w:cs="仿宋"/>
              </w:rPr>
            </w:pPr>
          </w:p>
        </w:tc>
        <w:tc>
          <w:tcPr>
            <w:tcW w:w="532" w:type="pct"/>
            <w:noWrap w:val="0"/>
            <w:vAlign w:val="top"/>
          </w:tcPr>
          <w:p w14:paraId="1120B62D">
            <w:pPr>
              <w:keepNext w:val="0"/>
              <w:keepLines w:val="0"/>
              <w:suppressLineNumbers w:val="0"/>
              <w:spacing w:before="0" w:beforeAutospacing="0" w:after="0" w:afterAutospacing="0"/>
              <w:ind w:left="0" w:right="0"/>
              <w:rPr>
                <w:rFonts w:hint="eastAsia" w:ascii="仿宋" w:hAnsi="仿宋" w:eastAsia="仿宋" w:cs="仿宋"/>
              </w:rPr>
            </w:pPr>
          </w:p>
        </w:tc>
        <w:tc>
          <w:tcPr>
            <w:tcW w:w="556" w:type="pct"/>
            <w:noWrap w:val="0"/>
            <w:vAlign w:val="top"/>
          </w:tcPr>
          <w:p w14:paraId="6AAA5B7B">
            <w:pPr>
              <w:keepNext w:val="0"/>
              <w:keepLines w:val="0"/>
              <w:suppressLineNumbers w:val="0"/>
              <w:spacing w:before="0" w:beforeAutospacing="0" w:after="0" w:afterAutospacing="0"/>
              <w:ind w:left="0" w:right="0"/>
              <w:rPr>
                <w:rFonts w:hint="eastAsia" w:ascii="仿宋" w:hAnsi="仿宋" w:eastAsia="仿宋" w:cs="仿宋"/>
              </w:rPr>
            </w:pPr>
          </w:p>
        </w:tc>
        <w:tc>
          <w:tcPr>
            <w:tcW w:w="531" w:type="pct"/>
            <w:noWrap w:val="0"/>
            <w:vAlign w:val="top"/>
          </w:tcPr>
          <w:p w14:paraId="35C50FEA">
            <w:pPr>
              <w:keepNext w:val="0"/>
              <w:keepLines w:val="0"/>
              <w:suppressLineNumbers w:val="0"/>
              <w:spacing w:before="0" w:beforeAutospacing="0" w:after="0" w:afterAutospacing="0"/>
              <w:ind w:left="0" w:right="0"/>
              <w:rPr>
                <w:rFonts w:hint="eastAsia" w:ascii="仿宋" w:hAnsi="仿宋" w:eastAsia="仿宋" w:cs="仿宋"/>
              </w:rPr>
            </w:pPr>
          </w:p>
        </w:tc>
        <w:tc>
          <w:tcPr>
            <w:tcW w:w="911" w:type="pct"/>
            <w:noWrap w:val="0"/>
            <w:vAlign w:val="top"/>
          </w:tcPr>
          <w:p w14:paraId="0093FF54">
            <w:pPr>
              <w:keepNext w:val="0"/>
              <w:keepLines w:val="0"/>
              <w:suppressLineNumbers w:val="0"/>
              <w:spacing w:before="0" w:beforeAutospacing="0" w:after="0" w:afterAutospacing="0"/>
              <w:ind w:left="0" w:right="0"/>
              <w:rPr>
                <w:rFonts w:hint="eastAsia" w:ascii="仿宋" w:hAnsi="仿宋" w:eastAsia="仿宋" w:cs="仿宋"/>
              </w:rPr>
            </w:pPr>
          </w:p>
        </w:tc>
        <w:tc>
          <w:tcPr>
            <w:tcW w:w="965" w:type="pct"/>
            <w:noWrap w:val="0"/>
            <w:vAlign w:val="top"/>
          </w:tcPr>
          <w:p w14:paraId="3FDA8E30">
            <w:pPr>
              <w:keepNext w:val="0"/>
              <w:keepLines w:val="0"/>
              <w:suppressLineNumbers w:val="0"/>
              <w:spacing w:before="0" w:beforeAutospacing="0" w:after="0" w:afterAutospacing="0"/>
              <w:ind w:left="0" w:right="0"/>
              <w:rPr>
                <w:rFonts w:hint="eastAsia" w:ascii="仿宋" w:hAnsi="仿宋" w:eastAsia="仿宋" w:cs="仿宋"/>
              </w:rPr>
            </w:pPr>
          </w:p>
        </w:tc>
        <w:tc>
          <w:tcPr>
            <w:tcW w:w="577" w:type="pct"/>
            <w:noWrap w:val="0"/>
            <w:vAlign w:val="top"/>
          </w:tcPr>
          <w:p w14:paraId="39F08F47">
            <w:pPr>
              <w:keepNext w:val="0"/>
              <w:keepLines w:val="0"/>
              <w:suppressLineNumbers w:val="0"/>
              <w:spacing w:before="0" w:beforeAutospacing="0" w:after="0" w:afterAutospacing="0"/>
              <w:ind w:left="0" w:right="0"/>
              <w:rPr>
                <w:rFonts w:hint="eastAsia" w:ascii="仿宋" w:hAnsi="仿宋" w:eastAsia="仿宋" w:cs="仿宋"/>
              </w:rPr>
            </w:pPr>
          </w:p>
        </w:tc>
      </w:tr>
    </w:tbl>
    <w:p w14:paraId="01DADB60">
      <w:pPr>
        <w:ind w:firstLine="420" w:firstLineChars="200"/>
        <w:jc w:val="left"/>
        <w:rPr>
          <w:rFonts w:hint="eastAsia" w:ascii="仿宋" w:hAnsi="仿宋" w:eastAsia="仿宋" w:cs="仿宋"/>
        </w:rPr>
      </w:pPr>
      <w:r>
        <w:rPr>
          <w:rFonts w:hint="eastAsia" w:ascii="仿宋" w:hAnsi="仿宋" w:eastAsia="仿宋" w:cs="仿宋"/>
        </w:rPr>
        <w:t>注：填写上述表格，并按评分表要求提供投标人相关证明资料。</w:t>
      </w:r>
    </w:p>
    <w:p w14:paraId="18DD439F">
      <w:pPr>
        <w:jc w:val="left"/>
        <w:rPr>
          <w:rFonts w:hint="eastAsia" w:ascii="仿宋" w:hAnsi="仿宋" w:eastAsia="仿宋" w:cs="仿宋"/>
        </w:rPr>
      </w:pPr>
    </w:p>
    <w:p w14:paraId="21F40FA1">
      <w:pPr>
        <w:pStyle w:val="13"/>
        <w:rPr>
          <w:rFonts w:hint="eastAsia" w:ascii="仿宋" w:hAnsi="仿宋" w:eastAsia="仿宋" w:cs="仿宋"/>
        </w:rPr>
      </w:pPr>
    </w:p>
    <w:p w14:paraId="583E4F8D">
      <w:pPr>
        <w:rPr>
          <w:rFonts w:hint="eastAsia" w:ascii="仿宋" w:hAnsi="仿宋" w:eastAsia="仿宋" w:cs="仿宋"/>
        </w:rPr>
      </w:pPr>
    </w:p>
    <w:p w14:paraId="785C0DCE">
      <w:pPr>
        <w:keepNext w:val="0"/>
        <w:keepLines w:val="0"/>
        <w:pageBreakBefore w:val="0"/>
        <w:widowControl w:val="0"/>
        <w:kinsoku/>
        <w:wordWrap/>
        <w:overflowPunct/>
        <w:topLinePunct w:val="0"/>
        <w:autoSpaceDE/>
        <w:autoSpaceDN/>
        <w:bidi w:val="0"/>
        <w:adjustRightInd/>
        <w:snapToGrid/>
        <w:ind w:firstLine="3150" w:firstLineChars="1500"/>
        <w:jc w:val="left"/>
        <w:textAlignment w:val="auto"/>
        <w:outlineLvl w:val="9"/>
        <w:rPr>
          <w:rFonts w:hint="eastAsia" w:ascii="仿宋" w:hAnsi="仿宋" w:eastAsia="仿宋" w:cs="仿宋"/>
          <w:color w:val="000000"/>
        </w:rPr>
      </w:pPr>
      <w:bookmarkStart w:id="306" w:name="_Toc3070"/>
      <w:r>
        <w:rPr>
          <w:rFonts w:hint="eastAsia" w:ascii="仿宋" w:hAnsi="仿宋" w:eastAsia="仿宋" w:cs="仿宋"/>
          <w:color w:val="000000"/>
        </w:rPr>
        <w:t>法定代表人或其授权委托人（</w:t>
      </w:r>
      <w:r>
        <w:rPr>
          <w:rFonts w:hint="eastAsia" w:ascii="仿宋" w:hAnsi="仿宋" w:eastAsia="仿宋" w:cs="仿宋"/>
          <w:b/>
          <w:color w:val="000000"/>
        </w:rPr>
        <w:t>签名或盖私章</w:t>
      </w:r>
      <w:r>
        <w:rPr>
          <w:rFonts w:hint="eastAsia" w:ascii="仿宋" w:hAnsi="仿宋" w:eastAsia="仿宋" w:cs="仿宋"/>
          <w:color w:val="000000"/>
        </w:rPr>
        <w:t>）：</w:t>
      </w:r>
      <w:bookmarkEnd w:id="306"/>
    </w:p>
    <w:p w14:paraId="60BCD92D">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color w:val="000000"/>
        </w:rPr>
      </w:pPr>
    </w:p>
    <w:p w14:paraId="77A65684">
      <w:pPr>
        <w:keepNext w:val="0"/>
        <w:keepLines w:val="0"/>
        <w:pageBreakBefore w:val="0"/>
        <w:widowControl w:val="0"/>
        <w:kinsoku/>
        <w:wordWrap/>
        <w:overflowPunct/>
        <w:topLinePunct w:val="0"/>
        <w:autoSpaceDE/>
        <w:autoSpaceDN/>
        <w:bidi w:val="0"/>
        <w:adjustRightInd/>
        <w:snapToGrid/>
        <w:ind w:firstLine="3150" w:firstLineChars="1500"/>
        <w:jc w:val="left"/>
        <w:textAlignment w:val="auto"/>
        <w:outlineLvl w:val="9"/>
        <w:rPr>
          <w:rFonts w:hint="eastAsia" w:ascii="仿宋" w:hAnsi="仿宋" w:eastAsia="仿宋" w:cs="仿宋"/>
          <w:color w:val="000000"/>
        </w:rPr>
      </w:pPr>
      <w:bookmarkStart w:id="307" w:name="_Toc5325"/>
      <w:r>
        <w:rPr>
          <w:rFonts w:hint="eastAsia" w:ascii="仿宋" w:hAnsi="仿宋" w:eastAsia="仿宋" w:cs="仿宋"/>
          <w:color w:val="000000"/>
        </w:rPr>
        <w:t>投标单位（</w:t>
      </w:r>
      <w:r>
        <w:rPr>
          <w:rFonts w:hint="eastAsia" w:ascii="仿宋" w:hAnsi="仿宋" w:eastAsia="仿宋" w:cs="仿宋"/>
          <w:b/>
          <w:color w:val="000000"/>
        </w:rPr>
        <w:t>盖公章</w:t>
      </w:r>
      <w:r>
        <w:rPr>
          <w:rFonts w:hint="eastAsia" w:ascii="仿宋" w:hAnsi="仿宋" w:eastAsia="仿宋" w:cs="仿宋"/>
          <w:color w:val="000000"/>
        </w:rPr>
        <w:t>）：</w:t>
      </w:r>
      <w:bookmarkEnd w:id="307"/>
    </w:p>
    <w:p w14:paraId="0D592539">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color w:val="000000"/>
        </w:rPr>
      </w:pPr>
    </w:p>
    <w:p w14:paraId="7597425D">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eastAsia" w:ascii="仿宋" w:hAnsi="仿宋" w:eastAsia="仿宋" w:cs="仿宋"/>
          <w:bCs/>
          <w:sz w:val="24"/>
        </w:rPr>
      </w:pPr>
      <w:r>
        <w:rPr>
          <w:rFonts w:hint="eastAsia" w:ascii="仿宋" w:hAnsi="仿宋" w:eastAsia="仿宋" w:cs="仿宋"/>
          <w:color w:val="000000"/>
        </w:rPr>
        <w:t>日期：    年  月  日</w:t>
      </w:r>
    </w:p>
    <w:p w14:paraId="147EC6AD">
      <w:pPr>
        <w:spacing w:line="360" w:lineRule="auto"/>
        <w:rPr>
          <w:rFonts w:hint="eastAsia" w:ascii="仿宋" w:hAnsi="仿宋" w:eastAsia="仿宋" w:cs="仿宋"/>
          <w:bCs/>
          <w:sz w:val="24"/>
        </w:rPr>
      </w:pPr>
    </w:p>
    <w:p w14:paraId="1EB41803">
      <w:pPr>
        <w:pStyle w:val="5"/>
        <w:spacing w:before="120" w:after="120"/>
        <w:jc w:val="center"/>
        <w:outlineLvl w:val="3"/>
        <w:rPr>
          <w:rFonts w:hint="eastAsia" w:ascii="仿宋" w:hAnsi="仿宋" w:eastAsia="仿宋" w:cs="仿宋"/>
          <w:b/>
          <w:bCs/>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w:t>
      </w:r>
      <w:r>
        <w:rPr>
          <w:rFonts w:hint="eastAsia" w:ascii="仿宋" w:hAnsi="仿宋" w:eastAsia="仿宋" w:cs="仿宋"/>
          <w:b/>
          <w:bCs/>
          <w:sz w:val="28"/>
          <w:szCs w:val="28"/>
        </w:rPr>
        <w:t>拟投入仪器、设备</w:t>
      </w:r>
    </w:p>
    <w:p w14:paraId="499E3B5B">
      <w:pPr>
        <w:spacing w:after="60"/>
        <w:jc w:val="center"/>
        <w:rPr>
          <w:rFonts w:hint="eastAsia" w:ascii="仿宋" w:hAnsi="仿宋" w:eastAsia="仿宋" w:cs="仿宋"/>
          <w:highlight w:val="none"/>
          <w:lang w:eastAsia="zh-CN"/>
        </w:rPr>
      </w:pPr>
      <w:r>
        <w:rPr>
          <w:rFonts w:hint="eastAsia" w:ascii="仿宋" w:hAnsi="仿宋" w:eastAsia="仿宋" w:cs="仿宋"/>
          <w:highlight w:val="none"/>
          <w:lang w:eastAsia="zh-CN"/>
        </w:rPr>
        <w:t>（参考格式，投标人可根据招标文件要求和自身实际情况修改）</w:t>
      </w:r>
    </w:p>
    <w:p w14:paraId="3CFE20FA">
      <w:pPr>
        <w:spacing w:after="60"/>
        <w:jc w:val="center"/>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拟投入仪器、设备清单</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670"/>
        <w:gridCol w:w="1704"/>
        <w:gridCol w:w="1704"/>
        <w:gridCol w:w="1705"/>
      </w:tblGrid>
      <w:tr w14:paraId="3A6C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noWrap w:val="0"/>
            <w:vAlign w:val="top"/>
          </w:tcPr>
          <w:p w14:paraId="2E4AF936">
            <w:pPr>
              <w:keepNext w:val="0"/>
              <w:keepLines w:val="0"/>
              <w:suppressLineNumbers w:val="0"/>
              <w:spacing w:before="0" w:beforeAutospacing="0" w:after="0" w:afterAutospacing="0"/>
              <w:ind w:left="0" w:right="0"/>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670" w:type="dxa"/>
            <w:noWrap w:val="0"/>
            <w:vAlign w:val="top"/>
          </w:tcPr>
          <w:p w14:paraId="4AC83DAE">
            <w:pPr>
              <w:keepNext w:val="0"/>
              <w:keepLines w:val="0"/>
              <w:suppressLineNumbers w:val="0"/>
              <w:spacing w:before="0" w:beforeAutospacing="0" w:after="0" w:afterAutospacing="0"/>
              <w:ind w:left="0" w:right="0"/>
              <w:jc w:val="center"/>
              <w:rPr>
                <w:rFonts w:hint="eastAsia" w:ascii="仿宋" w:hAnsi="仿宋" w:eastAsia="仿宋" w:cs="仿宋"/>
                <w:b/>
                <w:bCs/>
                <w:highlight w:val="none"/>
                <w:lang w:eastAsia="zh-CN"/>
              </w:rPr>
            </w:pPr>
            <w:r>
              <w:rPr>
                <w:rFonts w:hint="eastAsia" w:ascii="仿宋" w:hAnsi="仿宋" w:eastAsia="仿宋" w:cs="仿宋"/>
                <w:b/>
                <w:bCs/>
                <w:highlight w:val="none"/>
                <w:lang w:eastAsia="zh-CN"/>
              </w:rPr>
              <w:t>仪器、设备</w:t>
            </w:r>
          </w:p>
        </w:tc>
        <w:tc>
          <w:tcPr>
            <w:tcW w:w="1704" w:type="dxa"/>
            <w:noWrap w:val="0"/>
            <w:vAlign w:val="top"/>
          </w:tcPr>
          <w:p w14:paraId="11A2A40C">
            <w:pPr>
              <w:keepNext w:val="0"/>
              <w:keepLines w:val="0"/>
              <w:suppressLineNumbers w:val="0"/>
              <w:spacing w:before="0" w:beforeAutospacing="0" w:after="0" w:afterAutospacing="0"/>
              <w:ind w:left="0" w:right="0"/>
              <w:jc w:val="center"/>
              <w:rPr>
                <w:rFonts w:hint="default" w:ascii="仿宋" w:hAnsi="仿宋" w:eastAsia="仿宋" w:cs="仿宋"/>
                <w:b/>
                <w:bCs/>
                <w:highlight w:val="none"/>
                <w:lang w:val="en-US" w:eastAsia="zh-CN"/>
              </w:rPr>
            </w:pPr>
            <w:r>
              <w:rPr>
                <w:rFonts w:hint="eastAsia" w:ascii="仿宋" w:hAnsi="仿宋" w:eastAsia="仿宋" w:cs="仿宋"/>
                <w:b/>
                <w:bCs/>
                <w:highlight w:val="none"/>
                <w:lang w:val="en-US" w:eastAsia="zh-CN"/>
              </w:rPr>
              <w:t>自有/租赁</w:t>
            </w:r>
          </w:p>
        </w:tc>
        <w:tc>
          <w:tcPr>
            <w:tcW w:w="1704" w:type="dxa"/>
            <w:noWrap w:val="0"/>
            <w:vAlign w:val="top"/>
          </w:tcPr>
          <w:p w14:paraId="2995DB39">
            <w:pPr>
              <w:keepNext w:val="0"/>
              <w:keepLines w:val="0"/>
              <w:suppressLineNumbers w:val="0"/>
              <w:spacing w:before="0" w:beforeAutospacing="0" w:after="0" w:afterAutospacing="0"/>
              <w:ind w:left="0" w:right="0"/>
              <w:jc w:val="center"/>
              <w:rPr>
                <w:rFonts w:hint="eastAsia" w:ascii="仿宋" w:hAnsi="仿宋" w:eastAsia="仿宋" w:cs="仿宋"/>
                <w:b/>
                <w:bCs/>
                <w:highlight w:val="none"/>
              </w:rPr>
            </w:pPr>
            <w:r>
              <w:rPr>
                <w:rFonts w:hint="eastAsia" w:ascii="仿宋" w:hAnsi="仿宋" w:eastAsia="仿宋" w:cs="仿宋"/>
                <w:b/>
                <w:bCs/>
                <w:highlight w:val="none"/>
              </w:rPr>
              <w:t>精度</w:t>
            </w:r>
          </w:p>
        </w:tc>
        <w:tc>
          <w:tcPr>
            <w:tcW w:w="1705" w:type="dxa"/>
            <w:noWrap w:val="0"/>
            <w:vAlign w:val="top"/>
          </w:tcPr>
          <w:p w14:paraId="06C24480">
            <w:pPr>
              <w:keepNext w:val="0"/>
              <w:keepLines w:val="0"/>
              <w:suppressLineNumbers w:val="0"/>
              <w:spacing w:before="0" w:beforeAutospacing="0" w:after="0" w:afterAutospacing="0"/>
              <w:ind w:left="0" w:right="0"/>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1DE4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noWrap w:val="0"/>
            <w:vAlign w:val="top"/>
          </w:tcPr>
          <w:p w14:paraId="5BFB3602">
            <w:pPr>
              <w:keepNext w:val="0"/>
              <w:keepLines w:val="0"/>
              <w:suppressLineNumbers w:val="0"/>
              <w:spacing w:before="0" w:beforeAutospacing="0" w:after="0" w:afterAutospacing="0"/>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p>
        </w:tc>
        <w:tc>
          <w:tcPr>
            <w:tcW w:w="2670" w:type="dxa"/>
            <w:noWrap w:val="0"/>
            <w:vAlign w:val="top"/>
          </w:tcPr>
          <w:p w14:paraId="3524B5AC">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4" w:type="dxa"/>
            <w:noWrap w:val="0"/>
            <w:vAlign w:val="top"/>
          </w:tcPr>
          <w:p w14:paraId="582732AC">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4" w:type="dxa"/>
            <w:noWrap w:val="0"/>
            <w:vAlign w:val="top"/>
          </w:tcPr>
          <w:p w14:paraId="15B31058">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5" w:type="dxa"/>
            <w:noWrap w:val="0"/>
            <w:vAlign w:val="top"/>
          </w:tcPr>
          <w:p w14:paraId="060E24DF">
            <w:pPr>
              <w:keepNext w:val="0"/>
              <w:keepLines w:val="0"/>
              <w:suppressLineNumbers w:val="0"/>
              <w:spacing w:before="0" w:beforeAutospacing="0" w:after="0" w:afterAutospacing="0"/>
              <w:ind w:left="0" w:right="0"/>
              <w:rPr>
                <w:rFonts w:hint="eastAsia" w:ascii="仿宋" w:hAnsi="仿宋" w:eastAsia="仿宋" w:cs="仿宋"/>
                <w:highlight w:val="none"/>
              </w:rPr>
            </w:pPr>
          </w:p>
        </w:tc>
      </w:tr>
      <w:tr w14:paraId="4984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noWrap w:val="0"/>
            <w:vAlign w:val="top"/>
          </w:tcPr>
          <w:p w14:paraId="42C69103">
            <w:pPr>
              <w:keepNext w:val="0"/>
              <w:keepLines w:val="0"/>
              <w:suppressLineNumbers w:val="0"/>
              <w:spacing w:before="0" w:beforeAutospacing="0" w:after="0" w:afterAutospacing="0"/>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2</w:t>
            </w:r>
          </w:p>
        </w:tc>
        <w:tc>
          <w:tcPr>
            <w:tcW w:w="2670" w:type="dxa"/>
            <w:noWrap w:val="0"/>
            <w:vAlign w:val="top"/>
          </w:tcPr>
          <w:p w14:paraId="35714251">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4" w:type="dxa"/>
            <w:noWrap w:val="0"/>
            <w:vAlign w:val="top"/>
          </w:tcPr>
          <w:p w14:paraId="5FCD92D5">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4" w:type="dxa"/>
            <w:noWrap w:val="0"/>
            <w:vAlign w:val="top"/>
          </w:tcPr>
          <w:p w14:paraId="294D262F">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5" w:type="dxa"/>
            <w:noWrap w:val="0"/>
            <w:vAlign w:val="top"/>
          </w:tcPr>
          <w:p w14:paraId="07BDD859">
            <w:pPr>
              <w:keepNext w:val="0"/>
              <w:keepLines w:val="0"/>
              <w:suppressLineNumbers w:val="0"/>
              <w:spacing w:before="0" w:beforeAutospacing="0" w:after="0" w:afterAutospacing="0"/>
              <w:ind w:left="0" w:right="0"/>
              <w:rPr>
                <w:rFonts w:hint="eastAsia" w:ascii="仿宋" w:hAnsi="仿宋" w:eastAsia="仿宋" w:cs="仿宋"/>
                <w:highlight w:val="none"/>
              </w:rPr>
            </w:pPr>
          </w:p>
        </w:tc>
      </w:tr>
      <w:tr w14:paraId="32CA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noWrap w:val="0"/>
            <w:vAlign w:val="top"/>
          </w:tcPr>
          <w:p w14:paraId="1098397A">
            <w:pPr>
              <w:keepNext w:val="0"/>
              <w:keepLines w:val="0"/>
              <w:suppressLineNumbers w:val="0"/>
              <w:spacing w:before="0" w:beforeAutospacing="0" w:after="0" w:afterAutospacing="0"/>
              <w:ind w:left="0" w:right="0"/>
              <w:jc w:val="center"/>
              <w:rPr>
                <w:rFonts w:hint="eastAsia" w:ascii="仿宋" w:hAnsi="仿宋" w:eastAsia="仿宋" w:cs="仿宋"/>
                <w:highlight w:val="none"/>
                <w:lang w:eastAsia="zh-CN"/>
              </w:rPr>
            </w:pPr>
            <w:r>
              <w:rPr>
                <w:rFonts w:hint="eastAsia" w:ascii="仿宋" w:hAnsi="仿宋" w:eastAsia="仿宋" w:cs="仿宋"/>
                <w:highlight w:val="none"/>
                <w:lang w:eastAsia="zh-CN"/>
              </w:rPr>
              <w:t>……</w:t>
            </w:r>
          </w:p>
        </w:tc>
        <w:tc>
          <w:tcPr>
            <w:tcW w:w="2670" w:type="dxa"/>
            <w:noWrap w:val="0"/>
            <w:vAlign w:val="top"/>
          </w:tcPr>
          <w:p w14:paraId="5B833A57">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4" w:type="dxa"/>
            <w:noWrap w:val="0"/>
            <w:vAlign w:val="top"/>
          </w:tcPr>
          <w:p w14:paraId="1E82BC40">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4" w:type="dxa"/>
            <w:noWrap w:val="0"/>
            <w:vAlign w:val="top"/>
          </w:tcPr>
          <w:p w14:paraId="6653B16F">
            <w:pPr>
              <w:keepNext w:val="0"/>
              <w:keepLines w:val="0"/>
              <w:suppressLineNumbers w:val="0"/>
              <w:spacing w:before="0" w:beforeAutospacing="0" w:after="0" w:afterAutospacing="0"/>
              <w:ind w:left="0" w:right="0"/>
              <w:rPr>
                <w:rFonts w:hint="eastAsia" w:ascii="仿宋" w:hAnsi="仿宋" w:eastAsia="仿宋" w:cs="仿宋"/>
                <w:highlight w:val="none"/>
              </w:rPr>
            </w:pPr>
          </w:p>
        </w:tc>
        <w:tc>
          <w:tcPr>
            <w:tcW w:w="1705" w:type="dxa"/>
            <w:noWrap w:val="0"/>
            <w:vAlign w:val="top"/>
          </w:tcPr>
          <w:p w14:paraId="12172598">
            <w:pPr>
              <w:keepNext w:val="0"/>
              <w:keepLines w:val="0"/>
              <w:suppressLineNumbers w:val="0"/>
              <w:spacing w:before="0" w:beforeAutospacing="0" w:after="0" w:afterAutospacing="0"/>
              <w:ind w:left="0" w:right="0"/>
              <w:rPr>
                <w:rFonts w:hint="eastAsia" w:ascii="仿宋" w:hAnsi="仿宋" w:eastAsia="仿宋" w:cs="仿宋"/>
                <w:highlight w:val="none"/>
              </w:rPr>
            </w:pPr>
          </w:p>
        </w:tc>
      </w:tr>
    </w:tbl>
    <w:p w14:paraId="2E6495A9">
      <w:pPr>
        <w:ind w:firstLine="420" w:firstLineChars="200"/>
        <w:jc w:val="left"/>
        <w:rPr>
          <w:rFonts w:hint="eastAsia" w:ascii="仿宋" w:hAnsi="仿宋" w:eastAsia="仿宋" w:cs="仿宋"/>
          <w:highlight w:val="none"/>
        </w:rPr>
      </w:pPr>
    </w:p>
    <w:p w14:paraId="57B3208E">
      <w:pPr>
        <w:spacing w:after="60"/>
        <w:jc w:val="both"/>
        <w:rPr>
          <w:rFonts w:hint="eastAsia" w:ascii="仿宋" w:hAnsi="仿宋" w:eastAsia="仿宋" w:cs="仿宋"/>
          <w:highlight w:val="none"/>
        </w:rPr>
      </w:pPr>
      <w:r>
        <w:rPr>
          <w:rFonts w:hint="eastAsia" w:ascii="仿宋" w:hAnsi="仿宋" w:eastAsia="仿宋" w:cs="仿宋"/>
          <w:highlight w:val="none"/>
        </w:rPr>
        <w:t>（特别提示：投标人须按本招标文件评标信息中“拟投入仪器、设备”这一评审因素要求，提供证明资料）</w:t>
      </w:r>
    </w:p>
    <w:p w14:paraId="0CA19F80">
      <w:pPr>
        <w:rPr>
          <w:rFonts w:hint="eastAsia" w:ascii="仿宋" w:hAnsi="仿宋" w:eastAsia="仿宋" w:cs="仿宋"/>
          <w:color w:val="000000"/>
          <w:sz w:val="28"/>
          <w:szCs w:val="28"/>
          <w:highlight w:val="none"/>
        </w:rPr>
      </w:pPr>
    </w:p>
    <w:p w14:paraId="3E87B459">
      <w:pPr>
        <w:widowControl w:val="0"/>
        <w:spacing w:after="120"/>
        <w:jc w:val="both"/>
        <w:rPr>
          <w:rFonts w:hint="eastAsia" w:ascii="仿宋" w:hAnsi="仿宋" w:eastAsia="仿宋" w:cs="仿宋"/>
          <w:kern w:val="2"/>
          <w:sz w:val="21"/>
          <w:szCs w:val="24"/>
          <w:highlight w:val="none"/>
          <w:lang w:val="en-US" w:eastAsia="zh-CN" w:bidi="ar-SA"/>
        </w:rPr>
      </w:pPr>
    </w:p>
    <w:p w14:paraId="279ABF7D">
      <w:pPr>
        <w:ind w:firstLine="3150" w:firstLineChars="1500"/>
        <w:jc w:val="left"/>
        <w:rPr>
          <w:rFonts w:hint="eastAsia" w:ascii="仿宋" w:hAnsi="仿宋" w:eastAsia="仿宋" w:cs="仿宋"/>
          <w:color w:val="000000"/>
          <w:highlight w:val="none"/>
        </w:rPr>
      </w:pPr>
      <w:r>
        <w:rPr>
          <w:rFonts w:hint="eastAsia" w:ascii="仿宋" w:hAnsi="仿宋" w:eastAsia="仿宋" w:cs="仿宋"/>
          <w:color w:val="000000"/>
          <w:highlight w:val="none"/>
        </w:rPr>
        <w:t>法定代表人或其授权委托人（</w:t>
      </w:r>
      <w:r>
        <w:rPr>
          <w:rFonts w:hint="eastAsia" w:ascii="仿宋" w:hAnsi="仿宋" w:eastAsia="仿宋" w:cs="仿宋"/>
          <w:b/>
          <w:color w:val="000000"/>
          <w:highlight w:val="none"/>
        </w:rPr>
        <w:t>签名或盖私章</w:t>
      </w:r>
      <w:r>
        <w:rPr>
          <w:rFonts w:hint="eastAsia" w:ascii="仿宋" w:hAnsi="仿宋" w:eastAsia="仿宋" w:cs="仿宋"/>
          <w:color w:val="000000"/>
          <w:highlight w:val="none"/>
        </w:rPr>
        <w:t>）：</w:t>
      </w:r>
    </w:p>
    <w:p w14:paraId="4ED3E405">
      <w:pPr>
        <w:jc w:val="left"/>
        <w:rPr>
          <w:rFonts w:hint="eastAsia" w:ascii="仿宋" w:hAnsi="仿宋" w:eastAsia="仿宋" w:cs="仿宋"/>
          <w:color w:val="000000"/>
          <w:highlight w:val="none"/>
        </w:rPr>
      </w:pPr>
    </w:p>
    <w:p w14:paraId="2831C1BF">
      <w:pPr>
        <w:ind w:firstLine="3150" w:firstLineChars="1500"/>
        <w:jc w:val="left"/>
        <w:rPr>
          <w:rFonts w:hint="eastAsia" w:ascii="仿宋" w:hAnsi="仿宋" w:eastAsia="仿宋" w:cs="仿宋"/>
          <w:color w:val="000000"/>
          <w:highlight w:val="none"/>
        </w:rPr>
      </w:pPr>
      <w:r>
        <w:rPr>
          <w:rFonts w:hint="eastAsia" w:ascii="仿宋" w:hAnsi="仿宋" w:eastAsia="仿宋" w:cs="仿宋"/>
          <w:color w:val="000000"/>
          <w:highlight w:val="none"/>
        </w:rPr>
        <w:t>投标单位（</w:t>
      </w:r>
      <w:r>
        <w:rPr>
          <w:rFonts w:hint="eastAsia" w:ascii="仿宋" w:hAnsi="仿宋" w:eastAsia="仿宋" w:cs="仿宋"/>
          <w:b/>
          <w:color w:val="000000"/>
          <w:highlight w:val="none"/>
        </w:rPr>
        <w:t>盖公章</w:t>
      </w:r>
      <w:r>
        <w:rPr>
          <w:rFonts w:hint="eastAsia" w:ascii="仿宋" w:hAnsi="仿宋" w:eastAsia="仿宋" w:cs="仿宋"/>
          <w:color w:val="000000"/>
          <w:highlight w:val="none"/>
        </w:rPr>
        <w:t>）：</w:t>
      </w:r>
    </w:p>
    <w:p w14:paraId="0AE2D20F">
      <w:pPr>
        <w:jc w:val="left"/>
        <w:rPr>
          <w:rFonts w:hint="eastAsia" w:ascii="仿宋" w:hAnsi="仿宋" w:eastAsia="仿宋" w:cs="仿宋"/>
          <w:color w:val="000000"/>
          <w:highlight w:val="none"/>
        </w:rPr>
      </w:pPr>
    </w:p>
    <w:p w14:paraId="4ECC130C">
      <w:pPr>
        <w:jc w:val="right"/>
        <w:rPr>
          <w:rFonts w:hint="eastAsia" w:ascii="仿宋" w:hAnsi="仿宋" w:eastAsia="仿宋" w:cs="仿宋"/>
          <w:color w:val="000000"/>
          <w:highlight w:val="none"/>
        </w:rPr>
      </w:pPr>
      <w:r>
        <w:rPr>
          <w:rFonts w:hint="eastAsia" w:ascii="仿宋" w:hAnsi="仿宋" w:eastAsia="仿宋" w:cs="仿宋"/>
          <w:color w:val="000000"/>
          <w:highlight w:val="none"/>
        </w:rPr>
        <w:t>日期：    年  月  日</w:t>
      </w:r>
    </w:p>
    <w:p w14:paraId="203D44C6">
      <w:pPr>
        <w:keepNext/>
        <w:keepLines/>
        <w:widowControl w:val="0"/>
        <w:spacing w:before="120" w:after="120" w:line="416" w:lineRule="auto"/>
        <w:jc w:val="center"/>
        <w:outlineLvl w:val="9"/>
        <w:rPr>
          <w:rFonts w:hint="eastAsia" w:ascii="仿宋" w:hAnsi="仿宋" w:eastAsia="仿宋" w:cs="仿宋"/>
          <w:b/>
          <w:bCs/>
          <w:kern w:val="2"/>
          <w:sz w:val="28"/>
          <w:szCs w:val="28"/>
          <w:highlight w:val="none"/>
          <w:lang w:val="en-US" w:eastAsia="zh-CN" w:bidi="ar-SA"/>
        </w:rPr>
      </w:pPr>
    </w:p>
    <w:p w14:paraId="100B9E49">
      <w:pPr>
        <w:rPr>
          <w:rFonts w:hint="eastAsia" w:ascii="仿宋" w:hAnsi="仿宋" w:eastAsia="仿宋" w:cs="仿宋"/>
          <w:b/>
          <w:bCs/>
          <w:sz w:val="28"/>
          <w:szCs w:val="28"/>
        </w:rPr>
      </w:pPr>
    </w:p>
    <w:p w14:paraId="1CEE182E">
      <w:pPr>
        <w:rPr>
          <w:rFonts w:hint="eastAsia" w:ascii="仿宋" w:hAnsi="仿宋" w:eastAsia="仿宋" w:cs="仿宋"/>
          <w:b/>
          <w:bCs/>
          <w:sz w:val="28"/>
          <w:szCs w:val="28"/>
          <w:highlight w:val="none"/>
        </w:rPr>
      </w:pPr>
    </w:p>
    <w:p w14:paraId="1F536672">
      <w:pPr>
        <w:rPr>
          <w:rFonts w:hint="eastAsia" w:ascii="仿宋" w:hAnsi="仿宋" w:eastAsia="仿宋" w:cs="仿宋"/>
          <w:b/>
          <w:bCs/>
          <w:sz w:val="28"/>
          <w:szCs w:val="28"/>
          <w:lang w:val="en-US" w:eastAsia="zh-CN"/>
        </w:rPr>
      </w:pPr>
      <w:bookmarkStart w:id="308" w:name="_Toc3183"/>
      <w:r>
        <w:rPr>
          <w:rFonts w:hint="eastAsia" w:ascii="仿宋" w:hAnsi="仿宋" w:eastAsia="仿宋" w:cs="仿宋"/>
          <w:b/>
          <w:bCs/>
          <w:sz w:val="28"/>
          <w:szCs w:val="28"/>
          <w:lang w:val="en-US" w:eastAsia="zh-CN"/>
        </w:rPr>
        <w:br w:type="page"/>
      </w:r>
    </w:p>
    <w:p w14:paraId="5986B260">
      <w:pPr>
        <w:pStyle w:val="4"/>
        <w:spacing w:before="120" w:after="120"/>
        <w:jc w:val="center"/>
        <w:outlineLvl w:val="2"/>
        <w:rPr>
          <w:rFonts w:hint="eastAsia" w:ascii="仿宋" w:hAnsi="仿宋" w:eastAsia="仿宋" w:cs="仿宋"/>
          <w:b/>
          <w:bCs/>
          <w:sz w:val="28"/>
          <w:szCs w:val="28"/>
          <w:lang w:eastAsia="zh-CN"/>
        </w:rPr>
      </w:pPr>
      <w:bookmarkStart w:id="309" w:name="_Toc28397"/>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w:t>
      </w:r>
      <w:r>
        <w:rPr>
          <w:rFonts w:hint="eastAsia" w:ascii="仿宋" w:hAnsi="仿宋" w:eastAsia="仿宋" w:cs="仿宋"/>
          <w:b/>
          <w:bCs/>
          <w:sz w:val="28"/>
          <w:szCs w:val="28"/>
          <w:lang w:eastAsia="zh-CN"/>
        </w:rPr>
        <w:t>评分项</w:t>
      </w:r>
      <w:r>
        <w:rPr>
          <w:rFonts w:hint="eastAsia" w:ascii="仿宋" w:hAnsi="仿宋" w:eastAsia="仿宋" w:cs="仿宋"/>
          <w:b/>
          <w:bCs/>
          <w:sz w:val="28"/>
          <w:szCs w:val="28"/>
          <w:lang w:val="en-US" w:eastAsia="zh-CN"/>
        </w:rPr>
        <w:t>技术</w:t>
      </w:r>
      <w:r>
        <w:rPr>
          <w:rFonts w:hint="eastAsia" w:ascii="仿宋" w:hAnsi="仿宋" w:eastAsia="仿宋" w:cs="仿宋"/>
          <w:b/>
          <w:bCs/>
          <w:sz w:val="28"/>
          <w:szCs w:val="28"/>
          <w:lang w:eastAsia="zh-CN"/>
        </w:rPr>
        <w:t>部分证明文件</w:t>
      </w:r>
      <w:bookmarkEnd w:id="308"/>
      <w:bookmarkEnd w:id="309"/>
    </w:p>
    <w:p w14:paraId="2AA4F03E">
      <w:pPr>
        <w:outlineLvl w:val="3"/>
        <w:rPr>
          <w:rFonts w:hint="eastAsia" w:ascii="仿宋" w:hAnsi="仿宋" w:eastAsia="仿宋" w:cs="仿宋"/>
          <w:b/>
          <w:bCs/>
          <w:sz w:val="22"/>
          <w:szCs w:val="28"/>
        </w:rPr>
      </w:pPr>
      <w:bookmarkStart w:id="310" w:name="_Toc5306"/>
      <w:bookmarkStart w:id="311" w:name="_Toc29380"/>
      <w:r>
        <w:rPr>
          <w:rFonts w:hint="eastAsia" w:ascii="仿宋" w:hAnsi="仿宋" w:eastAsia="仿宋" w:cs="仿宋"/>
          <w:b/>
          <w:bCs/>
          <w:sz w:val="22"/>
          <w:szCs w:val="28"/>
        </w:rPr>
        <w:t>（一）</w:t>
      </w:r>
      <w:bookmarkEnd w:id="310"/>
      <w:bookmarkEnd w:id="311"/>
      <w:r>
        <w:rPr>
          <w:rFonts w:hint="eastAsia" w:ascii="仿宋" w:hAnsi="仿宋" w:eastAsia="仿宋" w:cs="仿宋"/>
          <w:b/>
          <w:bCs/>
          <w:sz w:val="22"/>
          <w:szCs w:val="28"/>
        </w:rPr>
        <w:t>修复及保护方案</w:t>
      </w:r>
    </w:p>
    <w:p w14:paraId="15CABDEB">
      <w:pPr>
        <w:jc w:val="left"/>
        <w:rPr>
          <w:rFonts w:hint="eastAsia" w:ascii="仿宋" w:hAnsi="仿宋" w:eastAsia="仿宋" w:cs="仿宋"/>
        </w:rPr>
      </w:pPr>
      <w:r>
        <w:rPr>
          <w:rFonts w:hint="eastAsia" w:ascii="仿宋" w:hAnsi="仿宋" w:eastAsia="仿宋" w:cs="仿宋"/>
        </w:rPr>
        <w:t>注：此处由投标人根据评分表要求内容及自身情况拟写。</w:t>
      </w:r>
    </w:p>
    <w:p w14:paraId="0EB8F848">
      <w:pPr>
        <w:rPr>
          <w:rFonts w:hint="eastAsia" w:ascii="仿宋" w:hAnsi="仿宋" w:eastAsia="仿宋" w:cs="仿宋"/>
        </w:rPr>
      </w:pPr>
    </w:p>
    <w:p w14:paraId="25C3F594">
      <w:pPr>
        <w:outlineLvl w:val="3"/>
        <w:rPr>
          <w:rFonts w:hint="eastAsia" w:ascii="仿宋" w:hAnsi="仿宋" w:eastAsia="仿宋" w:cs="仿宋"/>
          <w:b/>
          <w:bCs/>
          <w:sz w:val="22"/>
          <w:szCs w:val="28"/>
        </w:rPr>
      </w:pPr>
      <w:bookmarkStart w:id="312" w:name="_Toc17773"/>
      <w:bookmarkStart w:id="313" w:name="_Toc20358"/>
      <w:r>
        <w:rPr>
          <w:rFonts w:hint="eastAsia" w:ascii="仿宋" w:hAnsi="仿宋" w:eastAsia="仿宋" w:cs="仿宋"/>
          <w:b/>
          <w:bCs/>
          <w:sz w:val="22"/>
          <w:szCs w:val="28"/>
        </w:rPr>
        <w:t>（二）</w:t>
      </w:r>
      <w:bookmarkEnd w:id="312"/>
      <w:bookmarkEnd w:id="313"/>
      <w:r>
        <w:rPr>
          <w:rFonts w:hint="eastAsia" w:ascii="仿宋" w:hAnsi="仿宋" w:eastAsia="仿宋" w:cs="仿宋"/>
          <w:b/>
          <w:bCs/>
          <w:sz w:val="22"/>
          <w:szCs w:val="28"/>
        </w:rPr>
        <w:t>风险防范预案</w:t>
      </w:r>
    </w:p>
    <w:p w14:paraId="723E456D">
      <w:pPr>
        <w:jc w:val="left"/>
        <w:rPr>
          <w:rFonts w:hint="eastAsia" w:ascii="仿宋" w:hAnsi="仿宋" w:eastAsia="仿宋" w:cs="仿宋"/>
        </w:rPr>
      </w:pPr>
      <w:r>
        <w:rPr>
          <w:rFonts w:hint="eastAsia" w:ascii="仿宋" w:hAnsi="仿宋" w:eastAsia="仿宋" w:cs="仿宋"/>
        </w:rPr>
        <w:t>注：此处由投标人根据评分表要求内容及自身情况拟写。</w:t>
      </w:r>
    </w:p>
    <w:p w14:paraId="689DABA4">
      <w:pPr>
        <w:rPr>
          <w:rFonts w:hint="eastAsia" w:ascii="仿宋" w:hAnsi="仿宋" w:eastAsia="仿宋" w:cs="仿宋"/>
        </w:rPr>
      </w:pPr>
    </w:p>
    <w:p w14:paraId="6769E200">
      <w:pPr>
        <w:outlineLvl w:val="3"/>
        <w:rPr>
          <w:rFonts w:hint="eastAsia" w:ascii="仿宋" w:hAnsi="仿宋" w:eastAsia="仿宋" w:cs="仿宋"/>
          <w:b/>
          <w:bCs/>
          <w:sz w:val="22"/>
          <w:szCs w:val="28"/>
        </w:rPr>
      </w:pPr>
      <w:bookmarkStart w:id="314" w:name="_Toc19211"/>
      <w:bookmarkStart w:id="315" w:name="_Toc21539"/>
      <w:r>
        <w:rPr>
          <w:rFonts w:hint="eastAsia" w:ascii="仿宋" w:hAnsi="仿宋" w:eastAsia="仿宋" w:cs="仿宋"/>
          <w:b/>
          <w:bCs/>
          <w:sz w:val="22"/>
          <w:szCs w:val="28"/>
        </w:rPr>
        <w:t>（三）</w:t>
      </w:r>
      <w:bookmarkEnd w:id="314"/>
      <w:bookmarkEnd w:id="315"/>
      <w:r>
        <w:rPr>
          <w:rFonts w:hint="eastAsia" w:ascii="仿宋" w:hAnsi="仿宋" w:eastAsia="仿宋" w:cs="仿宋"/>
          <w:b/>
          <w:bCs/>
          <w:sz w:val="22"/>
          <w:szCs w:val="28"/>
        </w:rPr>
        <w:t>应急处置方案</w:t>
      </w:r>
    </w:p>
    <w:p w14:paraId="50D3D742">
      <w:pPr>
        <w:jc w:val="left"/>
        <w:rPr>
          <w:rFonts w:hint="eastAsia" w:ascii="仿宋" w:hAnsi="仿宋" w:eastAsia="仿宋" w:cs="仿宋"/>
        </w:rPr>
      </w:pPr>
      <w:r>
        <w:rPr>
          <w:rFonts w:hint="eastAsia" w:ascii="仿宋" w:hAnsi="仿宋" w:eastAsia="仿宋" w:cs="仿宋"/>
        </w:rPr>
        <w:t>注：此处由投标人根据评分表要求内容及自身情况拟写。</w:t>
      </w:r>
    </w:p>
    <w:p w14:paraId="28F36F8C">
      <w:pPr>
        <w:rPr>
          <w:rFonts w:hint="eastAsia" w:ascii="仿宋" w:hAnsi="仿宋" w:eastAsia="仿宋" w:cs="仿宋"/>
        </w:rPr>
      </w:pPr>
    </w:p>
    <w:p w14:paraId="7A110093">
      <w:pPr>
        <w:outlineLvl w:val="3"/>
        <w:rPr>
          <w:rFonts w:hint="eastAsia" w:ascii="仿宋" w:hAnsi="仿宋" w:eastAsia="仿宋" w:cs="仿宋"/>
          <w:b/>
          <w:bCs/>
          <w:sz w:val="22"/>
          <w:szCs w:val="28"/>
        </w:rPr>
      </w:pPr>
      <w:bookmarkStart w:id="316" w:name="_Toc29521"/>
      <w:bookmarkStart w:id="317" w:name="_Toc16571"/>
      <w:r>
        <w:rPr>
          <w:rFonts w:hint="eastAsia" w:ascii="仿宋" w:hAnsi="仿宋" w:eastAsia="仿宋" w:cs="仿宋"/>
          <w:b/>
          <w:bCs/>
          <w:sz w:val="22"/>
          <w:szCs w:val="28"/>
        </w:rPr>
        <w:t>（四）</w:t>
      </w:r>
      <w:bookmarkEnd w:id="316"/>
      <w:bookmarkEnd w:id="317"/>
      <w:r>
        <w:rPr>
          <w:rFonts w:hint="eastAsia" w:ascii="仿宋" w:hAnsi="仿宋" w:eastAsia="仿宋" w:cs="仿宋"/>
          <w:b/>
          <w:bCs/>
          <w:sz w:val="22"/>
          <w:szCs w:val="28"/>
        </w:rPr>
        <w:t>违约承诺</w:t>
      </w:r>
    </w:p>
    <w:p w14:paraId="1BFE1EAD">
      <w:pPr>
        <w:jc w:val="left"/>
        <w:rPr>
          <w:rFonts w:hint="eastAsia" w:ascii="仿宋" w:hAnsi="仿宋" w:eastAsia="仿宋" w:cs="仿宋"/>
        </w:rPr>
      </w:pPr>
      <w:r>
        <w:rPr>
          <w:rFonts w:hint="eastAsia" w:ascii="仿宋" w:hAnsi="仿宋" w:eastAsia="仿宋" w:cs="仿宋"/>
        </w:rPr>
        <w:t>注：此处由投标人根据评分表要求的承诺内容及自身情况拟写。</w:t>
      </w:r>
    </w:p>
    <w:p w14:paraId="2828F59A">
      <w:pPr>
        <w:rPr>
          <w:rFonts w:hint="eastAsia" w:ascii="仿宋" w:hAnsi="仿宋" w:eastAsia="仿宋" w:cs="仿宋"/>
        </w:rPr>
      </w:pPr>
    </w:p>
    <w:p w14:paraId="4381BAA9">
      <w:pPr>
        <w:outlineLvl w:val="3"/>
        <w:rPr>
          <w:rFonts w:hint="eastAsia" w:ascii="仿宋" w:hAnsi="仿宋" w:eastAsia="仿宋" w:cs="仿宋"/>
          <w:b/>
          <w:bCs/>
          <w:sz w:val="22"/>
          <w:szCs w:val="28"/>
          <w:lang w:eastAsia="zh-CN"/>
        </w:rPr>
      </w:pPr>
      <w:bookmarkStart w:id="318" w:name="_Toc8961"/>
      <w:bookmarkStart w:id="319" w:name="_Toc21929"/>
      <w:r>
        <w:rPr>
          <w:rFonts w:hint="eastAsia" w:ascii="仿宋" w:hAnsi="仿宋" w:eastAsia="仿宋" w:cs="仿宋"/>
          <w:b/>
          <w:bCs/>
          <w:sz w:val="22"/>
          <w:szCs w:val="28"/>
        </w:rPr>
        <w:t>（五）</w:t>
      </w:r>
      <w:bookmarkEnd w:id="318"/>
      <w:bookmarkEnd w:id="319"/>
      <w:r>
        <w:rPr>
          <w:rFonts w:hint="eastAsia" w:ascii="仿宋" w:hAnsi="仿宋" w:eastAsia="仿宋" w:cs="仿宋"/>
          <w:b/>
          <w:bCs/>
          <w:sz w:val="22"/>
          <w:szCs w:val="28"/>
          <w:lang w:eastAsia="zh-CN"/>
        </w:rPr>
        <w:t>其他</w:t>
      </w:r>
    </w:p>
    <w:p w14:paraId="6DA06E70">
      <w:pPr>
        <w:jc w:val="left"/>
        <w:rPr>
          <w:rFonts w:hint="eastAsia" w:ascii="仿宋" w:hAnsi="仿宋" w:eastAsia="仿宋" w:cs="仿宋"/>
          <w:lang w:eastAsia="zh-CN"/>
        </w:rPr>
      </w:pPr>
      <w:r>
        <w:rPr>
          <w:rFonts w:hint="eastAsia" w:ascii="仿宋" w:hAnsi="仿宋" w:eastAsia="仿宋" w:cs="仿宋"/>
          <w:color w:val="000000"/>
          <w:szCs w:val="24"/>
        </w:rPr>
        <w:t>注：</w:t>
      </w:r>
      <w:r>
        <w:rPr>
          <w:rFonts w:hint="eastAsia" w:ascii="仿宋" w:hAnsi="仿宋" w:eastAsia="仿宋" w:cs="仿宋"/>
          <w:lang w:eastAsia="zh-CN"/>
        </w:rPr>
        <w:t>投标人认为需要展示的其他方案内容。</w:t>
      </w:r>
    </w:p>
    <w:p w14:paraId="1C41920E">
      <w:pPr>
        <w:rPr>
          <w:rFonts w:hint="eastAsia" w:ascii="仿宋" w:hAnsi="仿宋" w:eastAsia="仿宋" w:cs="仿宋"/>
          <w:b/>
          <w:bCs/>
          <w:sz w:val="28"/>
          <w:szCs w:val="28"/>
          <w:highlight w:val="none"/>
        </w:rPr>
      </w:pPr>
    </w:p>
    <w:p w14:paraId="5F31DCD9">
      <w:pP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br w:type="page"/>
      </w:r>
    </w:p>
    <w:p w14:paraId="290969A0">
      <w:pPr>
        <w:pStyle w:val="4"/>
        <w:spacing w:before="120" w:after="120"/>
        <w:jc w:val="center"/>
        <w:outlineLvl w:val="2"/>
        <w:rPr>
          <w:rFonts w:hint="eastAsia" w:ascii="仿宋" w:hAnsi="仿宋" w:eastAsia="仿宋" w:cs="仿宋"/>
          <w:b/>
          <w:bCs/>
          <w:sz w:val="28"/>
          <w:szCs w:val="28"/>
          <w:highlight w:val="none"/>
          <w:lang w:val="en-US" w:eastAsia="zh-CN"/>
        </w:rPr>
      </w:pPr>
      <w:bookmarkStart w:id="320" w:name="_Toc27886"/>
      <w:r>
        <w:rPr>
          <w:rFonts w:hint="eastAsia" w:ascii="仿宋" w:hAnsi="仿宋" w:eastAsia="仿宋" w:cs="仿宋"/>
          <w:b/>
          <w:bCs/>
          <w:sz w:val="28"/>
          <w:szCs w:val="28"/>
          <w:highlight w:val="none"/>
          <w:lang w:val="en-US" w:eastAsia="zh-CN"/>
        </w:rPr>
        <w:t>九、</w:t>
      </w:r>
      <w:bookmarkStart w:id="321" w:name="_Hlk72092634"/>
      <w:r>
        <w:rPr>
          <w:rFonts w:hint="eastAsia" w:ascii="仿宋" w:hAnsi="仿宋" w:eastAsia="仿宋" w:cs="仿宋"/>
          <w:b/>
          <w:bCs/>
          <w:sz w:val="28"/>
          <w:szCs w:val="28"/>
          <w:highlight w:val="none"/>
          <w:lang w:val="en-US" w:eastAsia="zh-CN"/>
        </w:rPr>
        <w:t>实质性条款响应情况表</w:t>
      </w:r>
      <w:bookmarkEnd w:id="320"/>
      <w:bookmarkEnd w:id="321"/>
    </w:p>
    <w:tbl>
      <w:tblPr>
        <w:tblStyle w:val="43"/>
        <w:tblW w:w="9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4293"/>
        <w:gridCol w:w="1372"/>
        <w:gridCol w:w="1372"/>
        <w:gridCol w:w="1374"/>
      </w:tblGrid>
      <w:tr w14:paraId="569D6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62" w:type="dxa"/>
            <w:vAlign w:val="center"/>
          </w:tcPr>
          <w:p w14:paraId="0F69D5D7">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b/>
                <w:bCs/>
                <w:color w:val="000000" w:themeColor="text1"/>
                <w:sz w:val="21"/>
                <w:szCs w:val="21"/>
                <w:highlight w:val="none"/>
                <w14:textFill>
                  <w14:solidFill>
                    <w14:schemeClr w14:val="tx1"/>
                  </w14:solidFill>
                </w14:textFill>
              </w:rPr>
            </w:pPr>
            <w:bookmarkStart w:id="322" w:name="_Hlk72092651"/>
            <w:r>
              <w:rPr>
                <w:rFonts w:hint="eastAsia" w:ascii="仿宋" w:hAnsi="仿宋" w:eastAsia="仿宋" w:cs="仿宋"/>
                <w:b/>
                <w:bCs/>
                <w:color w:val="000000" w:themeColor="text1"/>
                <w:sz w:val="21"/>
                <w:szCs w:val="21"/>
                <w:highlight w:val="none"/>
                <w14:textFill>
                  <w14:solidFill>
                    <w14:schemeClr w14:val="tx1"/>
                  </w14:solidFill>
                </w14:textFill>
              </w:rPr>
              <w:t>序号</w:t>
            </w:r>
          </w:p>
        </w:tc>
        <w:tc>
          <w:tcPr>
            <w:tcW w:w="4293" w:type="dxa"/>
            <w:vAlign w:val="center"/>
          </w:tcPr>
          <w:p w14:paraId="73230344">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实质性条款具体内容</w:t>
            </w:r>
          </w:p>
        </w:tc>
        <w:tc>
          <w:tcPr>
            <w:tcW w:w="1372" w:type="dxa"/>
            <w:vAlign w:val="center"/>
          </w:tcPr>
          <w:p w14:paraId="099A37DC">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投标响应</w:t>
            </w:r>
          </w:p>
        </w:tc>
        <w:tc>
          <w:tcPr>
            <w:tcW w:w="1372" w:type="dxa"/>
            <w:vAlign w:val="center"/>
          </w:tcPr>
          <w:p w14:paraId="066B70E2">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偏离情况</w:t>
            </w:r>
          </w:p>
        </w:tc>
        <w:tc>
          <w:tcPr>
            <w:tcW w:w="1374" w:type="dxa"/>
            <w:vAlign w:val="center"/>
          </w:tcPr>
          <w:p w14:paraId="2BE54098">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说明</w:t>
            </w:r>
          </w:p>
        </w:tc>
      </w:tr>
      <w:bookmarkEnd w:id="322"/>
      <w:tr w14:paraId="2582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62" w:type="dxa"/>
            <w:vAlign w:val="center"/>
          </w:tcPr>
          <w:p w14:paraId="01064E55">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sz w:val="24"/>
                <w:szCs w:val="32"/>
                <w:highlight w:val="none"/>
              </w:rPr>
              <w:t>1</w:t>
            </w:r>
          </w:p>
        </w:tc>
        <w:tc>
          <w:tcPr>
            <w:tcW w:w="4293" w:type="dxa"/>
            <w:vAlign w:val="center"/>
          </w:tcPr>
          <w:p w14:paraId="00F3039F">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★1.自中标人接收待修复标本之日起 30 个日历日内完成采购人指定的至少50件标本的修复， 60个日历日内完成采购人指定的至少100件标本的修复，剩余标本在120个日历日内完成修复。</w:t>
            </w:r>
          </w:p>
        </w:tc>
        <w:tc>
          <w:tcPr>
            <w:tcW w:w="1372" w:type="dxa"/>
          </w:tcPr>
          <w:p w14:paraId="757850FE">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000000" w:themeColor="text1"/>
                <w:sz w:val="21"/>
                <w:szCs w:val="21"/>
                <w:highlight w:val="none"/>
                <w14:textFill>
                  <w14:solidFill>
                    <w14:schemeClr w14:val="tx1"/>
                  </w14:solidFill>
                </w14:textFill>
              </w:rPr>
            </w:pPr>
          </w:p>
        </w:tc>
        <w:tc>
          <w:tcPr>
            <w:tcW w:w="1372" w:type="dxa"/>
          </w:tcPr>
          <w:p w14:paraId="15B1FE32">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000000" w:themeColor="text1"/>
                <w:sz w:val="21"/>
                <w:szCs w:val="21"/>
                <w:highlight w:val="none"/>
                <w14:textFill>
                  <w14:solidFill>
                    <w14:schemeClr w14:val="tx1"/>
                  </w14:solidFill>
                </w14:textFill>
              </w:rPr>
            </w:pPr>
          </w:p>
        </w:tc>
        <w:tc>
          <w:tcPr>
            <w:tcW w:w="1374" w:type="dxa"/>
          </w:tcPr>
          <w:p w14:paraId="6E0E12D6">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000000" w:themeColor="text1"/>
                <w:sz w:val="21"/>
                <w:szCs w:val="21"/>
                <w:highlight w:val="none"/>
                <w14:textFill>
                  <w14:solidFill>
                    <w14:schemeClr w14:val="tx1"/>
                  </w14:solidFill>
                </w14:textFill>
              </w:rPr>
            </w:pPr>
          </w:p>
        </w:tc>
      </w:tr>
      <w:tr w14:paraId="4882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62" w:type="dxa"/>
            <w:vAlign w:val="center"/>
          </w:tcPr>
          <w:p w14:paraId="06E7E171">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sz w:val="24"/>
                <w:szCs w:val="32"/>
                <w:highlight w:val="none"/>
                <w:lang w:val="en-US" w:eastAsia="zh-CN"/>
              </w:rPr>
              <w:t>2</w:t>
            </w:r>
          </w:p>
        </w:tc>
        <w:tc>
          <w:tcPr>
            <w:tcW w:w="4293" w:type="dxa"/>
            <w:vAlign w:val="center"/>
          </w:tcPr>
          <w:p w14:paraId="2905EA7A">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中标人负责将修复后的标本实物运抵采购人指定的地点，并负责提供标本实物的包装，以及保证包装应适合于运输距离、防潮、防震、防腐蚀和防粗暴装卸，确保标本实物安全无损运抵交货地点。在标本实物运抵采购人并验收合格前产生的一切不利后果，包括但不限于运输毁损、被盗或遗失等突发情形，均由中标人承担，并提供应对措施，以保障采购人权益。</w:t>
            </w:r>
          </w:p>
        </w:tc>
        <w:tc>
          <w:tcPr>
            <w:tcW w:w="1372" w:type="dxa"/>
          </w:tcPr>
          <w:p w14:paraId="34D8BA2C">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000000" w:themeColor="text1"/>
                <w:sz w:val="21"/>
                <w:szCs w:val="21"/>
                <w:highlight w:val="none"/>
                <w14:textFill>
                  <w14:solidFill>
                    <w14:schemeClr w14:val="tx1"/>
                  </w14:solidFill>
                </w14:textFill>
              </w:rPr>
            </w:pPr>
          </w:p>
        </w:tc>
        <w:tc>
          <w:tcPr>
            <w:tcW w:w="1372" w:type="dxa"/>
          </w:tcPr>
          <w:p w14:paraId="172DDA85">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000000" w:themeColor="text1"/>
                <w:sz w:val="21"/>
                <w:szCs w:val="21"/>
                <w:highlight w:val="none"/>
                <w14:textFill>
                  <w14:solidFill>
                    <w14:schemeClr w14:val="tx1"/>
                  </w14:solidFill>
                </w14:textFill>
              </w:rPr>
            </w:pPr>
          </w:p>
        </w:tc>
        <w:tc>
          <w:tcPr>
            <w:tcW w:w="1374" w:type="dxa"/>
          </w:tcPr>
          <w:p w14:paraId="74C8909D">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000000" w:themeColor="text1"/>
                <w:sz w:val="21"/>
                <w:szCs w:val="21"/>
                <w:highlight w:val="none"/>
                <w14:textFill>
                  <w14:solidFill>
                    <w14:schemeClr w14:val="tx1"/>
                  </w14:solidFill>
                </w14:textFill>
              </w:rPr>
            </w:pPr>
          </w:p>
        </w:tc>
      </w:tr>
      <w:tr w14:paraId="67C8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62" w:type="dxa"/>
            <w:vAlign w:val="center"/>
          </w:tcPr>
          <w:p w14:paraId="277C5A67">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sz w:val="24"/>
                <w:szCs w:val="32"/>
                <w:highlight w:val="none"/>
                <w:lang w:val="en-US" w:eastAsia="zh-CN"/>
              </w:rPr>
              <w:t>3</w:t>
            </w:r>
          </w:p>
        </w:tc>
        <w:tc>
          <w:tcPr>
            <w:tcW w:w="4293" w:type="dxa"/>
            <w:vAlign w:val="center"/>
          </w:tcPr>
          <w:p w14:paraId="75D1C0D6">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★2.标本运费、安全保障费、装卸摆放费等因交货产生的所有费用已包含在本项目总体费用中，采购人不再另行支付其他任何费用。</w:t>
            </w:r>
          </w:p>
        </w:tc>
        <w:tc>
          <w:tcPr>
            <w:tcW w:w="1372" w:type="dxa"/>
          </w:tcPr>
          <w:p w14:paraId="62CCB56F">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000000" w:themeColor="text1"/>
                <w:sz w:val="21"/>
                <w:szCs w:val="21"/>
                <w:highlight w:val="none"/>
                <w14:textFill>
                  <w14:solidFill>
                    <w14:schemeClr w14:val="tx1"/>
                  </w14:solidFill>
                </w14:textFill>
              </w:rPr>
            </w:pPr>
          </w:p>
        </w:tc>
        <w:tc>
          <w:tcPr>
            <w:tcW w:w="1372" w:type="dxa"/>
          </w:tcPr>
          <w:p w14:paraId="150F18D3">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000000" w:themeColor="text1"/>
                <w:sz w:val="21"/>
                <w:szCs w:val="21"/>
                <w:highlight w:val="none"/>
                <w14:textFill>
                  <w14:solidFill>
                    <w14:schemeClr w14:val="tx1"/>
                  </w14:solidFill>
                </w14:textFill>
              </w:rPr>
            </w:pPr>
          </w:p>
        </w:tc>
        <w:tc>
          <w:tcPr>
            <w:tcW w:w="1374" w:type="dxa"/>
          </w:tcPr>
          <w:p w14:paraId="0A5A7AFF">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000000" w:themeColor="text1"/>
                <w:sz w:val="21"/>
                <w:szCs w:val="21"/>
                <w:highlight w:val="none"/>
                <w14:textFill>
                  <w14:solidFill>
                    <w14:schemeClr w14:val="tx1"/>
                  </w14:solidFill>
                </w14:textFill>
              </w:rPr>
            </w:pPr>
          </w:p>
        </w:tc>
      </w:tr>
      <w:tr w14:paraId="69BD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62" w:type="dxa"/>
            <w:vAlign w:val="center"/>
          </w:tcPr>
          <w:p w14:paraId="4086C705">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sz w:val="24"/>
                <w:szCs w:val="32"/>
                <w:highlight w:val="none"/>
                <w:lang w:val="en-US" w:eastAsia="zh-CN"/>
              </w:rPr>
              <w:t>4</w:t>
            </w:r>
          </w:p>
        </w:tc>
        <w:tc>
          <w:tcPr>
            <w:tcW w:w="4293" w:type="dxa"/>
            <w:vAlign w:val="center"/>
          </w:tcPr>
          <w:p w14:paraId="31C26AD9">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★（六）保密要求</w:t>
            </w:r>
          </w:p>
          <w:p w14:paraId="228F1F4A">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中标人须严格遵守保密义务，不得擅自研究、翻制或泄露化石相关信息。 </w:t>
            </w:r>
          </w:p>
        </w:tc>
        <w:tc>
          <w:tcPr>
            <w:tcW w:w="1372" w:type="dxa"/>
          </w:tcPr>
          <w:p w14:paraId="1F89FDEF">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000000" w:themeColor="text1"/>
                <w:sz w:val="21"/>
                <w:szCs w:val="21"/>
                <w:highlight w:val="none"/>
                <w14:textFill>
                  <w14:solidFill>
                    <w14:schemeClr w14:val="tx1"/>
                  </w14:solidFill>
                </w14:textFill>
              </w:rPr>
            </w:pPr>
          </w:p>
        </w:tc>
        <w:tc>
          <w:tcPr>
            <w:tcW w:w="1372" w:type="dxa"/>
          </w:tcPr>
          <w:p w14:paraId="1481B8D4">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000000" w:themeColor="text1"/>
                <w:sz w:val="21"/>
                <w:szCs w:val="21"/>
                <w:highlight w:val="none"/>
                <w14:textFill>
                  <w14:solidFill>
                    <w14:schemeClr w14:val="tx1"/>
                  </w14:solidFill>
                </w14:textFill>
              </w:rPr>
            </w:pPr>
          </w:p>
        </w:tc>
        <w:tc>
          <w:tcPr>
            <w:tcW w:w="1374" w:type="dxa"/>
          </w:tcPr>
          <w:p w14:paraId="639B099D">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000000" w:themeColor="text1"/>
                <w:sz w:val="21"/>
                <w:szCs w:val="21"/>
                <w:highlight w:val="none"/>
                <w14:textFill>
                  <w14:solidFill>
                    <w14:schemeClr w14:val="tx1"/>
                  </w14:solidFill>
                </w14:textFill>
              </w:rPr>
            </w:pPr>
          </w:p>
        </w:tc>
      </w:tr>
    </w:tbl>
    <w:p w14:paraId="6C7873BD">
      <w:pPr>
        <w:rPr>
          <w:rFonts w:hint="eastAsia" w:ascii="仿宋" w:hAnsi="仿宋" w:eastAsia="仿宋" w:cs="仿宋"/>
          <w:b/>
          <w:color w:val="000000" w:themeColor="text1"/>
          <w:sz w:val="21"/>
          <w:szCs w:val="21"/>
          <w:highlight w:val="none"/>
          <w14:textFill>
            <w14:solidFill>
              <w14:schemeClr w14:val="tx1"/>
            </w14:solidFill>
          </w14:textFill>
        </w:rPr>
      </w:pPr>
    </w:p>
    <w:p w14:paraId="53BAB930">
      <w:pPr>
        <w:ind w:firstLine="420" w:firstLineChars="20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注：</w:t>
      </w:r>
    </w:p>
    <w:p w14:paraId="7FEAD27E">
      <w:pPr>
        <w:ind w:firstLine="420" w:firstLineChars="20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1. 上表所列各项均为不可负偏离条款</w:t>
      </w:r>
      <w:r>
        <w:rPr>
          <w:rFonts w:hint="eastAsia" w:ascii="仿宋" w:hAnsi="仿宋" w:eastAsia="仿宋" w:cs="仿宋"/>
          <w:color w:val="000000"/>
          <w:highlight w:val="none"/>
        </w:rPr>
        <w:t>，投标文件对其中任意一条不满足的将作投标无效处理</w:t>
      </w:r>
      <w:r>
        <w:rPr>
          <w:rFonts w:hint="eastAsia" w:ascii="仿宋" w:hAnsi="仿宋" w:eastAsia="仿宋" w:cs="仿宋"/>
          <w:b w:val="0"/>
          <w:bCs/>
          <w:color w:val="000000" w:themeColor="text1"/>
          <w:sz w:val="21"/>
          <w:szCs w:val="21"/>
          <w:highlight w:val="none"/>
          <w14:textFill>
            <w14:solidFill>
              <w14:schemeClr w14:val="tx1"/>
            </w14:solidFill>
          </w14:textFill>
        </w:rPr>
        <w:t>。</w:t>
      </w:r>
    </w:p>
    <w:p w14:paraId="1A67E0C3">
      <w:pPr>
        <w:ind w:firstLine="420" w:firstLineChars="20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2.“投标响应”一栏应当详细填写投标人自身响应情况。</w:t>
      </w:r>
    </w:p>
    <w:p w14:paraId="69342338">
      <w:pPr>
        <w:ind w:firstLine="420" w:firstLineChars="20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1A1FD684">
      <w:pPr>
        <w:ind w:firstLine="420" w:firstLineChars="20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4.评审委员会有权对投标响应情况作出判断（作出评审结论）。</w:t>
      </w:r>
    </w:p>
    <w:p w14:paraId="3C369121">
      <w:pPr>
        <w:ind w:firstLine="420" w:firstLineChars="20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5.实质性响应条款“投标响应情况”与投标文件其它内容冲突的，以实质性响应条款“投标响应情况”为准。</w:t>
      </w:r>
    </w:p>
    <w:p w14:paraId="18F74C39">
      <w:pPr>
        <w:pageBreakBefore w:val="0"/>
        <w:widowControl w:val="0"/>
        <w:kinsoku/>
        <w:wordWrap/>
        <w:overflowPunct/>
        <w:topLinePunct w:val="0"/>
        <w:autoSpaceDE/>
        <w:autoSpaceDN/>
        <w:bidi w:val="0"/>
        <w:adjustRightInd/>
        <w:snapToGrid/>
        <w:spacing w:before="120" w:after="120"/>
        <w:jc w:val="center"/>
        <w:textAlignment w:val="auto"/>
        <w:outlineLvl w:val="9"/>
        <w:rPr>
          <w:rFonts w:hint="eastAsia" w:ascii="仿宋" w:hAnsi="仿宋" w:eastAsia="仿宋" w:cs="仿宋"/>
          <w:b/>
          <w:bCs/>
          <w:sz w:val="28"/>
          <w:szCs w:val="28"/>
          <w:highlight w:val="none"/>
          <w:lang w:eastAsia="zh-CN"/>
        </w:rPr>
      </w:pPr>
    </w:p>
    <w:p w14:paraId="5FD66E27">
      <w:pPr>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br w:type="page"/>
      </w:r>
    </w:p>
    <w:p w14:paraId="5C61C32C">
      <w:pPr>
        <w:pStyle w:val="4"/>
        <w:spacing w:before="120" w:after="120"/>
        <w:jc w:val="center"/>
        <w:outlineLvl w:val="2"/>
        <w:rPr>
          <w:rFonts w:hint="eastAsia" w:ascii="仿宋" w:hAnsi="仿宋" w:eastAsia="仿宋" w:cs="仿宋"/>
          <w:b/>
          <w:bCs/>
          <w:sz w:val="28"/>
          <w:szCs w:val="28"/>
          <w:highlight w:val="none"/>
          <w:lang w:val="en-US" w:eastAsia="zh-CN"/>
        </w:rPr>
      </w:pPr>
      <w:bookmarkStart w:id="323" w:name="_Toc16734"/>
      <w:r>
        <w:rPr>
          <w:rFonts w:hint="eastAsia" w:ascii="仿宋" w:hAnsi="仿宋" w:eastAsia="仿宋" w:cs="仿宋"/>
          <w:b/>
          <w:bCs/>
          <w:sz w:val="28"/>
          <w:szCs w:val="28"/>
          <w:highlight w:val="none"/>
          <w:lang w:val="en-US" w:eastAsia="zh-CN"/>
        </w:rPr>
        <w:t>十、</w:t>
      </w:r>
      <w:r>
        <w:rPr>
          <w:rFonts w:hint="eastAsia" w:ascii="仿宋" w:hAnsi="仿宋" w:eastAsia="仿宋" w:cs="仿宋"/>
          <w:b/>
          <w:bCs/>
          <w:sz w:val="28"/>
          <w:szCs w:val="28"/>
          <w:highlight w:val="none"/>
        </w:rPr>
        <w:t>服务条款偏离表</w:t>
      </w:r>
      <w:bookmarkEnd w:id="323"/>
    </w:p>
    <w:p w14:paraId="3A7F119E">
      <w:pPr>
        <w:spacing w:line="360" w:lineRule="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投标人名称：                               项目编号：UHOSZC20250792</w:t>
      </w:r>
    </w:p>
    <w:tbl>
      <w:tblPr>
        <w:tblStyle w:val="43"/>
        <w:tblW w:w="8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4966"/>
        <w:gridCol w:w="1333"/>
        <w:gridCol w:w="852"/>
        <w:gridCol w:w="598"/>
      </w:tblGrid>
      <w:tr w14:paraId="3659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817" w:type="dxa"/>
            <w:noWrap w:val="0"/>
            <w:vAlign w:val="center"/>
          </w:tcPr>
          <w:p w14:paraId="0FA5D9C6">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序号</w:t>
            </w:r>
          </w:p>
        </w:tc>
        <w:tc>
          <w:tcPr>
            <w:tcW w:w="3731" w:type="dxa"/>
            <w:noWrap w:val="0"/>
            <w:vAlign w:val="center"/>
          </w:tcPr>
          <w:p w14:paraId="25BCEA83">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招标服务</w:t>
            </w:r>
            <w:r>
              <w:rPr>
                <w:rFonts w:hint="eastAsia" w:ascii="仿宋" w:hAnsi="仿宋" w:eastAsia="仿宋" w:cs="仿宋"/>
                <w:b/>
                <w:bCs/>
                <w:color w:val="000000"/>
                <w:szCs w:val="21"/>
                <w:highlight w:val="none"/>
                <w:lang w:eastAsia="zh-CN"/>
              </w:rPr>
              <w:t>条款</w:t>
            </w:r>
          </w:p>
        </w:tc>
        <w:tc>
          <w:tcPr>
            <w:tcW w:w="1980" w:type="dxa"/>
            <w:noWrap w:val="0"/>
            <w:vAlign w:val="center"/>
          </w:tcPr>
          <w:p w14:paraId="2FB72D68">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投标服务响应</w:t>
            </w:r>
          </w:p>
        </w:tc>
        <w:tc>
          <w:tcPr>
            <w:tcW w:w="1155" w:type="dxa"/>
            <w:noWrap w:val="0"/>
            <w:vAlign w:val="center"/>
          </w:tcPr>
          <w:p w14:paraId="5E025F7E">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偏离情况</w:t>
            </w:r>
          </w:p>
        </w:tc>
        <w:tc>
          <w:tcPr>
            <w:tcW w:w="720" w:type="dxa"/>
            <w:noWrap w:val="0"/>
            <w:vAlign w:val="center"/>
          </w:tcPr>
          <w:p w14:paraId="239A2F0C">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说明</w:t>
            </w:r>
          </w:p>
        </w:tc>
      </w:tr>
      <w:tr w14:paraId="0B3C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7" w:type="dxa"/>
            <w:noWrap w:val="0"/>
            <w:vAlign w:val="center"/>
          </w:tcPr>
          <w:p w14:paraId="5EE9D38C">
            <w:pPr>
              <w:keepNext w:val="0"/>
              <w:keepLines w:val="0"/>
              <w:suppressLineNumbers w:val="0"/>
              <w:spacing w:before="0" w:beforeAutospacing="0" w:after="0" w:afterAutospacing="0"/>
              <w:ind w:left="0" w:right="0"/>
              <w:jc w:val="center"/>
              <w:rPr>
                <w:rFonts w:hint="eastAsia" w:ascii="仿宋" w:hAnsi="仿宋" w:eastAsia="仿宋" w:cs="仿宋"/>
                <w:bCs/>
                <w:color w:val="000000"/>
                <w:szCs w:val="21"/>
                <w:highlight w:val="none"/>
                <w:lang w:val="en-US" w:eastAsia="zh-CN"/>
              </w:rPr>
            </w:pPr>
            <w:r>
              <w:rPr>
                <w:rFonts w:hint="eastAsia" w:ascii="仿宋" w:hAnsi="仿宋" w:eastAsia="仿宋" w:cs="仿宋"/>
                <w:bCs/>
                <w:color w:val="000000"/>
                <w:szCs w:val="21"/>
                <w:highlight w:val="none"/>
                <w:lang w:val="en-US" w:eastAsia="zh-CN"/>
              </w:rPr>
              <w:t>1</w:t>
            </w:r>
          </w:p>
        </w:tc>
        <w:tc>
          <w:tcPr>
            <w:tcW w:w="3731" w:type="dxa"/>
            <w:noWrap w:val="0"/>
            <w:vAlign w:val="center"/>
          </w:tcPr>
          <w:p w14:paraId="41AA1488">
            <w:pPr>
              <w:pStyle w:val="37"/>
              <w:keepNext w:val="0"/>
              <w:keepLines w:val="0"/>
              <w:widowControl w:val="0"/>
              <w:suppressLineNumbers w:val="0"/>
              <w:autoSpaceDE w:val="0"/>
              <w:autoSpaceDN/>
              <w:spacing w:before="0" w:beforeAutospacing="1" w:after="0" w:afterAutospacing="0" w:line="360" w:lineRule="auto"/>
              <w:ind w:left="0" w:right="0" w:firstLine="482" w:firstLineChars="200"/>
              <w:jc w:val="both"/>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bidi="ar"/>
              </w:rPr>
              <w:t>（一）项目服务内容及要求</w:t>
            </w:r>
          </w:p>
          <w:p w14:paraId="14983480">
            <w:pPr>
              <w:pStyle w:val="37"/>
              <w:keepNext w:val="0"/>
              <w:keepLines w:val="0"/>
              <w:widowControl w:val="0"/>
              <w:suppressLineNumbers w:val="0"/>
              <w:autoSpaceDE w:val="0"/>
              <w:autoSpaceDN/>
              <w:spacing w:before="0" w:beforeAutospacing="1"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按照采购人要求修复不少于160件古生物化石标本（具体规格见附件1），项目支付上限400万元。其中板状化石数量约45%、立体保存化石数量约55%。</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76"/>
              <w:gridCol w:w="876"/>
              <w:gridCol w:w="1116"/>
              <w:gridCol w:w="996"/>
              <w:gridCol w:w="876"/>
            </w:tblGrid>
            <w:tr w14:paraId="7650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3DB1395C">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序号</w:t>
                  </w:r>
                </w:p>
              </w:tc>
              <w:tc>
                <w:tcPr>
                  <w:tcW w:w="1066" w:type="pct"/>
                  <w:tcBorders>
                    <w:top w:val="single" w:color="auto" w:sz="4" w:space="0"/>
                    <w:left w:val="nil"/>
                    <w:bottom w:val="single" w:color="auto" w:sz="4" w:space="0"/>
                    <w:right w:val="single" w:color="auto" w:sz="4" w:space="0"/>
                  </w:tcBorders>
                  <w:shd w:val="clear" w:color="auto" w:fill="auto"/>
                  <w:vAlign w:val="center"/>
                </w:tcPr>
                <w:p w14:paraId="07694296">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类别</w:t>
                  </w:r>
                </w:p>
              </w:tc>
              <w:tc>
                <w:tcPr>
                  <w:tcW w:w="1466" w:type="pct"/>
                  <w:tcBorders>
                    <w:top w:val="single" w:color="auto" w:sz="4" w:space="0"/>
                    <w:left w:val="nil"/>
                    <w:bottom w:val="single" w:color="auto" w:sz="4" w:space="0"/>
                    <w:right w:val="single" w:color="auto" w:sz="4" w:space="0"/>
                  </w:tcBorders>
                  <w:shd w:val="clear" w:color="auto" w:fill="auto"/>
                  <w:vAlign w:val="center"/>
                </w:tcPr>
                <w:p w14:paraId="0EBC7569">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面积（平方米）</w:t>
                  </w:r>
                </w:p>
              </w:tc>
              <w:tc>
                <w:tcPr>
                  <w:tcW w:w="1057" w:type="pct"/>
                  <w:tcBorders>
                    <w:top w:val="single" w:color="auto" w:sz="4" w:space="0"/>
                    <w:left w:val="nil"/>
                    <w:bottom w:val="single" w:color="auto" w:sz="4" w:space="0"/>
                    <w:right w:val="single" w:color="auto" w:sz="4" w:space="0"/>
                  </w:tcBorders>
                  <w:shd w:val="clear" w:color="auto" w:fill="auto"/>
                  <w:vAlign w:val="center"/>
                </w:tcPr>
                <w:p w14:paraId="72EA6474">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修复费用基准价（万元/件）</w:t>
                  </w:r>
                </w:p>
              </w:tc>
              <w:tc>
                <w:tcPr>
                  <w:tcW w:w="770" w:type="pct"/>
                  <w:tcBorders>
                    <w:top w:val="single" w:color="auto" w:sz="4" w:space="0"/>
                    <w:left w:val="nil"/>
                    <w:bottom w:val="single" w:color="auto" w:sz="4" w:space="0"/>
                    <w:right w:val="single" w:color="auto" w:sz="4" w:space="0"/>
                  </w:tcBorders>
                  <w:shd w:val="clear" w:color="auto" w:fill="auto"/>
                  <w:vAlign w:val="center"/>
                </w:tcPr>
                <w:p w14:paraId="0C0E6081">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备注</w:t>
                  </w:r>
                </w:p>
              </w:tc>
            </w:tr>
            <w:tr w14:paraId="1DAB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00885F74">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w:t>
                  </w:r>
                </w:p>
              </w:tc>
              <w:tc>
                <w:tcPr>
                  <w:tcW w:w="1066" w:type="pct"/>
                  <w:vMerge w:val="restart"/>
                  <w:tcBorders>
                    <w:top w:val="nil"/>
                    <w:left w:val="nil"/>
                    <w:bottom w:val="single" w:color="auto" w:sz="4" w:space="0"/>
                    <w:right w:val="single" w:color="auto" w:sz="4" w:space="0"/>
                  </w:tcBorders>
                  <w:shd w:val="clear" w:color="auto" w:fill="auto"/>
                  <w:vAlign w:val="center"/>
                </w:tcPr>
                <w:p w14:paraId="63999E12">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kern w:val="2"/>
                      <w:sz w:val="24"/>
                      <w:szCs w:val="24"/>
                      <w:lang w:val="en-US" w:eastAsia="zh-CN" w:bidi="ar"/>
                    </w:rPr>
                    <w:t>板状化石</w:t>
                  </w:r>
                </w:p>
              </w:tc>
              <w:tc>
                <w:tcPr>
                  <w:tcW w:w="1466" w:type="pct"/>
                  <w:tcBorders>
                    <w:top w:val="single" w:color="auto" w:sz="4" w:space="0"/>
                    <w:left w:val="nil"/>
                    <w:bottom w:val="single" w:color="auto" w:sz="4" w:space="0"/>
                    <w:right w:val="single" w:color="auto" w:sz="4" w:space="0"/>
                  </w:tcBorders>
                  <w:shd w:val="clear" w:color="auto" w:fill="auto"/>
                  <w:vAlign w:val="center"/>
                </w:tcPr>
                <w:p w14:paraId="23A32FE4">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0.04（含）以下</w:t>
                  </w:r>
                </w:p>
              </w:tc>
              <w:tc>
                <w:tcPr>
                  <w:tcW w:w="1057" w:type="pct"/>
                  <w:tcBorders>
                    <w:top w:val="single" w:color="auto" w:sz="4" w:space="0"/>
                    <w:left w:val="nil"/>
                    <w:bottom w:val="single" w:color="auto" w:sz="4" w:space="0"/>
                    <w:right w:val="single" w:color="auto" w:sz="4" w:space="0"/>
                  </w:tcBorders>
                  <w:shd w:val="clear" w:color="auto" w:fill="auto"/>
                  <w:vAlign w:val="center"/>
                </w:tcPr>
                <w:p w14:paraId="3AFB8AF9">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0.5</w:t>
                  </w:r>
                </w:p>
              </w:tc>
              <w:tc>
                <w:tcPr>
                  <w:tcW w:w="770" w:type="pct"/>
                  <w:tcBorders>
                    <w:top w:val="single" w:color="auto" w:sz="4" w:space="0"/>
                    <w:left w:val="nil"/>
                    <w:bottom w:val="single" w:color="auto" w:sz="4" w:space="0"/>
                    <w:right w:val="single" w:color="auto" w:sz="4" w:space="0"/>
                  </w:tcBorders>
                  <w:shd w:val="clear" w:color="auto" w:fill="auto"/>
                  <w:vAlign w:val="center"/>
                </w:tcPr>
                <w:p w14:paraId="003F066C">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p>
              </w:tc>
            </w:tr>
            <w:tr w14:paraId="327C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3A63B390">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2</w:t>
                  </w:r>
                </w:p>
              </w:tc>
              <w:tc>
                <w:tcPr>
                  <w:tcW w:w="1066" w:type="pct"/>
                  <w:vMerge w:val="continue"/>
                  <w:tcBorders>
                    <w:top w:val="nil"/>
                    <w:left w:val="nil"/>
                    <w:bottom w:val="single" w:color="auto" w:sz="4" w:space="0"/>
                    <w:right w:val="single" w:color="auto" w:sz="4" w:space="0"/>
                  </w:tcBorders>
                  <w:shd w:val="clear" w:color="auto" w:fill="auto"/>
                  <w:vAlign w:val="center"/>
                </w:tcPr>
                <w:p w14:paraId="39B42502">
                  <w:pPr>
                    <w:pStyle w:val="37"/>
                    <w:keepNext w:val="0"/>
                    <w:keepLines w:val="0"/>
                    <w:widowControl w:val="0"/>
                    <w:suppressLineNumbers w:val="0"/>
                    <w:autoSpaceDE w:val="0"/>
                    <w:spacing w:beforeAutospacing="1" w:line="360" w:lineRule="auto"/>
                    <w:ind w:left="0" w:right="0" w:firstLine="400" w:firstLineChars="200"/>
                    <w:rPr>
                      <w:rFonts w:hint="default" w:ascii="Times New Roman" w:hAnsi="Times New Roman" w:cs="Times New Roman"/>
                      <w:sz w:val="20"/>
                      <w:szCs w:val="20"/>
                    </w:rPr>
                  </w:pPr>
                </w:p>
              </w:tc>
              <w:tc>
                <w:tcPr>
                  <w:tcW w:w="1466" w:type="pct"/>
                  <w:tcBorders>
                    <w:top w:val="single" w:color="auto" w:sz="4" w:space="0"/>
                    <w:left w:val="nil"/>
                    <w:bottom w:val="single" w:color="auto" w:sz="4" w:space="0"/>
                    <w:right w:val="single" w:color="auto" w:sz="4" w:space="0"/>
                  </w:tcBorders>
                  <w:shd w:val="clear" w:color="auto" w:fill="auto"/>
                  <w:vAlign w:val="center"/>
                </w:tcPr>
                <w:p w14:paraId="59BFF012">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0.04（不含）-0.25（含）</w:t>
                  </w:r>
                </w:p>
              </w:tc>
              <w:tc>
                <w:tcPr>
                  <w:tcW w:w="1057" w:type="pct"/>
                  <w:tcBorders>
                    <w:top w:val="single" w:color="auto" w:sz="4" w:space="0"/>
                    <w:left w:val="nil"/>
                    <w:bottom w:val="single" w:color="auto" w:sz="4" w:space="0"/>
                    <w:right w:val="single" w:color="auto" w:sz="4" w:space="0"/>
                  </w:tcBorders>
                  <w:shd w:val="clear" w:color="auto" w:fill="auto"/>
                  <w:vAlign w:val="center"/>
                </w:tcPr>
                <w:p w14:paraId="4E5FB096">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w:t>
                  </w:r>
                </w:p>
              </w:tc>
              <w:tc>
                <w:tcPr>
                  <w:tcW w:w="770" w:type="pct"/>
                  <w:tcBorders>
                    <w:top w:val="single" w:color="auto" w:sz="4" w:space="0"/>
                    <w:left w:val="nil"/>
                    <w:bottom w:val="single" w:color="auto" w:sz="4" w:space="0"/>
                    <w:right w:val="single" w:color="auto" w:sz="4" w:space="0"/>
                  </w:tcBorders>
                  <w:shd w:val="clear" w:color="auto" w:fill="auto"/>
                  <w:vAlign w:val="center"/>
                </w:tcPr>
                <w:p w14:paraId="05F6DC05">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p>
              </w:tc>
            </w:tr>
            <w:tr w14:paraId="27C5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543D8B87">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3</w:t>
                  </w:r>
                </w:p>
              </w:tc>
              <w:tc>
                <w:tcPr>
                  <w:tcW w:w="1066" w:type="pct"/>
                  <w:vMerge w:val="continue"/>
                  <w:tcBorders>
                    <w:top w:val="nil"/>
                    <w:left w:val="nil"/>
                    <w:bottom w:val="single" w:color="auto" w:sz="4" w:space="0"/>
                    <w:right w:val="single" w:color="auto" w:sz="4" w:space="0"/>
                  </w:tcBorders>
                  <w:shd w:val="clear" w:color="auto" w:fill="auto"/>
                  <w:vAlign w:val="center"/>
                </w:tcPr>
                <w:p w14:paraId="09FE72F8">
                  <w:pPr>
                    <w:pStyle w:val="37"/>
                    <w:keepNext w:val="0"/>
                    <w:keepLines w:val="0"/>
                    <w:widowControl w:val="0"/>
                    <w:suppressLineNumbers w:val="0"/>
                    <w:autoSpaceDE w:val="0"/>
                    <w:spacing w:beforeAutospacing="1" w:line="360" w:lineRule="auto"/>
                    <w:ind w:left="0" w:right="0" w:firstLine="400" w:firstLineChars="200"/>
                    <w:rPr>
                      <w:rFonts w:hint="default" w:ascii="Times New Roman" w:hAnsi="Times New Roman" w:cs="Times New Roman"/>
                      <w:sz w:val="20"/>
                      <w:szCs w:val="20"/>
                    </w:rPr>
                  </w:pPr>
                </w:p>
              </w:tc>
              <w:tc>
                <w:tcPr>
                  <w:tcW w:w="1466" w:type="pct"/>
                  <w:tcBorders>
                    <w:top w:val="single" w:color="auto" w:sz="4" w:space="0"/>
                    <w:left w:val="nil"/>
                    <w:bottom w:val="single" w:color="auto" w:sz="4" w:space="0"/>
                    <w:right w:val="single" w:color="auto" w:sz="4" w:space="0"/>
                  </w:tcBorders>
                  <w:shd w:val="clear" w:color="auto" w:fill="auto"/>
                  <w:vAlign w:val="center"/>
                </w:tcPr>
                <w:p w14:paraId="5ACC0BF3">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0.25（不含）-1（含）</w:t>
                  </w:r>
                </w:p>
              </w:tc>
              <w:tc>
                <w:tcPr>
                  <w:tcW w:w="1057" w:type="pct"/>
                  <w:tcBorders>
                    <w:top w:val="single" w:color="auto" w:sz="4" w:space="0"/>
                    <w:left w:val="nil"/>
                    <w:bottom w:val="single" w:color="auto" w:sz="4" w:space="0"/>
                    <w:right w:val="single" w:color="auto" w:sz="4" w:space="0"/>
                  </w:tcBorders>
                  <w:shd w:val="clear" w:color="auto" w:fill="auto"/>
                  <w:vAlign w:val="center"/>
                </w:tcPr>
                <w:p w14:paraId="263E5DAA">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3</w:t>
                  </w:r>
                </w:p>
              </w:tc>
              <w:tc>
                <w:tcPr>
                  <w:tcW w:w="770" w:type="pct"/>
                  <w:tcBorders>
                    <w:top w:val="single" w:color="auto" w:sz="4" w:space="0"/>
                    <w:left w:val="nil"/>
                    <w:bottom w:val="single" w:color="auto" w:sz="4" w:space="0"/>
                    <w:right w:val="single" w:color="auto" w:sz="4" w:space="0"/>
                  </w:tcBorders>
                  <w:shd w:val="clear" w:color="auto" w:fill="auto"/>
                  <w:vAlign w:val="center"/>
                </w:tcPr>
                <w:p w14:paraId="708B1A1B">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p>
              </w:tc>
            </w:tr>
            <w:tr w14:paraId="23A65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2F3A450F">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4</w:t>
                  </w:r>
                </w:p>
              </w:tc>
              <w:tc>
                <w:tcPr>
                  <w:tcW w:w="1066" w:type="pct"/>
                  <w:vMerge w:val="continue"/>
                  <w:tcBorders>
                    <w:top w:val="nil"/>
                    <w:left w:val="nil"/>
                    <w:bottom w:val="single" w:color="auto" w:sz="4" w:space="0"/>
                    <w:right w:val="single" w:color="auto" w:sz="4" w:space="0"/>
                  </w:tcBorders>
                  <w:shd w:val="clear" w:color="auto" w:fill="auto"/>
                  <w:vAlign w:val="center"/>
                </w:tcPr>
                <w:p w14:paraId="11E36396">
                  <w:pPr>
                    <w:pStyle w:val="37"/>
                    <w:keepNext w:val="0"/>
                    <w:keepLines w:val="0"/>
                    <w:widowControl w:val="0"/>
                    <w:suppressLineNumbers w:val="0"/>
                    <w:autoSpaceDE w:val="0"/>
                    <w:spacing w:beforeAutospacing="1" w:line="360" w:lineRule="auto"/>
                    <w:ind w:left="0" w:right="0" w:firstLine="400" w:firstLineChars="200"/>
                    <w:rPr>
                      <w:rFonts w:hint="default" w:ascii="Times New Roman" w:hAnsi="Times New Roman" w:cs="Times New Roman"/>
                      <w:sz w:val="20"/>
                      <w:szCs w:val="20"/>
                    </w:rPr>
                  </w:pPr>
                </w:p>
              </w:tc>
              <w:tc>
                <w:tcPr>
                  <w:tcW w:w="1466" w:type="pct"/>
                  <w:tcBorders>
                    <w:top w:val="single" w:color="auto" w:sz="4" w:space="0"/>
                    <w:left w:val="nil"/>
                    <w:bottom w:val="single" w:color="auto" w:sz="4" w:space="0"/>
                    <w:right w:val="single" w:color="auto" w:sz="4" w:space="0"/>
                  </w:tcBorders>
                  <w:shd w:val="clear" w:color="auto" w:fill="auto"/>
                  <w:vAlign w:val="center"/>
                </w:tcPr>
                <w:p w14:paraId="26528155">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1（不含）-5（含）</w:t>
                  </w:r>
                </w:p>
              </w:tc>
              <w:tc>
                <w:tcPr>
                  <w:tcW w:w="1057" w:type="pct"/>
                  <w:tcBorders>
                    <w:top w:val="single" w:color="auto" w:sz="4" w:space="0"/>
                    <w:left w:val="nil"/>
                    <w:bottom w:val="single" w:color="auto" w:sz="4" w:space="0"/>
                    <w:right w:val="single" w:color="auto" w:sz="4" w:space="0"/>
                  </w:tcBorders>
                  <w:shd w:val="clear" w:color="auto" w:fill="auto"/>
                  <w:vAlign w:val="center"/>
                </w:tcPr>
                <w:p w14:paraId="0D4096C3">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5</w:t>
                  </w:r>
                </w:p>
              </w:tc>
              <w:tc>
                <w:tcPr>
                  <w:tcW w:w="770" w:type="pct"/>
                  <w:tcBorders>
                    <w:top w:val="single" w:color="auto" w:sz="4" w:space="0"/>
                    <w:left w:val="nil"/>
                    <w:bottom w:val="single" w:color="auto" w:sz="4" w:space="0"/>
                    <w:right w:val="single" w:color="auto" w:sz="4" w:space="0"/>
                  </w:tcBorders>
                  <w:shd w:val="clear" w:color="auto" w:fill="auto"/>
                  <w:vAlign w:val="center"/>
                </w:tcPr>
                <w:p w14:paraId="43CE689E">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p>
              </w:tc>
            </w:tr>
            <w:tr w14:paraId="142B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32EA640A">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5</w:t>
                  </w:r>
                </w:p>
              </w:tc>
              <w:tc>
                <w:tcPr>
                  <w:tcW w:w="1066" w:type="pct"/>
                  <w:vMerge w:val="continue"/>
                  <w:tcBorders>
                    <w:top w:val="nil"/>
                    <w:left w:val="nil"/>
                    <w:bottom w:val="single" w:color="auto" w:sz="4" w:space="0"/>
                    <w:right w:val="single" w:color="auto" w:sz="4" w:space="0"/>
                  </w:tcBorders>
                  <w:shd w:val="clear" w:color="auto" w:fill="auto"/>
                  <w:vAlign w:val="center"/>
                </w:tcPr>
                <w:p w14:paraId="1A1195D0">
                  <w:pPr>
                    <w:pStyle w:val="37"/>
                    <w:keepNext w:val="0"/>
                    <w:keepLines w:val="0"/>
                    <w:widowControl w:val="0"/>
                    <w:suppressLineNumbers w:val="0"/>
                    <w:autoSpaceDE w:val="0"/>
                    <w:spacing w:beforeAutospacing="1" w:line="360" w:lineRule="auto"/>
                    <w:ind w:left="0" w:right="0" w:firstLine="400" w:firstLineChars="200"/>
                    <w:rPr>
                      <w:rFonts w:hint="default" w:ascii="Times New Roman" w:hAnsi="Times New Roman" w:cs="Times New Roman"/>
                      <w:sz w:val="20"/>
                      <w:szCs w:val="20"/>
                    </w:rPr>
                  </w:pPr>
                </w:p>
              </w:tc>
              <w:tc>
                <w:tcPr>
                  <w:tcW w:w="1466" w:type="pct"/>
                  <w:tcBorders>
                    <w:top w:val="single" w:color="auto" w:sz="4" w:space="0"/>
                    <w:left w:val="nil"/>
                    <w:bottom w:val="single" w:color="auto" w:sz="4" w:space="0"/>
                    <w:right w:val="single" w:color="auto" w:sz="4" w:space="0"/>
                  </w:tcBorders>
                  <w:shd w:val="clear" w:color="auto" w:fill="auto"/>
                  <w:vAlign w:val="center"/>
                </w:tcPr>
                <w:p w14:paraId="641356FA">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5（不含）-10（含）</w:t>
                  </w:r>
                </w:p>
              </w:tc>
              <w:tc>
                <w:tcPr>
                  <w:tcW w:w="1057" w:type="pct"/>
                  <w:tcBorders>
                    <w:top w:val="single" w:color="auto" w:sz="4" w:space="0"/>
                    <w:left w:val="nil"/>
                    <w:bottom w:val="single" w:color="auto" w:sz="4" w:space="0"/>
                    <w:right w:val="single" w:color="auto" w:sz="4" w:space="0"/>
                  </w:tcBorders>
                  <w:shd w:val="clear" w:color="auto" w:fill="auto"/>
                  <w:vAlign w:val="center"/>
                </w:tcPr>
                <w:p w14:paraId="097EEEC6">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10</w:t>
                  </w:r>
                </w:p>
              </w:tc>
              <w:tc>
                <w:tcPr>
                  <w:tcW w:w="770" w:type="pct"/>
                  <w:tcBorders>
                    <w:top w:val="single" w:color="auto" w:sz="4" w:space="0"/>
                    <w:left w:val="nil"/>
                    <w:bottom w:val="single" w:color="auto" w:sz="4" w:space="0"/>
                    <w:right w:val="single" w:color="auto" w:sz="4" w:space="0"/>
                  </w:tcBorders>
                  <w:shd w:val="clear" w:color="auto" w:fill="auto"/>
                  <w:vAlign w:val="center"/>
                </w:tcPr>
                <w:p w14:paraId="6A1DA168">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p>
              </w:tc>
            </w:tr>
            <w:tr w14:paraId="0482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41D884A6">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6</w:t>
                  </w:r>
                </w:p>
              </w:tc>
              <w:tc>
                <w:tcPr>
                  <w:tcW w:w="1066" w:type="pct"/>
                  <w:vMerge w:val="continue"/>
                  <w:tcBorders>
                    <w:top w:val="nil"/>
                    <w:left w:val="nil"/>
                    <w:bottom w:val="single" w:color="auto" w:sz="4" w:space="0"/>
                    <w:right w:val="single" w:color="auto" w:sz="4" w:space="0"/>
                  </w:tcBorders>
                  <w:shd w:val="clear" w:color="auto" w:fill="auto"/>
                  <w:vAlign w:val="center"/>
                </w:tcPr>
                <w:p w14:paraId="672E60D0">
                  <w:pPr>
                    <w:pStyle w:val="37"/>
                    <w:keepNext w:val="0"/>
                    <w:keepLines w:val="0"/>
                    <w:widowControl w:val="0"/>
                    <w:suppressLineNumbers w:val="0"/>
                    <w:autoSpaceDE w:val="0"/>
                    <w:spacing w:beforeAutospacing="1" w:line="360" w:lineRule="auto"/>
                    <w:ind w:left="0" w:right="0" w:firstLine="400" w:firstLineChars="200"/>
                    <w:rPr>
                      <w:rFonts w:hint="default" w:ascii="Times New Roman" w:hAnsi="Times New Roman" w:cs="Times New Roman"/>
                      <w:sz w:val="20"/>
                      <w:szCs w:val="20"/>
                    </w:rPr>
                  </w:pPr>
                </w:p>
              </w:tc>
              <w:tc>
                <w:tcPr>
                  <w:tcW w:w="1466" w:type="pct"/>
                  <w:tcBorders>
                    <w:top w:val="single" w:color="auto" w:sz="4" w:space="0"/>
                    <w:left w:val="nil"/>
                    <w:bottom w:val="single" w:color="auto" w:sz="4" w:space="0"/>
                    <w:right w:val="single" w:color="auto" w:sz="4" w:space="0"/>
                  </w:tcBorders>
                  <w:shd w:val="clear" w:color="auto" w:fill="auto"/>
                  <w:vAlign w:val="center"/>
                </w:tcPr>
                <w:p w14:paraId="1B2AF44D">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10（不含）以上</w:t>
                  </w:r>
                </w:p>
              </w:tc>
              <w:tc>
                <w:tcPr>
                  <w:tcW w:w="1057" w:type="pct"/>
                  <w:tcBorders>
                    <w:top w:val="single" w:color="auto" w:sz="4" w:space="0"/>
                    <w:left w:val="nil"/>
                    <w:bottom w:val="single" w:color="auto" w:sz="4" w:space="0"/>
                    <w:right w:val="single" w:color="auto" w:sz="4" w:space="0"/>
                  </w:tcBorders>
                  <w:shd w:val="clear" w:color="auto" w:fill="auto"/>
                  <w:vAlign w:val="center"/>
                </w:tcPr>
                <w:p w14:paraId="146DC20D">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32</w:t>
                  </w:r>
                </w:p>
              </w:tc>
              <w:tc>
                <w:tcPr>
                  <w:tcW w:w="770" w:type="pct"/>
                  <w:tcBorders>
                    <w:top w:val="single" w:color="auto" w:sz="4" w:space="0"/>
                    <w:left w:val="nil"/>
                    <w:bottom w:val="single" w:color="auto" w:sz="4" w:space="0"/>
                    <w:right w:val="single" w:color="auto" w:sz="4" w:space="0"/>
                  </w:tcBorders>
                  <w:shd w:val="clear" w:color="auto" w:fill="auto"/>
                  <w:vAlign w:val="center"/>
                </w:tcPr>
                <w:p w14:paraId="17C85CDF">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p>
              </w:tc>
            </w:tr>
            <w:tr w14:paraId="139F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5C952EC5">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7</w:t>
                  </w:r>
                </w:p>
              </w:tc>
              <w:tc>
                <w:tcPr>
                  <w:tcW w:w="1066" w:type="pct"/>
                  <w:vMerge w:val="restart"/>
                  <w:tcBorders>
                    <w:top w:val="nil"/>
                    <w:left w:val="nil"/>
                    <w:bottom w:val="single" w:color="auto" w:sz="4" w:space="0"/>
                    <w:right w:val="single" w:color="auto" w:sz="4" w:space="0"/>
                  </w:tcBorders>
                  <w:shd w:val="clear" w:color="auto" w:fill="auto"/>
                  <w:vAlign w:val="center"/>
                </w:tcPr>
                <w:p w14:paraId="71D84825">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kern w:val="2"/>
                      <w:sz w:val="24"/>
                      <w:szCs w:val="24"/>
                      <w:lang w:val="en-US" w:eastAsia="zh-CN" w:bidi="ar"/>
                    </w:rPr>
                    <w:t>立体保存化石</w:t>
                  </w:r>
                </w:p>
              </w:tc>
              <w:tc>
                <w:tcPr>
                  <w:tcW w:w="1466" w:type="pct"/>
                  <w:tcBorders>
                    <w:top w:val="single" w:color="auto" w:sz="4" w:space="0"/>
                    <w:left w:val="nil"/>
                    <w:bottom w:val="single" w:color="auto" w:sz="4" w:space="0"/>
                    <w:right w:val="single" w:color="auto" w:sz="4" w:space="0"/>
                  </w:tcBorders>
                  <w:shd w:val="clear" w:color="auto" w:fill="auto"/>
                  <w:vAlign w:val="center"/>
                </w:tcPr>
                <w:p w14:paraId="5D8D8783">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0.04（含）以下</w:t>
                  </w:r>
                </w:p>
              </w:tc>
              <w:tc>
                <w:tcPr>
                  <w:tcW w:w="1057" w:type="pct"/>
                  <w:tcBorders>
                    <w:top w:val="single" w:color="auto" w:sz="4" w:space="0"/>
                    <w:left w:val="nil"/>
                    <w:bottom w:val="single" w:color="auto" w:sz="4" w:space="0"/>
                    <w:right w:val="single" w:color="auto" w:sz="4" w:space="0"/>
                  </w:tcBorders>
                  <w:shd w:val="clear" w:color="auto" w:fill="auto"/>
                  <w:vAlign w:val="center"/>
                </w:tcPr>
                <w:p w14:paraId="082BA348">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0.5</w:t>
                  </w:r>
                </w:p>
              </w:tc>
              <w:tc>
                <w:tcPr>
                  <w:tcW w:w="770" w:type="pct"/>
                  <w:tcBorders>
                    <w:top w:val="single" w:color="auto" w:sz="4" w:space="0"/>
                    <w:left w:val="nil"/>
                    <w:bottom w:val="single" w:color="auto" w:sz="4" w:space="0"/>
                    <w:right w:val="single" w:color="auto" w:sz="4" w:space="0"/>
                  </w:tcBorders>
                  <w:shd w:val="clear" w:color="auto" w:fill="auto"/>
                  <w:vAlign w:val="center"/>
                </w:tcPr>
                <w:p w14:paraId="4E88FAE5">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p>
              </w:tc>
            </w:tr>
            <w:tr w14:paraId="25C0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09D307FE">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8</w:t>
                  </w:r>
                </w:p>
              </w:tc>
              <w:tc>
                <w:tcPr>
                  <w:tcW w:w="1066" w:type="pct"/>
                  <w:vMerge w:val="continue"/>
                  <w:tcBorders>
                    <w:top w:val="nil"/>
                    <w:left w:val="nil"/>
                    <w:bottom w:val="single" w:color="auto" w:sz="4" w:space="0"/>
                    <w:right w:val="single" w:color="auto" w:sz="4" w:space="0"/>
                  </w:tcBorders>
                  <w:shd w:val="clear" w:color="auto" w:fill="auto"/>
                  <w:vAlign w:val="center"/>
                </w:tcPr>
                <w:p w14:paraId="74A1AA16">
                  <w:pPr>
                    <w:pStyle w:val="37"/>
                    <w:keepNext w:val="0"/>
                    <w:keepLines w:val="0"/>
                    <w:widowControl w:val="0"/>
                    <w:suppressLineNumbers w:val="0"/>
                    <w:autoSpaceDE w:val="0"/>
                    <w:spacing w:beforeAutospacing="1" w:line="360" w:lineRule="auto"/>
                    <w:ind w:left="0" w:right="0" w:firstLine="400" w:firstLineChars="200"/>
                    <w:rPr>
                      <w:rFonts w:hint="default" w:ascii="Times New Roman" w:hAnsi="Times New Roman" w:cs="Times New Roman"/>
                      <w:sz w:val="20"/>
                      <w:szCs w:val="20"/>
                    </w:rPr>
                  </w:pPr>
                </w:p>
              </w:tc>
              <w:tc>
                <w:tcPr>
                  <w:tcW w:w="1466" w:type="pct"/>
                  <w:tcBorders>
                    <w:top w:val="single" w:color="auto" w:sz="4" w:space="0"/>
                    <w:left w:val="nil"/>
                    <w:bottom w:val="single" w:color="auto" w:sz="4" w:space="0"/>
                    <w:right w:val="single" w:color="auto" w:sz="4" w:space="0"/>
                  </w:tcBorders>
                  <w:shd w:val="clear" w:color="auto" w:fill="auto"/>
                  <w:vAlign w:val="center"/>
                </w:tcPr>
                <w:p w14:paraId="4406AF2C">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0.04（不含）-0.25（含）</w:t>
                  </w:r>
                </w:p>
              </w:tc>
              <w:tc>
                <w:tcPr>
                  <w:tcW w:w="1057" w:type="pct"/>
                  <w:tcBorders>
                    <w:top w:val="single" w:color="auto" w:sz="4" w:space="0"/>
                    <w:left w:val="nil"/>
                    <w:bottom w:val="single" w:color="auto" w:sz="4" w:space="0"/>
                    <w:right w:val="single" w:color="auto" w:sz="4" w:space="0"/>
                  </w:tcBorders>
                  <w:shd w:val="clear" w:color="auto" w:fill="auto"/>
                  <w:vAlign w:val="center"/>
                </w:tcPr>
                <w:p w14:paraId="63A71B3E">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w:t>
                  </w:r>
                </w:p>
              </w:tc>
              <w:tc>
                <w:tcPr>
                  <w:tcW w:w="770" w:type="pct"/>
                  <w:tcBorders>
                    <w:top w:val="single" w:color="auto" w:sz="4" w:space="0"/>
                    <w:left w:val="nil"/>
                    <w:bottom w:val="single" w:color="auto" w:sz="4" w:space="0"/>
                    <w:right w:val="single" w:color="auto" w:sz="4" w:space="0"/>
                  </w:tcBorders>
                  <w:shd w:val="clear" w:color="auto" w:fill="auto"/>
                  <w:vAlign w:val="center"/>
                </w:tcPr>
                <w:p w14:paraId="281007F0">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p>
              </w:tc>
            </w:tr>
            <w:tr w14:paraId="1254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2AF3CE99">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9</w:t>
                  </w:r>
                </w:p>
              </w:tc>
              <w:tc>
                <w:tcPr>
                  <w:tcW w:w="1066" w:type="pct"/>
                  <w:vMerge w:val="continue"/>
                  <w:tcBorders>
                    <w:top w:val="nil"/>
                    <w:left w:val="nil"/>
                    <w:bottom w:val="single" w:color="auto" w:sz="4" w:space="0"/>
                    <w:right w:val="single" w:color="auto" w:sz="4" w:space="0"/>
                  </w:tcBorders>
                  <w:shd w:val="clear" w:color="auto" w:fill="auto"/>
                  <w:vAlign w:val="center"/>
                </w:tcPr>
                <w:p w14:paraId="38D64602">
                  <w:pPr>
                    <w:pStyle w:val="37"/>
                    <w:keepNext w:val="0"/>
                    <w:keepLines w:val="0"/>
                    <w:widowControl w:val="0"/>
                    <w:suppressLineNumbers w:val="0"/>
                    <w:autoSpaceDE w:val="0"/>
                    <w:spacing w:beforeAutospacing="1" w:line="360" w:lineRule="auto"/>
                    <w:ind w:left="0" w:right="0" w:firstLine="400" w:firstLineChars="200"/>
                    <w:rPr>
                      <w:rFonts w:hint="default" w:ascii="Times New Roman" w:hAnsi="Times New Roman" w:cs="Times New Roman"/>
                      <w:sz w:val="20"/>
                      <w:szCs w:val="20"/>
                    </w:rPr>
                  </w:pPr>
                </w:p>
              </w:tc>
              <w:tc>
                <w:tcPr>
                  <w:tcW w:w="1466" w:type="pct"/>
                  <w:tcBorders>
                    <w:top w:val="single" w:color="auto" w:sz="4" w:space="0"/>
                    <w:left w:val="nil"/>
                    <w:bottom w:val="single" w:color="auto" w:sz="4" w:space="0"/>
                    <w:right w:val="single" w:color="auto" w:sz="4" w:space="0"/>
                  </w:tcBorders>
                  <w:shd w:val="clear" w:color="auto" w:fill="auto"/>
                  <w:vAlign w:val="center"/>
                </w:tcPr>
                <w:p w14:paraId="0F3F960D">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0.25（不含）-1（含）</w:t>
                  </w:r>
                </w:p>
              </w:tc>
              <w:tc>
                <w:tcPr>
                  <w:tcW w:w="1057" w:type="pct"/>
                  <w:tcBorders>
                    <w:top w:val="single" w:color="auto" w:sz="4" w:space="0"/>
                    <w:left w:val="nil"/>
                    <w:bottom w:val="single" w:color="auto" w:sz="4" w:space="0"/>
                    <w:right w:val="single" w:color="auto" w:sz="4" w:space="0"/>
                  </w:tcBorders>
                  <w:shd w:val="clear" w:color="auto" w:fill="auto"/>
                  <w:vAlign w:val="center"/>
                </w:tcPr>
                <w:p w14:paraId="29BEDC97">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3</w:t>
                  </w:r>
                </w:p>
              </w:tc>
              <w:tc>
                <w:tcPr>
                  <w:tcW w:w="770" w:type="pct"/>
                  <w:tcBorders>
                    <w:top w:val="single" w:color="auto" w:sz="4" w:space="0"/>
                    <w:left w:val="nil"/>
                    <w:bottom w:val="single" w:color="auto" w:sz="4" w:space="0"/>
                    <w:right w:val="single" w:color="auto" w:sz="4" w:space="0"/>
                  </w:tcBorders>
                  <w:shd w:val="clear" w:color="auto" w:fill="auto"/>
                  <w:vAlign w:val="center"/>
                </w:tcPr>
                <w:p w14:paraId="2AECB669">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p>
              </w:tc>
            </w:tr>
            <w:tr w14:paraId="51A6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144C05D6">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10</w:t>
                  </w:r>
                </w:p>
              </w:tc>
              <w:tc>
                <w:tcPr>
                  <w:tcW w:w="1066" w:type="pct"/>
                  <w:vMerge w:val="continue"/>
                  <w:tcBorders>
                    <w:top w:val="nil"/>
                    <w:left w:val="nil"/>
                    <w:bottom w:val="single" w:color="auto" w:sz="4" w:space="0"/>
                    <w:right w:val="single" w:color="auto" w:sz="4" w:space="0"/>
                  </w:tcBorders>
                  <w:shd w:val="clear" w:color="auto" w:fill="auto"/>
                  <w:vAlign w:val="center"/>
                </w:tcPr>
                <w:p w14:paraId="1DB01320">
                  <w:pPr>
                    <w:pStyle w:val="37"/>
                    <w:keepNext w:val="0"/>
                    <w:keepLines w:val="0"/>
                    <w:widowControl w:val="0"/>
                    <w:suppressLineNumbers w:val="0"/>
                    <w:autoSpaceDE w:val="0"/>
                    <w:spacing w:beforeAutospacing="1" w:line="360" w:lineRule="auto"/>
                    <w:ind w:left="0" w:right="0" w:firstLine="400" w:firstLineChars="200"/>
                    <w:rPr>
                      <w:rFonts w:hint="default" w:ascii="Times New Roman" w:hAnsi="Times New Roman" w:cs="Times New Roman"/>
                      <w:sz w:val="20"/>
                      <w:szCs w:val="20"/>
                    </w:rPr>
                  </w:pPr>
                </w:p>
              </w:tc>
              <w:tc>
                <w:tcPr>
                  <w:tcW w:w="1466" w:type="pct"/>
                  <w:tcBorders>
                    <w:top w:val="single" w:color="auto" w:sz="4" w:space="0"/>
                    <w:left w:val="nil"/>
                    <w:bottom w:val="single" w:color="auto" w:sz="4" w:space="0"/>
                    <w:right w:val="single" w:color="auto" w:sz="4" w:space="0"/>
                  </w:tcBorders>
                  <w:shd w:val="clear" w:color="auto" w:fill="auto"/>
                  <w:vAlign w:val="center"/>
                </w:tcPr>
                <w:p w14:paraId="60FF656D">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1（不含）-5（含）</w:t>
                  </w:r>
                </w:p>
              </w:tc>
              <w:tc>
                <w:tcPr>
                  <w:tcW w:w="1057" w:type="pct"/>
                  <w:tcBorders>
                    <w:top w:val="single" w:color="auto" w:sz="4" w:space="0"/>
                    <w:left w:val="nil"/>
                    <w:bottom w:val="single" w:color="auto" w:sz="4" w:space="0"/>
                    <w:right w:val="single" w:color="auto" w:sz="4" w:space="0"/>
                  </w:tcBorders>
                  <w:shd w:val="clear" w:color="auto" w:fill="auto"/>
                  <w:vAlign w:val="center"/>
                </w:tcPr>
                <w:p w14:paraId="7235C39A">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5</w:t>
                  </w:r>
                </w:p>
              </w:tc>
              <w:tc>
                <w:tcPr>
                  <w:tcW w:w="770" w:type="pct"/>
                  <w:tcBorders>
                    <w:top w:val="single" w:color="auto" w:sz="4" w:space="0"/>
                    <w:left w:val="nil"/>
                    <w:bottom w:val="single" w:color="auto" w:sz="4" w:space="0"/>
                    <w:right w:val="single" w:color="auto" w:sz="4" w:space="0"/>
                  </w:tcBorders>
                  <w:shd w:val="clear" w:color="auto" w:fill="auto"/>
                  <w:vAlign w:val="center"/>
                </w:tcPr>
                <w:p w14:paraId="1F0D1251">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p>
              </w:tc>
            </w:tr>
            <w:tr w14:paraId="65BE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10F36346">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11</w:t>
                  </w:r>
                </w:p>
              </w:tc>
              <w:tc>
                <w:tcPr>
                  <w:tcW w:w="1066" w:type="pct"/>
                  <w:vMerge w:val="continue"/>
                  <w:tcBorders>
                    <w:top w:val="nil"/>
                    <w:left w:val="nil"/>
                    <w:bottom w:val="single" w:color="auto" w:sz="4" w:space="0"/>
                    <w:right w:val="single" w:color="auto" w:sz="4" w:space="0"/>
                  </w:tcBorders>
                  <w:shd w:val="clear" w:color="auto" w:fill="auto"/>
                  <w:vAlign w:val="center"/>
                </w:tcPr>
                <w:p w14:paraId="7FD9F32D">
                  <w:pPr>
                    <w:pStyle w:val="37"/>
                    <w:keepNext w:val="0"/>
                    <w:keepLines w:val="0"/>
                    <w:widowControl w:val="0"/>
                    <w:suppressLineNumbers w:val="0"/>
                    <w:autoSpaceDE w:val="0"/>
                    <w:spacing w:beforeAutospacing="1" w:line="360" w:lineRule="auto"/>
                    <w:ind w:left="0" w:right="0" w:firstLine="400" w:firstLineChars="200"/>
                    <w:rPr>
                      <w:rFonts w:hint="default" w:ascii="Times New Roman" w:hAnsi="Times New Roman" w:cs="Times New Roman"/>
                      <w:sz w:val="20"/>
                      <w:szCs w:val="20"/>
                    </w:rPr>
                  </w:pPr>
                </w:p>
              </w:tc>
              <w:tc>
                <w:tcPr>
                  <w:tcW w:w="1466" w:type="pct"/>
                  <w:tcBorders>
                    <w:top w:val="single" w:color="auto" w:sz="4" w:space="0"/>
                    <w:left w:val="nil"/>
                    <w:bottom w:val="single" w:color="auto" w:sz="4" w:space="0"/>
                    <w:right w:val="single" w:color="auto" w:sz="4" w:space="0"/>
                  </w:tcBorders>
                  <w:shd w:val="clear" w:color="auto" w:fill="auto"/>
                  <w:vAlign w:val="center"/>
                </w:tcPr>
                <w:p w14:paraId="66D8B027">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5（不含）-10（含）</w:t>
                  </w:r>
                </w:p>
              </w:tc>
              <w:tc>
                <w:tcPr>
                  <w:tcW w:w="1057" w:type="pct"/>
                  <w:tcBorders>
                    <w:top w:val="single" w:color="auto" w:sz="4" w:space="0"/>
                    <w:left w:val="nil"/>
                    <w:bottom w:val="single" w:color="auto" w:sz="4" w:space="0"/>
                    <w:right w:val="single" w:color="auto" w:sz="4" w:space="0"/>
                  </w:tcBorders>
                  <w:shd w:val="clear" w:color="auto" w:fill="auto"/>
                  <w:vAlign w:val="center"/>
                </w:tcPr>
                <w:p w14:paraId="5F8B2205">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6</w:t>
                  </w:r>
                </w:p>
              </w:tc>
              <w:tc>
                <w:tcPr>
                  <w:tcW w:w="770" w:type="pct"/>
                  <w:tcBorders>
                    <w:top w:val="single" w:color="auto" w:sz="4" w:space="0"/>
                    <w:left w:val="nil"/>
                    <w:bottom w:val="single" w:color="auto" w:sz="4" w:space="0"/>
                    <w:right w:val="single" w:color="auto" w:sz="4" w:space="0"/>
                  </w:tcBorders>
                  <w:shd w:val="clear" w:color="auto" w:fill="auto"/>
                  <w:vAlign w:val="center"/>
                </w:tcPr>
                <w:p w14:paraId="78B1899D">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p>
              </w:tc>
            </w:tr>
            <w:tr w14:paraId="6B2F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06513F4A">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12</w:t>
                  </w:r>
                </w:p>
              </w:tc>
              <w:tc>
                <w:tcPr>
                  <w:tcW w:w="1066" w:type="pct"/>
                  <w:vMerge w:val="continue"/>
                  <w:tcBorders>
                    <w:top w:val="nil"/>
                    <w:left w:val="nil"/>
                    <w:bottom w:val="single" w:color="auto" w:sz="4" w:space="0"/>
                    <w:right w:val="single" w:color="auto" w:sz="4" w:space="0"/>
                  </w:tcBorders>
                  <w:shd w:val="clear" w:color="auto" w:fill="auto"/>
                  <w:vAlign w:val="center"/>
                </w:tcPr>
                <w:p w14:paraId="1C8B3795">
                  <w:pPr>
                    <w:pStyle w:val="37"/>
                    <w:keepNext w:val="0"/>
                    <w:keepLines w:val="0"/>
                    <w:widowControl w:val="0"/>
                    <w:suppressLineNumbers w:val="0"/>
                    <w:autoSpaceDE w:val="0"/>
                    <w:spacing w:beforeAutospacing="1" w:line="360" w:lineRule="auto"/>
                    <w:ind w:left="0" w:right="0" w:firstLine="400" w:firstLineChars="200"/>
                    <w:rPr>
                      <w:rFonts w:hint="default" w:ascii="Times New Roman" w:hAnsi="Times New Roman" w:cs="Times New Roman"/>
                      <w:sz w:val="20"/>
                      <w:szCs w:val="20"/>
                    </w:rPr>
                  </w:pPr>
                </w:p>
              </w:tc>
              <w:tc>
                <w:tcPr>
                  <w:tcW w:w="1466" w:type="pct"/>
                  <w:tcBorders>
                    <w:top w:val="single" w:color="auto" w:sz="4" w:space="0"/>
                    <w:left w:val="nil"/>
                    <w:bottom w:val="single" w:color="auto" w:sz="4" w:space="0"/>
                    <w:right w:val="single" w:color="auto" w:sz="4" w:space="0"/>
                  </w:tcBorders>
                  <w:shd w:val="clear" w:color="auto" w:fill="auto"/>
                  <w:vAlign w:val="center"/>
                </w:tcPr>
                <w:p w14:paraId="2F897B48">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10（不含）以上</w:t>
                  </w:r>
                </w:p>
              </w:tc>
              <w:tc>
                <w:tcPr>
                  <w:tcW w:w="1057" w:type="pct"/>
                  <w:tcBorders>
                    <w:top w:val="single" w:color="auto" w:sz="4" w:space="0"/>
                    <w:left w:val="nil"/>
                    <w:bottom w:val="single" w:color="auto" w:sz="4" w:space="0"/>
                    <w:right w:val="single" w:color="auto" w:sz="4" w:space="0"/>
                  </w:tcBorders>
                  <w:shd w:val="clear" w:color="auto" w:fill="auto"/>
                  <w:vAlign w:val="center"/>
                </w:tcPr>
                <w:p w14:paraId="4771CED0">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10</w:t>
                  </w:r>
                </w:p>
              </w:tc>
              <w:tc>
                <w:tcPr>
                  <w:tcW w:w="770" w:type="pct"/>
                  <w:tcBorders>
                    <w:top w:val="single" w:color="auto" w:sz="4" w:space="0"/>
                    <w:left w:val="nil"/>
                    <w:bottom w:val="single" w:color="auto" w:sz="4" w:space="0"/>
                    <w:right w:val="single" w:color="auto" w:sz="4" w:space="0"/>
                  </w:tcBorders>
                  <w:shd w:val="clear" w:color="auto" w:fill="auto"/>
                  <w:vAlign w:val="center"/>
                </w:tcPr>
                <w:p w14:paraId="564BD871">
                  <w:pPr>
                    <w:pStyle w:val="37"/>
                    <w:keepNext w:val="0"/>
                    <w:keepLines w:val="0"/>
                    <w:suppressLineNumbers w:val="0"/>
                    <w:autoSpaceDE w:val="0"/>
                    <w:spacing w:beforeAutospacing="1" w:line="360" w:lineRule="auto"/>
                    <w:ind w:left="0" w:right="0" w:firstLine="480" w:firstLineChars="200"/>
                    <w:jc w:val="both"/>
                    <w:rPr>
                      <w:rFonts w:hint="eastAsia" w:ascii="仿宋" w:hAnsi="仿宋" w:eastAsia="仿宋" w:cs="仿宋"/>
                      <w:b w:val="0"/>
                      <w:bCs w:val="0"/>
                      <w:kern w:val="2"/>
                      <w:sz w:val="24"/>
                      <w:szCs w:val="24"/>
                    </w:rPr>
                  </w:pPr>
                </w:p>
              </w:tc>
            </w:tr>
          </w:tbl>
          <w:p w14:paraId="2752E924">
            <w:pPr>
              <w:pStyle w:val="37"/>
              <w:keepNext w:val="0"/>
              <w:keepLines w:val="0"/>
              <w:widowControl w:val="0"/>
              <w:suppressLineNumbers w:val="0"/>
              <w:autoSpaceDE w:val="0"/>
              <w:autoSpaceDN/>
              <w:spacing w:before="0" w:beforeAutospacing="1"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修复：鉴于修复后的标本将作为采购人的科研或科普标本，关系到公众认知与科学传播质量，因此本项目对标本修复人员水平有较高要求，团队成员中应配备化石修复专业人员及具备古生物学、地层学、埋藏学研究背景的专业人员，全程参与标本修复及指导等，确保修复质量严格符合国家级博物馆收藏、展示与长期保存标准。</w:t>
            </w:r>
          </w:p>
          <w:p w14:paraId="7ECFFFFB">
            <w:pPr>
              <w:pStyle w:val="37"/>
              <w:keepNext w:val="0"/>
              <w:keepLines w:val="0"/>
              <w:widowControl w:val="0"/>
              <w:suppressLineNumbers w:val="0"/>
              <w:autoSpaceDE w:val="0"/>
              <w:autoSpaceDN/>
              <w:spacing w:before="0" w:beforeAutospacing="1"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2.运输：标本修复完成后分批次运输到采购人指定地点，按采购人要求进行编号且摆放至库房架或展厅安装现场。</w:t>
            </w:r>
          </w:p>
          <w:p w14:paraId="5C0A99A5">
            <w:pPr>
              <w:pStyle w:val="37"/>
              <w:keepNext w:val="0"/>
              <w:keepLines w:val="0"/>
              <w:widowControl w:val="0"/>
              <w:suppressLineNumbers w:val="0"/>
              <w:autoSpaceDE w:val="0"/>
              <w:autoSpaceDN/>
              <w:spacing w:before="0" w:beforeAutospacing="1"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标本鉴定：中标人在标本交付前需组织专家对标本的分类学信息进行鉴定，并向采购人提交经专家签字的书面鉴定意见，鉴定专家为3个（含）以上科研院所、大学或省级博物馆等国家行政机关或事业单位副高（含）以上职称相关专业人员（若采购人复核后对鉴定意见提出异议，中标人需重新组织专家鉴定）。标本鉴定及异议后重新鉴定的费用已包含在本项目整体服务费用中，采购人不再另行支付其他费用。</w:t>
            </w:r>
          </w:p>
          <w:p w14:paraId="35AE314D">
            <w:pPr>
              <w:pStyle w:val="37"/>
              <w:keepNext w:val="0"/>
              <w:keepLines w:val="0"/>
              <w:pageBreakBefore w:val="0"/>
              <w:widowControl w:val="0"/>
              <w:suppressLineNumbers w:val="0"/>
              <w:kinsoku/>
              <w:wordWrap/>
              <w:overflowPunct/>
              <w:topLinePunct w:val="0"/>
              <w:autoSpaceDE w:val="0"/>
              <w:autoSpaceDN/>
              <w:bidi w:val="0"/>
              <w:adjustRightInd/>
              <w:snapToGrid/>
              <w:spacing w:before="0" w:beforeAutospacing="1" w:after="0" w:afterAutospacing="0" w:line="360" w:lineRule="auto"/>
              <w:ind w:left="0" w:right="0" w:firstLine="480" w:firstLineChars="200"/>
              <w:jc w:val="both"/>
              <w:textAlignment w:val="auto"/>
              <w:rPr>
                <w:rFonts w:hint="eastAsia" w:ascii="仿宋" w:hAnsi="仿宋" w:eastAsia="仿宋" w:cs="仿宋"/>
                <w:color w:val="000000"/>
                <w:kern w:val="0"/>
                <w:sz w:val="21"/>
                <w:szCs w:val="21"/>
                <w:highlight w:val="none"/>
              </w:rPr>
            </w:pPr>
            <w:r>
              <w:rPr>
                <w:rFonts w:hint="eastAsia" w:ascii="仿宋" w:hAnsi="仿宋" w:eastAsia="仿宋" w:cs="仿宋"/>
                <w:kern w:val="2"/>
                <w:sz w:val="24"/>
                <w:szCs w:val="24"/>
                <w:lang w:val="en-US" w:eastAsia="zh-CN" w:bidi="ar"/>
              </w:rPr>
              <w:t>4.其他服务：中标人为采购人提供毛板标本验收的便利条件；自采购人整体验收合格之日起一年内，中标人协助或指导布展方实施标本安装与成品保护工作。</w:t>
            </w:r>
          </w:p>
        </w:tc>
        <w:tc>
          <w:tcPr>
            <w:tcW w:w="1980" w:type="dxa"/>
            <w:noWrap w:val="0"/>
            <w:vAlign w:val="center"/>
          </w:tcPr>
          <w:p w14:paraId="3AD7556C">
            <w:pPr>
              <w:keepNext w:val="0"/>
              <w:keepLines w:val="0"/>
              <w:pageBreakBefore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Cs/>
                <w:color w:val="000000"/>
                <w:sz w:val="21"/>
                <w:szCs w:val="21"/>
                <w:highlight w:val="none"/>
              </w:rPr>
            </w:pPr>
          </w:p>
        </w:tc>
        <w:tc>
          <w:tcPr>
            <w:tcW w:w="1155" w:type="dxa"/>
            <w:noWrap w:val="0"/>
            <w:vAlign w:val="center"/>
          </w:tcPr>
          <w:p w14:paraId="4A22B57F">
            <w:pPr>
              <w:keepNext w:val="0"/>
              <w:keepLines w:val="0"/>
              <w:suppressLineNumbers w:val="0"/>
              <w:spacing w:before="0" w:beforeAutospacing="0" w:after="0" w:afterAutospacing="0"/>
              <w:ind w:left="0" w:right="0"/>
              <w:jc w:val="center"/>
              <w:rPr>
                <w:rFonts w:hint="eastAsia" w:ascii="仿宋" w:hAnsi="仿宋" w:eastAsia="仿宋" w:cs="仿宋"/>
                <w:bCs/>
                <w:color w:val="000000"/>
                <w:szCs w:val="21"/>
                <w:highlight w:val="none"/>
              </w:rPr>
            </w:pPr>
          </w:p>
        </w:tc>
        <w:tc>
          <w:tcPr>
            <w:tcW w:w="720" w:type="dxa"/>
            <w:noWrap w:val="0"/>
            <w:vAlign w:val="center"/>
          </w:tcPr>
          <w:p w14:paraId="13EA74C6">
            <w:pPr>
              <w:keepNext w:val="0"/>
              <w:keepLines w:val="0"/>
              <w:suppressLineNumbers w:val="0"/>
              <w:spacing w:before="0" w:beforeAutospacing="0" w:after="0" w:afterAutospacing="0"/>
              <w:ind w:left="0" w:right="0"/>
              <w:jc w:val="center"/>
              <w:rPr>
                <w:rFonts w:hint="eastAsia" w:ascii="仿宋" w:hAnsi="仿宋" w:eastAsia="仿宋" w:cs="仿宋"/>
                <w:bCs/>
                <w:color w:val="000000"/>
                <w:szCs w:val="21"/>
                <w:highlight w:val="none"/>
              </w:rPr>
            </w:pPr>
          </w:p>
        </w:tc>
      </w:tr>
      <w:tr w14:paraId="6CFE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7" w:type="dxa"/>
            <w:noWrap w:val="0"/>
            <w:vAlign w:val="center"/>
          </w:tcPr>
          <w:p w14:paraId="01932377">
            <w:pPr>
              <w:keepNext w:val="0"/>
              <w:keepLines w:val="0"/>
              <w:suppressLineNumbers w:val="0"/>
              <w:spacing w:before="0" w:beforeAutospacing="0" w:after="0" w:afterAutospacing="0"/>
              <w:ind w:left="0" w:right="0"/>
              <w:jc w:val="center"/>
              <w:rPr>
                <w:rFonts w:hint="eastAsia" w:ascii="仿宋" w:hAnsi="仿宋" w:eastAsia="仿宋" w:cs="仿宋"/>
                <w:bCs/>
                <w:color w:val="000000"/>
                <w:szCs w:val="21"/>
                <w:highlight w:val="none"/>
                <w:lang w:val="en-US" w:eastAsia="zh-CN"/>
              </w:rPr>
            </w:pPr>
            <w:r>
              <w:rPr>
                <w:rFonts w:hint="eastAsia" w:ascii="仿宋" w:hAnsi="仿宋" w:eastAsia="仿宋" w:cs="仿宋"/>
                <w:bCs/>
                <w:color w:val="000000"/>
                <w:szCs w:val="21"/>
                <w:highlight w:val="none"/>
                <w:lang w:val="en-US" w:eastAsia="zh-CN"/>
              </w:rPr>
              <w:t>2</w:t>
            </w:r>
          </w:p>
        </w:tc>
        <w:tc>
          <w:tcPr>
            <w:tcW w:w="3731" w:type="dxa"/>
            <w:noWrap w:val="0"/>
            <w:vAlign w:val="center"/>
          </w:tcPr>
          <w:p w14:paraId="0C458149">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（二）具体要求如下</w:t>
            </w:r>
          </w:p>
          <w:p w14:paraId="6BF54B3B">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xml:space="preserve">1.修复后的标本须符合博物馆陈列展览和收藏研究所需的质量要求；对于毛板及特殊化石（如带羽毛的恐龙化石、带毛发的哺乳动物化石、保存极为脆弱的化石等），修复前需先使用高精度CT（精度不低于800nm）扫描其内部结构，根据扫描结果制定修复方案。 </w:t>
            </w:r>
          </w:p>
          <w:p w14:paraId="3707CA71">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xml:space="preserve">2.化石修理全过程需有修理记录。包括：每日修理前和修理后清晰的照片记录（照片不小于3M），每件标本修理完的修理小结，并及时提交采购人备查。 </w:t>
            </w:r>
          </w:p>
          <w:p w14:paraId="152F6CA1">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xml:space="preserve">3.修理方案需提前经采购人审定，审定通过后方可实施。化石修理时按采购人验收要求减小化石表面纹饰损伤；对于带有羽毛、毛发等特殊痕迹的化石标本，需将骨骼、羽毛、毛发等特征科学修复，且不损坏其原有特征。 </w:t>
            </w:r>
          </w:p>
          <w:p w14:paraId="3D7C77AD">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xml:space="preserve">4.化石修复过程中如遇疑难问题，需及时照相、停工，并及时向采购人申报，并在采购人重新确认后方可开工。 </w:t>
            </w:r>
          </w:p>
          <w:p w14:paraId="5E168D52">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5.验收。在采购人指定地点验收，由中标人负责将标本运输至采购人指定库房，该费用已包含在本项目服务费用中，采购人不再另行支付其他任何费用。</w:t>
            </w:r>
          </w:p>
          <w:p w14:paraId="5CCDA1B3">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xml:space="preserve">化石验收标准： </w:t>
            </w:r>
          </w:p>
          <w:p w14:paraId="45133C9F">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xml:space="preserve">（1）单件化石有大于 10mm （不含）的损伤为不合格； </w:t>
            </w:r>
          </w:p>
          <w:p w14:paraId="185501DC">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xml:space="preserve">（2）单件化石有 3 处及以上 10mm （含）-1mm（含） 的损伤，为不合格； </w:t>
            </w:r>
          </w:p>
          <w:p w14:paraId="1214BB47">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（3）单件化石有 2 处 10mm（含）-1mm（含） 损伤，并有 5 处及以上 1mm （含）以下的损伤，为不合格；</w:t>
            </w:r>
          </w:p>
          <w:p w14:paraId="7B474E5C">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（4）单件化石有 1 处 10mm（含）-1mm（含） 损伤，并有 10 处及以上 1mm（含） 以下的损伤，为不合格；</w:t>
            </w:r>
          </w:p>
          <w:p w14:paraId="47D686C9">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xml:space="preserve">（5）单件化石有 20 处及以上 1mm（含） 以下的损伤，为不合格。 </w:t>
            </w:r>
          </w:p>
          <w:p w14:paraId="168273CF">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6.化石是否损伤由采购人组织专家进行认定。</w:t>
            </w:r>
          </w:p>
          <w:p w14:paraId="6E85CA48">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7.化石损伤造成的赔偿由合同约定或采购人根据损伤情况按该化石征集价格的1-2倍进行赔偿。</w:t>
            </w:r>
          </w:p>
        </w:tc>
        <w:tc>
          <w:tcPr>
            <w:tcW w:w="1980" w:type="dxa"/>
            <w:noWrap w:val="0"/>
            <w:vAlign w:val="center"/>
          </w:tcPr>
          <w:p w14:paraId="1F595400">
            <w:pPr>
              <w:keepNext w:val="0"/>
              <w:keepLines w:val="0"/>
              <w:suppressLineNumbers w:val="0"/>
              <w:spacing w:before="0" w:beforeAutospacing="0" w:after="0" w:afterAutospacing="0"/>
              <w:ind w:left="0" w:right="0"/>
              <w:jc w:val="center"/>
              <w:rPr>
                <w:rFonts w:hint="eastAsia" w:ascii="仿宋" w:hAnsi="仿宋" w:eastAsia="仿宋" w:cs="仿宋"/>
                <w:bCs/>
                <w:color w:val="000000"/>
                <w:szCs w:val="21"/>
                <w:highlight w:val="none"/>
              </w:rPr>
            </w:pPr>
          </w:p>
        </w:tc>
        <w:tc>
          <w:tcPr>
            <w:tcW w:w="1155" w:type="dxa"/>
            <w:noWrap w:val="0"/>
            <w:vAlign w:val="center"/>
          </w:tcPr>
          <w:p w14:paraId="6E257D1A">
            <w:pPr>
              <w:keepNext w:val="0"/>
              <w:keepLines w:val="0"/>
              <w:suppressLineNumbers w:val="0"/>
              <w:spacing w:before="0" w:beforeAutospacing="0" w:after="0" w:afterAutospacing="0"/>
              <w:ind w:left="0" w:right="0"/>
              <w:jc w:val="center"/>
              <w:rPr>
                <w:rFonts w:hint="eastAsia" w:ascii="仿宋" w:hAnsi="仿宋" w:eastAsia="仿宋" w:cs="仿宋"/>
                <w:bCs/>
                <w:color w:val="000000"/>
                <w:szCs w:val="21"/>
                <w:highlight w:val="none"/>
              </w:rPr>
            </w:pPr>
          </w:p>
        </w:tc>
        <w:tc>
          <w:tcPr>
            <w:tcW w:w="720" w:type="dxa"/>
            <w:noWrap w:val="0"/>
            <w:vAlign w:val="center"/>
          </w:tcPr>
          <w:p w14:paraId="64EBB198">
            <w:pPr>
              <w:keepNext w:val="0"/>
              <w:keepLines w:val="0"/>
              <w:suppressLineNumbers w:val="0"/>
              <w:spacing w:before="0" w:beforeAutospacing="0" w:after="0" w:afterAutospacing="0"/>
              <w:ind w:left="0" w:right="0"/>
              <w:jc w:val="center"/>
              <w:rPr>
                <w:rFonts w:hint="eastAsia" w:ascii="仿宋" w:hAnsi="仿宋" w:eastAsia="仿宋" w:cs="仿宋"/>
                <w:bCs/>
                <w:color w:val="000000"/>
                <w:szCs w:val="21"/>
                <w:highlight w:val="none"/>
              </w:rPr>
            </w:pPr>
          </w:p>
        </w:tc>
      </w:tr>
    </w:tbl>
    <w:p w14:paraId="72C42E64">
      <w:pP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备注：</w:t>
      </w:r>
    </w:p>
    <w:p w14:paraId="2718873D">
      <w:pPr>
        <w:ind w:firstLine="420" w:firstLineChars="200"/>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1.“</w:t>
      </w:r>
      <w:r>
        <w:rPr>
          <w:rFonts w:hint="eastAsia" w:ascii="仿宋" w:hAnsi="仿宋" w:eastAsia="仿宋" w:cs="仿宋"/>
          <w:bCs/>
          <w:color w:val="000000"/>
          <w:szCs w:val="21"/>
          <w:highlight w:val="none"/>
          <w:lang w:eastAsia="zh-CN"/>
        </w:rPr>
        <w:t>招标服务条款</w:t>
      </w:r>
      <w:r>
        <w:rPr>
          <w:rFonts w:hint="eastAsia" w:ascii="仿宋" w:hAnsi="仿宋" w:eastAsia="仿宋" w:cs="仿宋"/>
          <w:bCs/>
          <w:color w:val="000000"/>
          <w:szCs w:val="21"/>
          <w:highlight w:val="none"/>
        </w:rPr>
        <w:t>”一栏是招标文件第</w:t>
      </w:r>
      <w:r>
        <w:rPr>
          <w:rFonts w:hint="eastAsia" w:ascii="仿宋" w:hAnsi="仿宋" w:eastAsia="仿宋" w:cs="仿宋"/>
          <w:bCs/>
          <w:color w:val="000000"/>
          <w:szCs w:val="21"/>
          <w:highlight w:val="none"/>
          <w:lang w:eastAsia="zh-CN"/>
        </w:rPr>
        <w:t>二</w:t>
      </w:r>
      <w:r>
        <w:rPr>
          <w:rFonts w:hint="eastAsia" w:ascii="仿宋" w:hAnsi="仿宋" w:eastAsia="仿宋" w:cs="仿宋"/>
          <w:bCs/>
          <w:color w:val="000000"/>
          <w:szCs w:val="21"/>
          <w:highlight w:val="none"/>
        </w:rPr>
        <w:t>册第三章“二、项目服务内容及服务要求”的全部内容；</w:t>
      </w:r>
    </w:p>
    <w:p w14:paraId="039D3F5C">
      <w:pPr>
        <w:ind w:firstLine="420" w:firstLineChars="200"/>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2.“投标服务响应”一栏是投标人根据自身情况填写对“服务要求”的响应；并列明响应的具体内容。</w:t>
      </w:r>
    </w:p>
    <w:p w14:paraId="262FC700">
      <w:pPr>
        <w:ind w:firstLine="420" w:firstLineChars="200"/>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3.“偏离情况”一栏填写如实填写“正偏离”、“负偏离”或“无偏离”，其中：“正偏离”表示“投标响应优于</w:t>
      </w:r>
      <w:r>
        <w:rPr>
          <w:rFonts w:hint="eastAsia" w:ascii="仿宋" w:hAnsi="仿宋" w:eastAsia="仿宋" w:cs="仿宋"/>
          <w:bCs/>
          <w:color w:val="000000"/>
          <w:szCs w:val="21"/>
          <w:highlight w:val="none"/>
          <w:lang w:eastAsia="zh-CN"/>
        </w:rPr>
        <w:t>招标</w:t>
      </w:r>
      <w:r>
        <w:rPr>
          <w:rFonts w:hint="eastAsia" w:ascii="仿宋" w:hAnsi="仿宋" w:eastAsia="仿宋" w:cs="仿宋"/>
          <w:bCs/>
          <w:color w:val="000000"/>
          <w:szCs w:val="21"/>
          <w:highlight w:val="none"/>
        </w:rPr>
        <w:t>服务</w:t>
      </w:r>
      <w:r>
        <w:rPr>
          <w:rFonts w:hint="eastAsia" w:ascii="仿宋" w:hAnsi="仿宋" w:eastAsia="仿宋" w:cs="仿宋"/>
          <w:bCs/>
          <w:color w:val="000000"/>
          <w:szCs w:val="21"/>
          <w:highlight w:val="none"/>
          <w:lang w:eastAsia="zh-CN"/>
        </w:rPr>
        <w:t>条款</w:t>
      </w:r>
      <w:r>
        <w:rPr>
          <w:rFonts w:hint="eastAsia" w:ascii="仿宋" w:hAnsi="仿宋" w:eastAsia="仿宋" w:cs="仿宋"/>
          <w:bCs/>
          <w:color w:val="000000"/>
          <w:szCs w:val="21"/>
          <w:highlight w:val="none"/>
        </w:rPr>
        <w:t>”，“负偏离”表示“投标响应不满足</w:t>
      </w:r>
      <w:r>
        <w:rPr>
          <w:rFonts w:hint="eastAsia" w:ascii="仿宋" w:hAnsi="仿宋" w:eastAsia="仿宋" w:cs="仿宋"/>
          <w:bCs/>
          <w:color w:val="000000"/>
          <w:szCs w:val="21"/>
          <w:highlight w:val="none"/>
          <w:lang w:eastAsia="zh-CN"/>
        </w:rPr>
        <w:t>招标</w:t>
      </w:r>
      <w:r>
        <w:rPr>
          <w:rFonts w:hint="eastAsia" w:ascii="仿宋" w:hAnsi="仿宋" w:eastAsia="仿宋" w:cs="仿宋"/>
          <w:bCs/>
          <w:color w:val="000000"/>
          <w:szCs w:val="21"/>
          <w:highlight w:val="none"/>
        </w:rPr>
        <w:t>服务</w:t>
      </w:r>
      <w:r>
        <w:rPr>
          <w:rFonts w:hint="eastAsia" w:ascii="仿宋" w:hAnsi="仿宋" w:eastAsia="仿宋" w:cs="仿宋"/>
          <w:bCs/>
          <w:color w:val="000000"/>
          <w:szCs w:val="21"/>
          <w:highlight w:val="none"/>
          <w:lang w:eastAsia="zh-CN"/>
        </w:rPr>
        <w:t>条款</w:t>
      </w:r>
      <w:r>
        <w:rPr>
          <w:rFonts w:hint="eastAsia" w:ascii="仿宋" w:hAnsi="仿宋" w:eastAsia="仿宋" w:cs="仿宋"/>
          <w:bCs/>
          <w:color w:val="000000"/>
          <w:szCs w:val="21"/>
          <w:highlight w:val="none"/>
        </w:rPr>
        <w:t>”，“无偏离”表示“投标响应与</w:t>
      </w:r>
      <w:r>
        <w:rPr>
          <w:rFonts w:hint="eastAsia" w:ascii="仿宋" w:hAnsi="仿宋" w:eastAsia="仿宋" w:cs="仿宋"/>
          <w:bCs/>
          <w:color w:val="000000"/>
          <w:szCs w:val="21"/>
          <w:highlight w:val="none"/>
          <w:lang w:eastAsia="zh-CN"/>
        </w:rPr>
        <w:t>招标</w:t>
      </w:r>
      <w:r>
        <w:rPr>
          <w:rFonts w:hint="eastAsia" w:ascii="仿宋" w:hAnsi="仿宋" w:eastAsia="仿宋" w:cs="仿宋"/>
          <w:bCs/>
          <w:color w:val="000000"/>
          <w:szCs w:val="21"/>
          <w:highlight w:val="none"/>
        </w:rPr>
        <w:t>服务</w:t>
      </w:r>
      <w:r>
        <w:rPr>
          <w:rFonts w:hint="eastAsia" w:ascii="仿宋" w:hAnsi="仿宋" w:eastAsia="仿宋" w:cs="仿宋"/>
          <w:bCs/>
          <w:color w:val="000000"/>
          <w:szCs w:val="21"/>
          <w:highlight w:val="none"/>
          <w:lang w:eastAsia="zh-CN"/>
        </w:rPr>
        <w:t>条款</w:t>
      </w:r>
      <w:r>
        <w:rPr>
          <w:rFonts w:hint="eastAsia" w:ascii="仿宋" w:hAnsi="仿宋" w:eastAsia="仿宋" w:cs="仿宋"/>
          <w:bCs/>
          <w:color w:val="000000"/>
          <w:szCs w:val="21"/>
          <w:highlight w:val="none"/>
        </w:rPr>
        <w:t>一致”。“投标服务响应”对比“</w:t>
      </w:r>
      <w:r>
        <w:rPr>
          <w:rFonts w:hint="eastAsia" w:ascii="仿宋" w:hAnsi="仿宋" w:eastAsia="仿宋" w:cs="仿宋"/>
          <w:bCs/>
          <w:color w:val="000000"/>
          <w:szCs w:val="21"/>
          <w:highlight w:val="none"/>
          <w:lang w:eastAsia="zh-CN"/>
        </w:rPr>
        <w:t>招标服务条款</w:t>
      </w:r>
      <w:r>
        <w:rPr>
          <w:rFonts w:hint="eastAsia" w:ascii="仿宋" w:hAnsi="仿宋" w:eastAsia="仿宋" w:cs="仿宋"/>
          <w:bCs/>
          <w:color w:val="000000"/>
          <w:szCs w:val="21"/>
          <w:highlight w:val="none"/>
        </w:rPr>
        <w:t>”存在响应不全（包括未响应整项</w:t>
      </w:r>
      <w:r>
        <w:rPr>
          <w:rFonts w:hint="eastAsia" w:ascii="仿宋" w:hAnsi="仿宋" w:eastAsia="仿宋" w:cs="仿宋"/>
          <w:bCs/>
          <w:color w:val="000000"/>
          <w:szCs w:val="21"/>
          <w:highlight w:val="none"/>
          <w:lang w:eastAsia="zh-CN"/>
        </w:rPr>
        <w:t>招标</w:t>
      </w:r>
      <w:r>
        <w:rPr>
          <w:rFonts w:hint="eastAsia" w:ascii="仿宋" w:hAnsi="仿宋" w:eastAsia="仿宋" w:cs="仿宋"/>
          <w:bCs/>
          <w:color w:val="000000"/>
          <w:szCs w:val="21"/>
          <w:highlight w:val="none"/>
        </w:rPr>
        <w:t>服务</w:t>
      </w:r>
      <w:r>
        <w:rPr>
          <w:rFonts w:hint="eastAsia" w:ascii="仿宋" w:hAnsi="仿宋" w:eastAsia="仿宋" w:cs="仿宋"/>
          <w:bCs/>
          <w:color w:val="000000"/>
          <w:szCs w:val="21"/>
          <w:highlight w:val="none"/>
          <w:lang w:eastAsia="zh-CN"/>
        </w:rPr>
        <w:t>条款</w:t>
      </w:r>
      <w:r>
        <w:rPr>
          <w:rFonts w:hint="eastAsia" w:ascii="仿宋" w:hAnsi="仿宋" w:eastAsia="仿宋" w:cs="仿宋"/>
          <w:bCs/>
          <w:color w:val="000000"/>
          <w:szCs w:val="21"/>
          <w:highlight w:val="none"/>
        </w:rPr>
        <w:t>或者未响应一项</w:t>
      </w:r>
      <w:r>
        <w:rPr>
          <w:rFonts w:hint="eastAsia" w:ascii="仿宋" w:hAnsi="仿宋" w:eastAsia="仿宋" w:cs="仿宋"/>
          <w:bCs/>
          <w:color w:val="000000"/>
          <w:szCs w:val="21"/>
          <w:highlight w:val="none"/>
          <w:lang w:eastAsia="zh-CN"/>
        </w:rPr>
        <w:t>招标</w:t>
      </w:r>
      <w:r>
        <w:rPr>
          <w:rFonts w:hint="eastAsia" w:ascii="仿宋" w:hAnsi="仿宋" w:eastAsia="仿宋" w:cs="仿宋"/>
          <w:bCs/>
          <w:color w:val="000000"/>
          <w:szCs w:val="21"/>
          <w:highlight w:val="none"/>
        </w:rPr>
        <w:t>服务</w:t>
      </w:r>
      <w:r>
        <w:rPr>
          <w:rFonts w:hint="eastAsia" w:ascii="仿宋" w:hAnsi="仿宋" w:eastAsia="仿宋" w:cs="仿宋"/>
          <w:bCs/>
          <w:color w:val="000000"/>
          <w:szCs w:val="21"/>
          <w:highlight w:val="none"/>
          <w:lang w:eastAsia="zh-CN"/>
        </w:rPr>
        <w:t>条款</w:t>
      </w:r>
      <w:r>
        <w:rPr>
          <w:rFonts w:hint="eastAsia" w:ascii="仿宋" w:hAnsi="仿宋" w:eastAsia="仿宋" w:cs="仿宋"/>
          <w:bCs/>
          <w:color w:val="000000"/>
          <w:szCs w:val="21"/>
          <w:highlight w:val="none"/>
        </w:rPr>
        <w:t>的部分内容），均视为“负偏离”。</w:t>
      </w:r>
    </w:p>
    <w:p w14:paraId="502DEC4F">
      <w:pPr>
        <w:spacing w:line="360" w:lineRule="auto"/>
        <w:rPr>
          <w:rFonts w:hint="eastAsia" w:ascii="仿宋" w:hAnsi="仿宋" w:eastAsia="仿宋" w:cs="仿宋"/>
          <w:b/>
          <w:bCs/>
          <w:color w:val="000000"/>
          <w:sz w:val="32"/>
          <w:szCs w:val="32"/>
          <w:highlight w:val="none"/>
        </w:rPr>
      </w:pPr>
    </w:p>
    <w:p w14:paraId="13C42881">
      <w:pPr>
        <w:pStyle w:val="13"/>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highlight w:val="none"/>
        </w:rPr>
      </w:pPr>
    </w:p>
    <w:p w14:paraId="06C93A24">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highlight w:val="none"/>
        </w:rPr>
      </w:pPr>
    </w:p>
    <w:p w14:paraId="6CA23205">
      <w:pPr>
        <w:keepNext w:val="0"/>
        <w:keepLines w:val="0"/>
        <w:pageBreakBefore w:val="0"/>
        <w:widowControl w:val="0"/>
        <w:kinsoku/>
        <w:wordWrap/>
        <w:overflowPunct/>
        <w:topLinePunct w:val="0"/>
        <w:autoSpaceDE/>
        <w:autoSpaceDN/>
        <w:bidi w:val="0"/>
        <w:adjustRightInd/>
        <w:snapToGrid/>
        <w:ind w:firstLine="3150" w:firstLineChars="1500"/>
        <w:jc w:val="left"/>
        <w:textAlignment w:val="auto"/>
        <w:outlineLvl w:val="9"/>
        <w:rPr>
          <w:rFonts w:hint="eastAsia" w:ascii="仿宋" w:hAnsi="仿宋" w:eastAsia="仿宋" w:cs="仿宋"/>
          <w:color w:val="000000"/>
          <w:highlight w:val="none"/>
        </w:rPr>
      </w:pPr>
      <w:bookmarkStart w:id="324" w:name="_Toc22591"/>
      <w:r>
        <w:rPr>
          <w:rFonts w:hint="eastAsia" w:ascii="仿宋" w:hAnsi="仿宋" w:eastAsia="仿宋" w:cs="仿宋"/>
          <w:color w:val="000000"/>
          <w:highlight w:val="none"/>
        </w:rPr>
        <w:t>法定代表人或其授权委托人（</w:t>
      </w:r>
      <w:r>
        <w:rPr>
          <w:rFonts w:hint="eastAsia" w:ascii="仿宋" w:hAnsi="仿宋" w:eastAsia="仿宋" w:cs="仿宋"/>
          <w:b/>
          <w:color w:val="000000"/>
          <w:highlight w:val="none"/>
        </w:rPr>
        <w:t>签名或盖私章</w:t>
      </w:r>
      <w:r>
        <w:rPr>
          <w:rFonts w:hint="eastAsia" w:ascii="仿宋" w:hAnsi="仿宋" w:eastAsia="仿宋" w:cs="仿宋"/>
          <w:color w:val="000000"/>
          <w:highlight w:val="none"/>
        </w:rPr>
        <w:t>）：</w:t>
      </w:r>
      <w:bookmarkEnd w:id="324"/>
    </w:p>
    <w:p w14:paraId="4C37AC78">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color w:val="000000"/>
          <w:highlight w:val="none"/>
        </w:rPr>
      </w:pPr>
    </w:p>
    <w:p w14:paraId="6C858867">
      <w:pPr>
        <w:keepNext w:val="0"/>
        <w:keepLines w:val="0"/>
        <w:pageBreakBefore w:val="0"/>
        <w:widowControl w:val="0"/>
        <w:kinsoku/>
        <w:wordWrap/>
        <w:overflowPunct/>
        <w:topLinePunct w:val="0"/>
        <w:autoSpaceDE/>
        <w:autoSpaceDN/>
        <w:bidi w:val="0"/>
        <w:adjustRightInd/>
        <w:snapToGrid/>
        <w:ind w:firstLine="3150" w:firstLineChars="1500"/>
        <w:jc w:val="left"/>
        <w:textAlignment w:val="auto"/>
        <w:outlineLvl w:val="9"/>
        <w:rPr>
          <w:rFonts w:hint="eastAsia" w:ascii="仿宋" w:hAnsi="仿宋" w:eastAsia="仿宋" w:cs="仿宋"/>
          <w:color w:val="000000"/>
          <w:highlight w:val="none"/>
        </w:rPr>
      </w:pPr>
      <w:bookmarkStart w:id="325" w:name="_Toc22524"/>
      <w:r>
        <w:rPr>
          <w:rFonts w:hint="eastAsia" w:ascii="仿宋" w:hAnsi="仿宋" w:eastAsia="仿宋" w:cs="仿宋"/>
          <w:color w:val="000000"/>
          <w:highlight w:val="none"/>
        </w:rPr>
        <w:t>投标单位（</w:t>
      </w:r>
      <w:r>
        <w:rPr>
          <w:rFonts w:hint="eastAsia" w:ascii="仿宋" w:hAnsi="仿宋" w:eastAsia="仿宋" w:cs="仿宋"/>
          <w:b/>
          <w:color w:val="000000"/>
          <w:highlight w:val="none"/>
        </w:rPr>
        <w:t>盖公章</w:t>
      </w:r>
      <w:r>
        <w:rPr>
          <w:rFonts w:hint="eastAsia" w:ascii="仿宋" w:hAnsi="仿宋" w:eastAsia="仿宋" w:cs="仿宋"/>
          <w:color w:val="000000"/>
          <w:highlight w:val="none"/>
        </w:rPr>
        <w:t>）：</w:t>
      </w:r>
      <w:bookmarkEnd w:id="325"/>
    </w:p>
    <w:p w14:paraId="076E72C7">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color w:val="000000"/>
          <w:highlight w:val="none"/>
        </w:rPr>
      </w:pPr>
    </w:p>
    <w:p w14:paraId="4E109DFC">
      <w:pPr>
        <w:keepNext w:val="0"/>
        <w:keepLines w:val="0"/>
        <w:pageBreakBefore w:val="0"/>
        <w:widowControl w:val="0"/>
        <w:kinsoku/>
        <w:wordWrap/>
        <w:overflowPunct/>
        <w:topLinePunct w:val="0"/>
        <w:autoSpaceDE/>
        <w:autoSpaceDN/>
        <w:bidi w:val="0"/>
        <w:adjustRightInd/>
        <w:snapToGrid/>
        <w:jc w:val="right"/>
        <w:textAlignment w:val="auto"/>
        <w:outlineLvl w:val="9"/>
        <w:rPr>
          <w:rFonts w:hint="eastAsia" w:ascii="仿宋" w:hAnsi="仿宋" w:eastAsia="仿宋" w:cs="仿宋"/>
          <w:color w:val="000000"/>
          <w:highlight w:val="none"/>
        </w:rPr>
      </w:pPr>
      <w:r>
        <w:rPr>
          <w:rFonts w:hint="eastAsia" w:ascii="仿宋" w:hAnsi="仿宋" w:eastAsia="仿宋" w:cs="仿宋"/>
          <w:color w:val="000000"/>
          <w:highlight w:val="none"/>
        </w:rPr>
        <w:t>日期：    年  月  日</w:t>
      </w:r>
    </w:p>
    <w:p w14:paraId="6FB6957E">
      <w:pPr>
        <w:pStyle w:val="13"/>
        <w:rPr>
          <w:rFonts w:hint="eastAsia" w:ascii="仿宋" w:hAnsi="仿宋" w:eastAsia="仿宋" w:cs="仿宋"/>
          <w:highlight w:val="none"/>
        </w:rPr>
      </w:pPr>
    </w:p>
    <w:p w14:paraId="47BE85B0">
      <w:pPr>
        <w:pStyle w:val="4"/>
        <w:spacing w:before="120" w:after="120"/>
        <w:jc w:val="center"/>
        <w:outlineLvl w:val="2"/>
        <w:rPr>
          <w:rFonts w:hint="eastAsia" w:ascii="仿宋" w:hAnsi="仿宋" w:eastAsia="仿宋" w:cs="仿宋"/>
          <w:bCs w:val="0"/>
          <w:szCs w:val="21"/>
          <w:highlight w:val="none"/>
        </w:rPr>
      </w:pPr>
      <w:r>
        <w:rPr>
          <w:rFonts w:hint="eastAsia" w:ascii="仿宋" w:hAnsi="仿宋" w:eastAsia="仿宋" w:cs="仿宋"/>
          <w:b w:val="0"/>
          <w:bCs w:val="0"/>
          <w:highlight w:val="none"/>
        </w:rPr>
        <w:br w:type="page"/>
      </w:r>
      <w:bookmarkStart w:id="326" w:name="_Toc27111"/>
      <w:r>
        <w:rPr>
          <w:rFonts w:hint="eastAsia" w:ascii="仿宋" w:hAnsi="仿宋" w:eastAsia="仿宋" w:cs="仿宋"/>
          <w:b/>
          <w:bCs/>
          <w:sz w:val="28"/>
          <w:szCs w:val="28"/>
          <w:highlight w:val="none"/>
        </w:rPr>
        <w:t>十</w:t>
      </w:r>
      <w:r>
        <w:rPr>
          <w:rFonts w:hint="eastAsia" w:ascii="仿宋" w:hAnsi="仿宋" w:eastAsia="仿宋" w:cs="仿宋"/>
          <w:b/>
          <w:bCs/>
          <w:sz w:val="28"/>
          <w:szCs w:val="28"/>
          <w:highlight w:val="none"/>
          <w:lang w:val="en-US" w:eastAsia="zh-CN"/>
        </w:rPr>
        <w:t>一</w:t>
      </w:r>
      <w:r>
        <w:rPr>
          <w:rFonts w:hint="eastAsia" w:ascii="仿宋" w:hAnsi="仿宋" w:eastAsia="仿宋" w:cs="仿宋"/>
          <w:b/>
          <w:bCs/>
          <w:sz w:val="28"/>
          <w:szCs w:val="28"/>
          <w:highlight w:val="none"/>
        </w:rPr>
        <w:t>、商务条款偏离表</w:t>
      </w:r>
      <w:bookmarkEnd w:id="326"/>
    </w:p>
    <w:p w14:paraId="4C5689AB">
      <w:pPr>
        <w:spacing w:line="360" w:lineRule="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投标人名称：                                    项目编号：UHOSZC20250792</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260"/>
        <w:gridCol w:w="3260"/>
        <w:gridCol w:w="851"/>
        <w:gridCol w:w="617"/>
      </w:tblGrid>
      <w:tr w14:paraId="5FF3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noWrap w:val="0"/>
            <w:vAlign w:val="center"/>
          </w:tcPr>
          <w:p w14:paraId="0F105F2E">
            <w:pPr>
              <w:keepNext w:val="0"/>
              <w:keepLines w:val="0"/>
              <w:suppressLineNumbers w:val="0"/>
              <w:spacing w:before="0" w:beforeAutospacing="0" w:after="0" w:afterAutospacing="0"/>
              <w:ind w:left="0" w:right="0"/>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序号</w:t>
            </w:r>
          </w:p>
        </w:tc>
        <w:tc>
          <w:tcPr>
            <w:tcW w:w="3260" w:type="dxa"/>
            <w:noWrap w:val="0"/>
            <w:vAlign w:val="center"/>
          </w:tcPr>
          <w:p w14:paraId="475473D0">
            <w:pPr>
              <w:keepNext w:val="0"/>
              <w:keepLines w:val="0"/>
              <w:suppressLineNumbers w:val="0"/>
              <w:spacing w:before="0" w:beforeAutospacing="0" w:after="0" w:afterAutospacing="0"/>
              <w:ind w:left="0" w:right="0"/>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招标商务条款</w:t>
            </w:r>
          </w:p>
        </w:tc>
        <w:tc>
          <w:tcPr>
            <w:tcW w:w="3260" w:type="dxa"/>
            <w:noWrap w:val="0"/>
            <w:vAlign w:val="center"/>
          </w:tcPr>
          <w:p w14:paraId="2FB82AF9">
            <w:pPr>
              <w:keepNext w:val="0"/>
              <w:keepLines w:val="0"/>
              <w:suppressLineNumbers w:val="0"/>
              <w:spacing w:before="0" w:beforeAutospacing="0" w:after="0" w:afterAutospacing="0"/>
              <w:ind w:left="0" w:right="0"/>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投标商务响应</w:t>
            </w:r>
          </w:p>
        </w:tc>
        <w:tc>
          <w:tcPr>
            <w:tcW w:w="851" w:type="dxa"/>
            <w:noWrap w:val="0"/>
            <w:vAlign w:val="center"/>
          </w:tcPr>
          <w:p w14:paraId="41AB8AC0">
            <w:pPr>
              <w:keepNext w:val="0"/>
              <w:keepLines w:val="0"/>
              <w:suppressLineNumbers w:val="0"/>
              <w:spacing w:before="0" w:beforeAutospacing="0" w:after="0" w:afterAutospacing="0"/>
              <w:ind w:left="0" w:right="0"/>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偏离</w:t>
            </w:r>
          </w:p>
          <w:p w14:paraId="7E72933E">
            <w:pPr>
              <w:keepNext w:val="0"/>
              <w:keepLines w:val="0"/>
              <w:suppressLineNumbers w:val="0"/>
              <w:spacing w:before="0" w:beforeAutospacing="0" w:after="0" w:afterAutospacing="0"/>
              <w:ind w:left="0" w:right="0"/>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情况</w:t>
            </w:r>
          </w:p>
        </w:tc>
        <w:tc>
          <w:tcPr>
            <w:tcW w:w="617" w:type="dxa"/>
            <w:noWrap w:val="0"/>
            <w:vAlign w:val="center"/>
          </w:tcPr>
          <w:p w14:paraId="046E9BBA">
            <w:pPr>
              <w:keepNext w:val="0"/>
              <w:keepLines w:val="0"/>
              <w:suppressLineNumbers w:val="0"/>
              <w:spacing w:before="0" w:beforeAutospacing="0" w:after="0" w:afterAutospacing="0"/>
              <w:ind w:left="0" w:right="0"/>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说明</w:t>
            </w:r>
          </w:p>
        </w:tc>
      </w:tr>
      <w:tr w14:paraId="4606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noWrap w:val="0"/>
            <w:vAlign w:val="center"/>
          </w:tcPr>
          <w:p w14:paraId="6617D673">
            <w:pPr>
              <w:keepNext w:val="0"/>
              <w:keepLines w:val="0"/>
              <w:suppressLineNumbers w:val="0"/>
              <w:spacing w:before="0" w:beforeAutospacing="0" w:after="0" w:afterAutospacing="0"/>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1</w:t>
            </w:r>
          </w:p>
        </w:tc>
        <w:tc>
          <w:tcPr>
            <w:tcW w:w="3260" w:type="dxa"/>
            <w:noWrap w:val="0"/>
            <w:vAlign w:val="top"/>
          </w:tcPr>
          <w:p w14:paraId="1991FFA3">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（一）交付期限</w:t>
            </w:r>
          </w:p>
          <w:p w14:paraId="32B131C2">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★1.自中标人接收待修复标本之日起 30 个日历日内完成采购人指定的至少50件标本的修复， 60个日历日内完成采购人指定的至少100件标本的修复，剩余标本在120个日历日内完成修复。</w:t>
            </w:r>
          </w:p>
        </w:tc>
        <w:tc>
          <w:tcPr>
            <w:tcW w:w="3260" w:type="dxa"/>
            <w:noWrap w:val="0"/>
            <w:vAlign w:val="top"/>
          </w:tcPr>
          <w:p w14:paraId="0E0F34B2">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zCs w:val="21"/>
                <w:highlight w:val="none"/>
              </w:rPr>
            </w:pPr>
          </w:p>
        </w:tc>
        <w:tc>
          <w:tcPr>
            <w:tcW w:w="851" w:type="dxa"/>
            <w:noWrap w:val="0"/>
            <w:vAlign w:val="top"/>
          </w:tcPr>
          <w:p w14:paraId="21C1D31C">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c>
          <w:tcPr>
            <w:tcW w:w="617" w:type="dxa"/>
            <w:noWrap w:val="0"/>
            <w:vAlign w:val="top"/>
          </w:tcPr>
          <w:p w14:paraId="4226392C">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r>
      <w:tr w14:paraId="2239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noWrap w:val="0"/>
            <w:vAlign w:val="center"/>
          </w:tcPr>
          <w:p w14:paraId="4AEF3838">
            <w:pPr>
              <w:keepNext w:val="0"/>
              <w:keepLines w:val="0"/>
              <w:suppressLineNumbers w:val="0"/>
              <w:spacing w:before="0" w:beforeAutospacing="0" w:after="0" w:afterAutospacing="0"/>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2</w:t>
            </w:r>
          </w:p>
        </w:tc>
        <w:tc>
          <w:tcPr>
            <w:tcW w:w="3260" w:type="dxa"/>
            <w:noWrap w:val="0"/>
            <w:vAlign w:val="top"/>
          </w:tcPr>
          <w:p w14:paraId="33F45A52">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（二）包装及运输要求</w:t>
            </w:r>
          </w:p>
          <w:p w14:paraId="6B76CAA5">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中标人负责将修复后的标本实物运抵采购人指定的地点，并负责提供标本实物的包装，以及保证包装应适合于运输距离、防潮、防震、防腐蚀和防粗暴装卸，确保标本实物安全无损运抵交货地点。在标本实物运抵采购人并验收合格前产生的一切不利后果，包括但不限于运输毁损、被盗或遗失等突发情形，均由中标人承担，并提供应对措施，以保障采购人权益。</w:t>
            </w:r>
          </w:p>
          <w:p w14:paraId="27AAEA11">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★2.标本运费、安全保障费、装卸摆放费等因交货产生的所有费用已包含在本项目总体费用中，采购人不再另行支付其他任何费用。</w:t>
            </w:r>
          </w:p>
        </w:tc>
        <w:tc>
          <w:tcPr>
            <w:tcW w:w="3260" w:type="dxa"/>
            <w:noWrap w:val="0"/>
            <w:vAlign w:val="top"/>
          </w:tcPr>
          <w:p w14:paraId="1DC37D16">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c>
          <w:tcPr>
            <w:tcW w:w="851" w:type="dxa"/>
            <w:noWrap w:val="0"/>
            <w:vAlign w:val="top"/>
          </w:tcPr>
          <w:p w14:paraId="04D7CB1E">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c>
          <w:tcPr>
            <w:tcW w:w="617" w:type="dxa"/>
            <w:noWrap w:val="0"/>
            <w:vAlign w:val="top"/>
          </w:tcPr>
          <w:p w14:paraId="1BC5872F">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r>
      <w:tr w14:paraId="6B55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noWrap w:val="0"/>
            <w:vAlign w:val="center"/>
          </w:tcPr>
          <w:p w14:paraId="12957094">
            <w:pPr>
              <w:keepNext w:val="0"/>
              <w:keepLines w:val="0"/>
              <w:suppressLineNumbers w:val="0"/>
              <w:spacing w:before="0" w:beforeAutospacing="0" w:after="0" w:afterAutospacing="0"/>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3</w:t>
            </w:r>
          </w:p>
        </w:tc>
        <w:tc>
          <w:tcPr>
            <w:tcW w:w="3260" w:type="dxa"/>
            <w:noWrap w:val="0"/>
            <w:vAlign w:val="top"/>
          </w:tcPr>
          <w:p w14:paraId="59191C14">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（三）服务地点</w:t>
            </w:r>
          </w:p>
          <w:p w14:paraId="39C35F44">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采购方指定的地点。</w:t>
            </w:r>
          </w:p>
        </w:tc>
        <w:tc>
          <w:tcPr>
            <w:tcW w:w="3260" w:type="dxa"/>
            <w:noWrap w:val="0"/>
            <w:vAlign w:val="top"/>
          </w:tcPr>
          <w:p w14:paraId="6FEFB024">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c>
          <w:tcPr>
            <w:tcW w:w="851" w:type="dxa"/>
            <w:noWrap w:val="0"/>
            <w:vAlign w:val="top"/>
          </w:tcPr>
          <w:p w14:paraId="017F3016">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c>
          <w:tcPr>
            <w:tcW w:w="617" w:type="dxa"/>
            <w:noWrap w:val="0"/>
            <w:vAlign w:val="top"/>
          </w:tcPr>
          <w:p w14:paraId="66D0DE94">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r>
      <w:tr w14:paraId="7239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noWrap w:val="0"/>
            <w:vAlign w:val="center"/>
          </w:tcPr>
          <w:p w14:paraId="779991DA">
            <w:pPr>
              <w:keepNext w:val="0"/>
              <w:keepLines w:val="0"/>
              <w:suppressLineNumbers w:val="0"/>
              <w:spacing w:before="0" w:beforeAutospacing="0" w:after="0" w:afterAutospacing="0"/>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4</w:t>
            </w:r>
          </w:p>
        </w:tc>
        <w:tc>
          <w:tcPr>
            <w:tcW w:w="3260" w:type="dxa"/>
            <w:noWrap w:val="0"/>
            <w:vAlign w:val="top"/>
          </w:tcPr>
          <w:p w14:paraId="7405BD07">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（四）付款方式</w:t>
            </w:r>
          </w:p>
          <w:p w14:paraId="64DEC254">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1）合同签订后，第一批采购人指定的至少50件标本修复完成送达采购人指定地点并经采购人验收合格后，凭中标人提供的发票及双方签字确认的结算单，采购人在10个工作日内与中标人据实结算项目款项。第二批采购人指定的至少100件标本修复完成送达采购人指定地点并经采购人验收合格后，凭中标人提供的发票及双方签字确认的结算单，采购人在10个工作日内与中标人据实结算项目款项。剩余标本修复完成送达采购人指定地点并经采购人验收合格后，凭中标人提供的发票及双方签字确认的结算单，采购人在10个工作日内与中标人据实结算项目款项。</w:t>
            </w:r>
          </w:p>
          <w:p w14:paraId="43DC20D5">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（2）对于中标人根据合同约定和法律法规应当承担的违约金、损害赔偿金，以及其他应当承担的费用等，中标人拒不承担的，采购人有权直接在付款时做扣除处理。</w:t>
            </w:r>
          </w:p>
        </w:tc>
        <w:tc>
          <w:tcPr>
            <w:tcW w:w="3260" w:type="dxa"/>
            <w:noWrap w:val="0"/>
            <w:vAlign w:val="top"/>
          </w:tcPr>
          <w:p w14:paraId="4FA78234">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c>
          <w:tcPr>
            <w:tcW w:w="851" w:type="dxa"/>
            <w:noWrap w:val="0"/>
            <w:vAlign w:val="top"/>
          </w:tcPr>
          <w:p w14:paraId="467F0A33">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c>
          <w:tcPr>
            <w:tcW w:w="617" w:type="dxa"/>
            <w:noWrap w:val="0"/>
            <w:vAlign w:val="top"/>
          </w:tcPr>
          <w:p w14:paraId="0FADB81C">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r>
      <w:tr w14:paraId="480C9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noWrap w:val="0"/>
            <w:vAlign w:val="center"/>
          </w:tcPr>
          <w:p w14:paraId="1F9B0CB1">
            <w:pPr>
              <w:keepNext w:val="0"/>
              <w:keepLines w:val="0"/>
              <w:suppressLineNumbers w:val="0"/>
              <w:spacing w:before="0" w:beforeAutospacing="0" w:after="0" w:afterAutospacing="0"/>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5</w:t>
            </w:r>
          </w:p>
        </w:tc>
        <w:tc>
          <w:tcPr>
            <w:tcW w:w="3260" w:type="dxa"/>
            <w:noWrap w:val="0"/>
            <w:vAlign w:val="top"/>
          </w:tcPr>
          <w:p w14:paraId="0F1A5C14">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（五）验收要求</w:t>
            </w:r>
          </w:p>
          <w:p w14:paraId="744CBF42">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1）中标人交付的修复后的标本需完全符合招投标文件所规定的数量、质量和规格等要求。中标方交付修复后的标本后，采购人会对修复后的标本进行验收，中标人提供的修复后的标本不符合招投标文件和合同规定的，采购人有权拒收，由此引起的风险，由中标人承担。</w:t>
            </w:r>
          </w:p>
          <w:p w14:paraId="3176C09F">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2）化石表面围岩和覆土清理，平面上的化石骨骼和结构需暴露出来，采购人要求的微小细部和结构都必须暴露，不得损伤化石本体和自然骨面，易碎和已破碎的化石标本必须拼接加固好。修复过程中，如出现修复质量问题，采购人将提出相关整改要求，中标人未能在规定时间内完成整改、达到采购人修复质量要求时，采购人有权单方终止合同并要求中标人赔偿损失。</w:t>
            </w:r>
          </w:p>
          <w:p w14:paraId="27EF335C">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（3）当满足以下条件时，采购人才向中标人签发验收报告：</w:t>
            </w:r>
          </w:p>
          <w:p w14:paraId="76274EE3">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①修复后的标本符合招标文件技术规格书的要求，品质满足要求；</w:t>
            </w:r>
          </w:p>
          <w:p w14:paraId="31839E26">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②中标人已按照合同规定提供了全部修复后的标本及完整的技术资料；</w:t>
            </w:r>
          </w:p>
          <w:p w14:paraId="16DAA1E5">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③中标人已提供交付标本信息表。</w:t>
            </w:r>
          </w:p>
        </w:tc>
        <w:tc>
          <w:tcPr>
            <w:tcW w:w="3260" w:type="dxa"/>
            <w:noWrap w:val="0"/>
            <w:vAlign w:val="top"/>
          </w:tcPr>
          <w:p w14:paraId="1576926A">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c>
          <w:tcPr>
            <w:tcW w:w="851" w:type="dxa"/>
            <w:noWrap w:val="0"/>
            <w:vAlign w:val="top"/>
          </w:tcPr>
          <w:p w14:paraId="12290D6A">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c>
          <w:tcPr>
            <w:tcW w:w="617" w:type="dxa"/>
            <w:noWrap w:val="0"/>
            <w:vAlign w:val="top"/>
          </w:tcPr>
          <w:p w14:paraId="1322076F">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r>
      <w:tr w14:paraId="2A1B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noWrap w:val="0"/>
            <w:vAlign w:val="center"/>
          </w:tcPr>
          <w:p w14:paraId="227BFC81">
            <w:pPr>
              <w:keepNext w:val="0"/>
              <w:keepLines w:val="0"/>
              <w:suppressLineNumbers w:val="0"/>
              <w:spacing w:before="0" w:beforeAutospacing="0" w:after="0" w:afterAutospacing="0"/>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6</w:t>
            </w:r>
          </w:p>
        </w:tc>
        <w:tc>
          <w:tcPr>
            <w:tcW w:w="3260" w:type="dxa"/>
            <w:noWrap w:val="0"/>
            <w:vAlign w:val="top"/>
          </w:tcPr>
          <w:p w14:paraId="3D13A658">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★（六）保密要求</w:t>
            </w:r>
          </w:p>
          <w:p w14:paraId="4089883E">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 xml:space="preserve">中标人须严格遵守保密义务，不得擅自研究、翻制或泄露化石相关信息。 </w:t>
            </w:r>
          </w:p>
        </w:tc>
        <w:tc>
          <w:tcPr>
            <w:tcW w:w="3260" w:type="dxa"/>
            <w:noWrap w:val="0"/>
            <w:vAlign w:val="top"/>
          </w:tcPr>
          <w:p w14:paraId="336DEEC4">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c>
          <w:tcPr>
            <w:tcW w:w="851" w:type="dxa"/>
            <w:noWrap w:val="0"/>
            <w:vAlign w:val="top"/>
          </w:tcPr>
          <w:p w14:paraId="266439AB">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c>
          <w:tcPr>
            <w:tcW w:w="617" w:type="dxa"/>
            <w:noWrap w:val="0"/>
            <w:vAlign w:val="top"/>
          </w:tcPr>
          <w:p w14:paraId="2472426D">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r>
      <w:tr w14:paraId="3081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534" w:type="dxa"/>
            <w:noWrap w:val="0"/>
            <w:vAlign w:val="center"/>
          </w:tcPr>
          <w:p w14:paraId="2DFF0C77">
            <w:pPr>
              <w:keepNext w:val="0"/>
              <w:keepLines w:val="0"/>
              <w:suppressLineNumbers w:val="0"/>
              <w:spacing w:before="0" w:beforeAutospacing="0" w:after="0" w:afterAutospacing="0"/>
              <w:ind w:left="0" w:right="0"/>
              <w:jc w:val="center"/>
              <w:rPr>
                <w:rFonts w:hint="eastAsia" w:ascii="仿宋" w:hAnsi="仿宋" w:eastAsia="仿宋" w:cs="仿宋"/>
                <w:bCs/>
                <w:color w:val="000000"/>
                <w:szCs w:val="21"/>
                <w:highlight w:val="none"/>
                <w:lang w:val="en-US" w:eastAsia="zh-CN"/>
              </w:rPr>
            </w:pPr>
            <w:r>
              <w:rPr>
                <w:rFonts w:hint="eastAsia" w:ascii="仿宋" w:hAnsi="仿宋" w:eastAsia="仿宋" w:cs="仿宋"/>
                <w:bCs/>
                <w:color w:val="000000"/>
                <w:szCs w:val="21"/>
                <w:highlight w:val="none"/>
                <w:lang w:val="en-US" w:eastAsia="zh-CN"/>
              </w:rPr>
              <w:t>7</w:t>
            </w:r>
          </w:p>
        </w:tc>
        <w:tc>
          <w:tcPr>
            <w:tcW w:w="3260" w:type="dxa"/>
            <w:noWrap w:val="0"/>
            <w:vAlign w:val="top"/>
          </w:tcPr>
          <w:p w14:paraId="714A0C1C">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（七）违约责任</w:t>
            </w:r>
          </w:p>
          <w:p w14:paraId="599F7CEC">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按照合同违约条款执行。</w:t>
            </w:r>
          </w:p>
        </w:tc>
        <w:tc>
          <w:tcPr>
            <w:tcW w:w="3260" w:type="dxa"/>
            <w:noWrap w:val="0"/>
            <w:vAlign w:val="top"/>
          </w:tcPr>
          <w:p w14:paraId="0A1E11DE">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c>
          <w:tcPr>
            <w:tcW w:w="851" w:type="dxa"/>
            <w:noWrap w:val="0"/>
            <w:vAlign w:val="top"/>
          </w:tcPr>
          <w:p w14:paraId="151B4D46">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c>
          <w:tcPr>
            <w:tcW w:w="617" w:type="dxa"/>
            <w:noWrap w:val="0"/>
            <w:vAlign w:val="top"/>
          </w:tcPr>
          <w:p w14:paraId="2FAB2BF6">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r>
      <w:tr w14:paraId="6210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noWrap w:val="0"/>
            <w:vAlign w:val="center"/>
          </w:tcPr>
          <w:p w14:paraId="3680B6E6">
            <w:pPr>
              <w:keepNext w:val="0"/>
              <w:keepLines w:val="0"/>
              <w:suppressLineNumbers w:val="0"/>
              <w:spacing w:before="0" w:beforeAutospacing="0" w:after="0" w:afterAutospacing="0"/>
              <w:ind w:left="0" w:right="0"/>
              <w:jc w:val="center"/>
              <w:rPr>
                <w:rFonts w:hint="eastAsia" w:ascii="仿宋" w:hAnsi="仿宋" w:eastAsia="仿宋" w:cs="仿宋"/>
                <w:bCs/>
                <w:color w:val="000000"/>
                <w:szCs w:val="21"/>
                <w:highlight w:val="none"/>
                <w:lang w:val="en-US" w:eastAsia="zh-CN"/>
              </w:rPr>
            </w:pPr>
            <w:r>
              <w:rPr>
                <w:rFonts w:hint="eastAsia" w:ascii="仿宋" w:hAnsi="仿宋" w:eastAsia="仿宋" w:cs="仿宋"/>
                <w:bCs/>
                <w:color w:val="000000"/>
                <w:szCs w:val="21"/>
                <w:highlight w:val="none"/>
                <w:lang w:val="en-US" w:eastAsia="zh-CN"/>
              </w:rPr>
              <w:t>8</w:t>
            </w:r>
          </w:p>
        </w:tc>
        <w:tc>
          <w:tcPr>
            <w:tcW w:w="3260" w:type="dxa"/>
            <w:noWrap w:val="0"/>
            <w:vAlign w:val="top"/>
          </w:tcPr>
          <w:p w14:paraId="266F2A5A">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（八）人员要求</w:t>
            </w:r>
          </w:p>
          <w:p w14:paraId="038146FC">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本项目拟安排项目团队成员不少于6人，其中项目负责人1人，项目团队主要成员不少于5人。</w:t>
            </w:r>
          </w:p>
        </w:tc>
        <w:tc>
          <w:tcPr>
            <w:tcW w:w="3260" w:type="dxa"/>
            <w:noWrap w:val="0"/>
            <w:vAlign w:val="top"/>
          </w:tcPr>
          <w:p w14:paraId="7775B20C">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c>
          <w:tcPr>
            <w:tcW w:w="851" w:type="dxa"/>
            <w:noWrap w:val="0"/>
            <w:vAlign w:val="top"/>
          </w:tcPr>
          <w:p w14:paraId="4AAE05BB">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c>
          <w:tcPr>
            <w:tcW w:w="617" w:type="dxa"/>
            <w:noWrap w:val="0"/>
            <w:vAlign w:val="top"/>
          </w:tcPr>
          <w:p w14:paraId="0B29B744">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r>
      <w:tr w14:paraId="03545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noWrap w:val="0"/>
            <w:vAlign w:val="center"/>
          </w:tcPr>
          <w:p w14:paraId="099D6FF8">
            <w:pPr>
              <w:keepNext w:val="0"/>
              <w:keepLines w:val="0"/>
              <w:suppressLineNumbers w:val="0"/>
              <w:spacing w:before="0" w:beforeAutospacing="0" w:after="0" w:afterAutospacing="0"/>
              <w:ind w:left="0" w:right="0"/>
              <w:jc w:val="center"/>
              <w:rPr>
                <w:rFonts w:hint="default" w:ascii="仿宋" w:hAnsi="仿宋" w:eastAsia="仿宋" w:cs="仿宋"/>
                <w:bCs/>
                <w:color w:val="000000"/>
                <w:szCs w:val="21"/>
                <w:highlight w:val="none"/>
                <w:lang w:val="en-US" w:eastAsia="zh-CN"/>
              </w:rPr>
            </w:pPr>
            <w:r>
              <w:rPr>
                <w:rFonts w:hint="eastAsia" w:ascii="仿宋" w:hAnsi="仿宋" w:eastAsia="仿宋" w:cs="仿宋"/>
                <w:bCs/>
                <w:color w:val="000000"/>
                <w:szCs w:val="21"/>
                <w:highlight w:val="none"/>
                <w:lang w:val="en-US" w:eastAsia="zh-CN"/>
              </w:rPr>
              <w:t>9</w:t>
            </w:r>
          </w:p>
        </w:tc>
        <w:tc>
          <w:tcPr>
            <w:tcW w:w="3260" w:type="dxa"/>
            <w:noWrap w:val="0"/>
            <w:vAlign w:val="top"/>
          </w:tcPr>
          <w:p w14:paraId="155E478B">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（九）投标报价</w:t>
            </w:r>
          </w:p>
          <w:p w14:paraId="00128C70">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1.本项目由投标供应商根据各类别、面积标本修复基准价报整体折扣率，单件标本修复结算价=对应类别、面积标本修复基准价*折扣率。</w:t>
            </w:r>
          </w:p>
          <w:p w14:paraId="6E1946C4">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 xml:space="preserve">（1）填写要求：0＜折扣率≤1，未按此要求填写将视为无效投标； </w:t>
            </w:r>
          </w:p>
          <w:p w14:paraId="3C6470F2">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（2）填写的“折扣率”应为两位小数；如0.99、0.85、0.80等；</w:t>
            </w:r>
          </w:p>
          <w:p w14:paraId="37DE3E1B">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（3）投标人参与投标只允许填报唯一1个“折扣率”，不允许填报2个（或以上）的“折扣率”；填报了2个或以上“折扣率”的，其投标将直接作投标无效处理；</w:t>
            </w:r>
          </w:p>
          <w:p w14:paraId="223A9723">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（4）“折扣率”缺填、漏填的将直接作投标无效处理。</w:t>
            </w:r>
          </w:p>
          <w:p w14:paraId="60F9D95F">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2.本项目服务费包括服务成本、法定税费、修复工具及修复耗材成本、化石整饰及加固（包括但不限于背板钢架等）材料及人工费、包装运输及其过程中的安全保障费用、装卸摆放费用和供应商的利润。由供应商根据招标文件所提供的资料自行测算投标报价。</w:t>
            </w:r>
          </w:p>
          <w:p w14:paraId="3F0D0B70">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3.投标人应根据投标人自身的成本自行决定报价，但不得以低于投标人成本的报价投标；评标时，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应当将其作为无效投标处理。</w:t>
            </w:r>
          </w:p>
          <w:p w14:paraId="2C6DCAD5">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4.投标报价合理性的提交及认定,若评审委员会成员对是否须由投标人作出报价合理性说明，以及书面说明是否采纳等判断不一致的，按照“少数服从多数”的原则确定评审委员会的意见。</w:t>
            </w:r>
          </w:p>
          <w:p w14:paraId="02260CF4">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5.投标人的投标报价，应是本项目招标范围和招标文件及合同条款上所列的各项内容中所述的全部，不得以任何理由予以重复，并以投标人在投标文件中提出的综合单价或总价为依据。</w:t>
            </w:r>
          </w:p>
          <w:p w14:paraId="7C97DCF4">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6.投标人应充分了解项目的位置、情况、道路及任何其他足以影响投标报价的情况，任何因忽视或误解项目情况而导致的索赔或服务期限延长申请将不获批准。</w:t>
            </w:r>
          </w:p>
          <w:p w14:paraId="030519C1">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7.投标人不得期望通过索赔等方式获取补偿，否则，除可能遭到拒绝外，还可能将被作为不良行为记录在案，并可能影响其以后参加采购的项目投标。各投标人在投标报价时，应充分考虑投标报价的风险。</w:t>
            </w:r>
          </w:p>
        </w:tc>
        <w:tc>
          <w:tcPr>
            <w:tcW w:w="3260" w:type="dxa"/>
            <w:noWrap w:val="0"/>
            <w:vAlign w:val="top"/>
          </w:tcPr>
          <w:p w14:paraId="31B01596">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c>
          <w:tcPr>
            <w:tcW w:w="851" w:type="dxa"/>
            <w:noWrap w:val="0"/>
            <w:vAlign w:val="top"/>
          </w:tcPr>
          <w:p w14:paraId="24DC5F20">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c>
          <w:tcPr>
            <w:tcW w:w="617" w:type="dxa"/>
            <w:noWrap w:val="0"/>
            <w:vAlign w:val="top"/>
          </w:tcPr>
          <w:p w14:paraId="6B281FA2">
            <w:pPr>
              <w:keepNext w:val="0"/>
              <w:keepLines w:val="0"/>
              <w:suppressLineNumbers w:val="0"/>
              <w:spacing w:before="0" w:beforeAutospacing="0" w:after="0" w:afterAutospacing="0"/>
              <w:ind w:left="0" w:right="0"/>
              <w:rPr>
                <w:rFonts w:hint="eastAsia" w:ascii="仿宋" w:hAnsi="仿宋" w:eastAsia="仿宋" w:cs="仿宋"/>
                <w:bCs/>
                <w:color w:val="000000"/>
                <w:szCs w:val="21"/>
                <w:highlight w:val="none"/>
              </w:rPr>
            </w:pPr>
          </w:p>
        </w:tc>
      </w:tr>
    </w:tbl>
    <w:p w14:paraId="144D303B">
      <w:pPr>
        <w:ind w:firstLine="420" w:firstLineChars="200"/>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备注：</w:t>
      </w:r>
    </w:p>
    <w:p w14:paraId="5CD98DD3">
      <w:pPr>
        <w:ind w:firstLine="420" w:firstLineChars="200"/>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1.“招标商务条款”一栏是招标文件第</w:t>
      </w:r>
      <w:r>
        <w:rPr>
          <w:rFonts w:hint="eastAsia" w:ascii="仿宋" w:hAnsi="仿宋" w:eastAsia="仿宋" w:cs="仿宋"/>
          <w:bCs/>
          <w:color w:val="000000"/>
          <w:szCs w:val="21"/>
          <w:highlight w:val="none"/>
          <w:lang w:eastAsia="zh-CN"/>
        </w:rPr>
        <w:t>二</w:t>
      </w:r>
      <w:r>
        <w:rPr>
          <w:rFonts w:hint="eastAsia" w:ascii="仿宋" w:hAnsi="仿宋" w:eastAsia="仿宋" w:cs="仿宋"/>
          <w:bCs/>
          <w:color w:val="000000"/>
          <w:szCs w:val="21"/>
          <w:highlight w:val="none"/>
        </w:rPr>
        <w:t>册第三章“三、商务要求”的内容；</w:t>
      </w:r>
    </w:p>
    <w:p w14:paraId="4EC4B132">
      <w:pPr>
        <w:ind w:firstLine="420" w:firstLineChars="200"/>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2.“投标商务响应” 一栏是投标人根据自身情况填写对“商务要求”的响应；并列明响应的具体内容。</w:t>
      </w:r>
    </w:p>
    <w:p w14:paraId="4DDE5350">
      <w:pPr>
        <w:ind w:firstLine="420" w:firstLineChars="200"/>
        <w:jc w:val="right"/>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3.“偏离情况”一栏填写如实填写“正偏离”、“负偏离”或“无偏离”，其中：“正偏离”表示“投标响应优于招标商务条款”，“负偏离”表示“投标响应不满足招标商务条款”，“无偏离”表示“投标响应与招标商务条款一致”。“</w:t>
      </w:r>
      <w:r>
        <w:rPr>
          <w:rFonts w:hint="eastAsia" w:ascii="仿宋" w:hAnsi="仿宋" w:eastAsia="仿宋" w:cs="仿宋"/>
          <w:bCs/>
          <w:color w:val="000000"/>
          <w:szCs w:val="21"/>
          <w:highlight w:val="none"/>
          <w:lang w:eastAsia="zh-CN"/>
        </w:rPr>
        <w:t>投标商务响应</w:t>
      </w:r>
      <w:r>
        <w:rPr>
          <w:rFonts w:hint="eastAsia" w:ascii="仿宋" w:hAnsi="仿宋" w:eastAsia="仿宋" w:cs="仿宋"/>
          <w:bCs/>
          <w:color w:val="000000"/>
          <w:szCs w:val="21"/>
          <w:highlight w:val="none"/>
        </w:rPr>
        <w:t>”对比“招标商务条款”存在响应不全（包括未响应整项招标商务条款或者未响应一项招标商务条款的部分内容），均视为“负偏离”。</w:t>
      </w:r>
    </w:p>
    <w:p w14:paraId="283A16EE">
      <w:pPr>
        <w:ind w:firstLine="630" w:firstLineChars="300"/>
        <w:rPr>
          <w:rFonts w:hint="eastAsia" w:ascii="仿宋" w:hAnsi="仿宋" w:eastAsia="仿宋" w:cs="仿宋"/>
          <w:bCs/>
          <w:color w:val="000000"/>
          <w:szCs w:val="21"/>
          <w:highlight w:val="none"/>
        </w:rPr>
      </w:pPr>
    </w:p>
    <w:p w14:paraId="6562B761">
      <w:pPr>
        <w:spacing w:line="360" w:lineRule="auto"/>
        <w:rPr>
          <w:rFonts w:hint="eastAsia" w:ascii="仿宋" w:hAnsi="仿宋" w:eastAsia="仿宋" w:cs="仿宋"/>
          <w:bCs/>
          <w:color w:val="000000"/>
          <w:sz w:val="24"/>
          <w:highlight w:val="none"/>
        </w:rPr>
      </w:pPr>
    </w:p>
    <w:p w14:paraId="43BDAAD0">
      <w:pPr>
        <w:spacing w:line="360" w:lineRule="auto"/>
        <w:rPr>
          <w:rFonts w:hint="eastAsia" w:ascii="仿宋" w:hAnsi="仿宋" w:eastAsia="仿宋" w:cs="仿宋"/>
          <w:bCs/>
          <w:color w:val="000000"/>
          <w:sz w:val="24"/>
          <w:highlight w:val="none"/>
        </w:rPr>
      </w:pPr>
    </w:p>
    <w:p w14:paraId="3B84AC3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Cs/>
          <w:color w:val="000000"/>
          <w:sz w:val="24"/>
          <w:highlight w:val="none"/>
        </w:rPr>
      </w:pPr>
    </w:p>
    <w:p w14:paraId="3E70CD53">
      <w:pPr>
        <w:keepNext w:val="0"/>
        <w:keepLines w:val="0"/>
        <w:pageBreakBefore w:val="0"/>
        <w:widowControl w:val="0"/>
        <w:kinsoku/>
        <w:wordWrap/>
        <w:overflowPunct/>
        <w:topLinePunct w:val="0"/>
        <w:autoSpaceDE/>
        <w:autoSpaceDN/>
        <w:bidi w:val="0"/>
        <w:adjustRightInd/>
        <w:snapToGrid/>
        <w:ind w:firstLine="3150" w:firstLineChars="1500"/>
        <w:jc w:val="left"/>
        <w:textAlignment w:val="auto"/>
        <w:outlineLvl w:val="9"/>
        <w:rPr>
          <w:rFonts w:hint="eastAsia" w:ascii="仿宋" w:hAnsi="仿宋" w:eastAsia="仿宋" w:cs="仿宋"/>
          <w:color w:val="000000"/>
          <w:highlight w:val="none"/>
        </w:rPr>
      </w:pPr>
      <w:bookmarkStart w:id="327" w:name="_Toc911"/>
      <w:r>
        <w:rPr>
          <w:rFonts w:hint="eastAsia" w:ascii="仿宋" w:hAnsi="仿宋" w:eastAsia="仿宋" w:cs="仿宋"/>
          <w:color w:val="000000"/>
          <w:highlight w:val="none"/>
        </w:rPr>
        <w:t>法定代表人或其授权委托人（</w:t>
      </w:r>
      <w:r>
        <w:rPr>
          <w:rFonts w:hint="eastAsia" w:ascii="仿宋" w:hAnsi="仿宋" w:eastAsia="仿宋" w:cs="仿宋"/>
          <w:b/>
          <w:color w:val="000000"/>
          <w:highlight w:val="none"/>
        </w:rPr>
        <w:t>签名或盖私章</w:t>
      </w:r>
      <w:r>
        <w:rPr>
          <w:rFonts w:hint="eastAsia" w:ascii="仿宋" w:hAnsi="仿宋" w:eastAsia="仿宋" w:cs="仿宋"/>
          <w:color w:val="000000"/>
          <w:highlight w:val="none"/>
        </w:rPr>
        <w:t>）：</w:t>
      </w:r>
      <w:bookmarkEnd w:id="327"/>
    </w:p>
    <w:p w14:paraId="17E50EA2">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color w:val="000000"/>
          <w:highlight w:val="none"/>
        </w:rPr>
      </w:pPr>
    </w:p>
    <w:p w14:paraId="3207709C">
      <w:pPr>
        <w:keepNext w:val="0"/>
        <w:keepLines w:val="0"/>
        <w:pageBreakBefore w:val="0"/>
        <w:widowControl w:val="0"/>
        <w:kinsoku/>
        <w:wordWrap/>
        <w:overflowPunct/>
        <w:topLinePunct w:val="0"/>
        <w:autoSpaceDE/>
        <w:autoSpaceDN/>
        <w:bidi w:val="0"/>
        <w:adjustRightInd/>
        <w:snapToGrid/>
        <w:ind w:firstLine="3150" w:firstLineChars="1500"/>
        <w:jc w:val="left"/>
        <w:textAlignment w:val="auto"/>
        <w:outlineLvl w:val="9"/>
        <w:rPr>
          <w:rFonts w:hint="eastAsia" w:ascii="仿宋" w:hAnsi="仿宋" w:eastAsia="仿宋" w:cs="仿宋"/>
          <w:color w:val="000000"/>
          <w:highlight w:val="none"/>
        </w:rPr>
      </w:pPr>
      <w:bookmarkStart w:id="328" w:name="_Toc22853"/>
      <w:r>
        <w:rPr>
          <w:rFonts w:hint="eastAsia" w:ascii="仿宋" w:hAnsi="仿宋" w:eastAsia="仿宋" w:cs="仿宋"/>
          <w:color w:val="000000"/>
          <w:highlight w:val="none"/>
        </w:rPr>
        <w:t>投标单位（</w:t>
      </w:r>
      <w:r>
        <w:rPr>
          <w:rFonts w:hint="eastAsia" w:ascii="仿宋" w:hAnsi="仿宋" w:eastAsia="仿宋" w:cs="仿宋"/>
          <w:b/>
          <w:color w:val="000000"/>
          <w:highlight w:val="none"/>
        </w:rPr>
        <w:t>盖公章</w:t>
      </w:r>
      <w:r>
        <w:rPr>
          <w:rFonts w:hint="eastAsia" w:ascii="仿宋" w:hAnsi="仿宋" w:eastAsia="仿宋" w:cs="仿宋"/>
          <w:color w:val="000000"/>
          <w:highlight w:val="none"/>
        </w:rPr>
        <w:t>）：</w:t>
      </w:r>
      <w:bookmarkEnd w:id="328"/>
    </w:p>
    <w:p w14:paraId="2E112BAE">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color w:val="000000"/>
          <w:highlight w:val="none"/>
        </w:rPr>
      </w:pPr>
    </w:p>
    <w:p w14:paraId="411515D6">
      <w:pPr>
        <w:keepNext w:val="0"/>
        <w:keepLines w:val="0"/>
        <w:pageBreakBefore w:val="0"/>
        <w:widowControl w:val="0"/>
        <w:kinsoku/>
        <w:wordWrap/>
        <w:overflowPunct/>
        <w:topLinePunct w:val="0"/>
        <w:autoSpaceDE/>
        <w:autoSpaceDN/>
        <w:bidi w:val="0"/>
        <w:adjustRightInd/>
        <w:snapToGrid/>
        <w:jc w:val="right"/>
        <w:textAlignment w:val="auto"/>
        <w:outlineLvl w:val="9"/>
        <w:rPr>
          <w:rFonts w:hint="eastAsia" w:ascii="仿宋" w:hAnsi="仿宋" w:eastAsia="仿宋" w:cs="仿宋"/>
          <w:color w:val="000000"/>
          <w:highlight w:val="none"/>
        </w:rPr>
      </w:pPr>
      <w:r>
        <w:rPr>
          <w:rFonts w:hint="eastAsia" w:ascii="仿宋" w:hAnsi="仿宋" w:eastAsia="仿宋" w:cs="仿宋"/>
          <w:color w:val="000000"/>
          <w:highlight w:val="none"/>
        </w:rPr>
        <w:t>日期：    年  月  日</w:t>
      </w:r>
    </w:p>
    <w:p w14:paraId="69E6E1AE">
      <w:pPr>
        <w:spacing w:line="360" w:lineRule="auto"/>
        <w:rPr>
          <w:rFonts w:hint="eastAsia" w:ascii="仿宋" w:hAnsi="仿宋" w:eastAsia="仿宋" w:cs="仿宋"/>
          <w:bCs/>
          <w:sz w:val="24"/>
          <w:highlight w:val="none"/>
        </w:rPr>
      </w:pPr>
    </w:p>
    <w:p w14:paraId="0652F90A">
      <w:pPr>
        <w:spacing w:line="360" w:lineRule="auto"/>
        <w:rPr>
          <w:rFonts w:hint="eastAsia" w:ascii="仿宋" w:hAnsi="仿宋" w:eastAsia="仿宋" w:cs="仿宋"/>
          <w:bCs/>
          <w:sz w:val="24"/>
          <w:highlight w:val="none"/>
        </w:rPr>
      </w:pPr>
    </w:p>
    <w:p w14:paraId="324E6182">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2E557635">
      <w:pPr>
        <w:pStyle w:val="4"/>
        <w:spacing w:before="120" w:after="120"/>
        <w:jc w:val="center"/>
        <w:outlineLvl w:val="2"/>
        <w:rPr>
          <w:rFonts w:hint="eastAsia" w:ascii="仿宋" w:hAnsi="仿宋" w:eastAsia="仿宋" w:cs="仿宋"/>
          <w:b/>
          <w:bCs/>
          <w:sz w:val="28"/>
          <w:szCs w:val="28"/>
          <w:highlight w:val="none"/>
        </w:rPr>
      </w:pPr>
      <w:bookmarkStart w:id="329" w:name="_Toc2865"/>
      <w:r>
        <w:rPr>
          <w:rFonts w:hint="eastAsia" w:ascii="仿宋" w:hAnsi="仿宋" w:eastAsia="仿宋" w:cs="仿宋"/>
          <w:b/>
          <w:bCs/>
          <w:sz w:val="28"/>
          <w:szCs w:val="28"/>
          <w:highlight w:val="none"/>
        </w:rPr>
        <w:t>十</w:t>
      </w:r>
      <w:r>
        <w:rPr>
          <w:rFonts w:hint="eastAsia" w:ascii="仿宋" w:hAnsi="仿宋" w:eastAsia="仿宋" w:cs="仿宋"/>
          <w:b/>
          <w:bCs/>
          <w:sz w:val="28"/>
          <w:szCs w:val="28"/>
          <w:highlight w:val="none"/>
          <w:lang w:val="en-US" w:eastAsia="zh-CN"/>
        </w:rPr>
        <w:t>二</w:t>
      </w:r>
      <w:r>
        <w:rPr>
          <w:rFonts w:hint="eastAsia" w:ascii="仿宋" w:hAnsi="仿宋" w:eastAsia="仿宋" w:cs="仿宋"/>
          <w:b/>
          <w:bCs/>
          <w:sz w:val="28"/>
          <w:szCs w:val="28"/>
          <w:highlight w:val="none"/>
        </w:rPr>
        <w:t>、招标文件要求的其他内容及投标人认为需要加以说明其他内容</w:t>
      </w:r>
      <w:bookmarkEnd w:id="257"/>
      <w:bookmarkEnd w:id="329"/>
    </w:p>
    <w:p w14:paraId="7BEBCE2A">
      <w:pPr>
        <w:keepNext w:val="0"/>
        <w:keepLines w:val="0"/>
        <w:pageBreakBefore w:val="0"/>
        <w:widowControl w:val="0"/>
        <w:kinsoku/>
        <w:overflowPunct/>
        <w:topLinePunct w:val="0"/>
        <w:bidi w:val="0"/>
        <w:adjustRightInd/>
        <w:snapToGrid/>
        <w:spacing w:line="240" w:lineRule="auto"/>
        <w:textAlignment w:val="auto"/>
        <w:rPr>
          <w:rFonts w:hint="eastAsia" w:ascii="仿宋" w:hAnsi="仿宋" w:eastAsia="仿宋" w:cs="仿宋"/>
          <w:b/>
          <w:bCs/>
          <w:sz w:val="21"/>
          <w:szCs w:val="21"/>
          <w:highlight w:val="none"/>
          <w:lang w:eastAsia="zh-CN"/>
        </w:rPr>
      </w:pP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lang w:val="en-US" w:eastAsia="zh-CN"/>
        </w:rPr>
        <w:t>1</w:t>
      </w:r>
      <w:r>
        <w:rPr>
          <w:rFonts w:hint="eastAsia" w:ascii="仿宋" w:hAnsi="仿宋" w:eastAsia="仿宋" w:cs="仿宋"/>
          <w:b/>
          <w:bCs/>
          <w:sz w:val="21"/>
          <w:szCs w:val="21"/>
          <w:highlight w:val="none"/>
          <w:lang w:eastAsia="zh-CN"/>
        </w:rPr>
        <w:t>）采购违法行为风险知悉确认书</w:t>
      </w:r>
    </w:p>
    <w:tbl>
      <w:tblPr>
        <w:tblStyle w:val="44"/>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181F62F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30620D1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rightChars="0" w:firstLine="404" w:firstLineChars="200"/>
              <w:jc w:val="left"/>
              <w:textAlignment w:val="auto"/>
              <w:rPr>
                <w:rFonts w:hint="eastAsia" w:ascii="仿宋" w:hAnsi="仿宋" w:eastAsia="仿宋" w:cs="仿宋"/>
                <w:spacing w:val="-4"/>
                <w:kern w:val="0"/>
                <w:sz w:val="21"/>
                <w:szCs w:val="21"/>
                <w:highlight w:val="none"/>
                <w:lang w:val="en-US" w:eastAsia="zh-CN" w:bidi="ar-SA"/>
              </w:rPr>
            </w:pPr>
            <w:r>
              <w:rPr>
                <w:rFonts w:hint="eastAsia" w:ascii="仿宋" w:hAnsi="仿宋" w:eastAsia="仿宋" w:cs="仿宋"/>
                <w:spacing w:val="-4"/>
                <w:kern w:val="0"/>
                <w:sz w:val="21"/>
                <w:szCs w:val="21"/>
                <w:highlight w:val="none"/>
                <w:lang w:val="en-US" w:eastAsia="zh-CN" w:bidi="ar-SA"/>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7594"/>
            </w:tblGrid>
            <w:tr w14:paraId="2E1D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34EAB250">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7811" w:type="dxa"/>
                </w:tcPr>
                <w:p w14:paraId="6ABE5C67">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sz w:val="21"/>
                      <w:szCs w:val="21"/>
                      <w:highlight w:val="none"/>
                    </w:rPr>
                  </w:pPr>
                  <w:r>
                    <w:rPr>
                      <w:rFonts w:hint="eastAsia" w:ascii="仿宋" w:hAnsi="仿宋" w:eastAsia="仿宋" w:cs="仿宋"/>
                      <w:b/>
                      <w:bCs/>
                      <w:sz w:val="21"/>
                      <w:szCs w:val="21"/>
                      <w:highlight w:val="none"/>
                    </w:rPr>
                    <w:t>供应商参与投标禁止情形</w:t>
                  </w:r>
                </w:p>
              </w:tc>
            </w:tr>
            <w:tr w14:paraId="6569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3A6C02BB">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7811" w:type="dxa"/>
                  <w:vAlign w:val="center"/>
                </w:tcPr>
                <w:p w14:paraId="3FC55B25">
                  <w:pPr>
                    <w:keepNext w:val="0"/>
                    <w:keepLines w:val="0"/>
                    <w:widowControl w:val="0"/>
                    <w:suppressLineNumbers w:val="0"/>
                    <w:spacing w:before="0" w:beforeAutospacing="0" w:after="0" w:afterAutospacing="0" w:line="400" w:lineRule="exact"/>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与其他投标供应商的法定代表人、主要经营负责人、投标授权代表人、项目负责人、主要技术人员为</w:t>
                  </w:r>
                  <w:r>
                    <w:rPr>
                      <w:rFonts w:hint="eastAsia" w:ascii="仿宋" w:hAnsi="仿宋" w:eastAsia="仿宋" w:cs="仿宋"/>
                      <w:b/>
                      <w:bCs/>
                      <w:sz w:val="21"/>
                      <w:szCs w:val="21"/>
                      <w:highlight w:val="none"/>
                    </w:rPr>
                    <w:t>同一人、属同一单位或者在同一单位缴纳社会保险</w:t>
                  </w:r>
                  <w:r>
                    <w:rPr>
                      <w:rFonts w:hint="eastAsia" w:ascii="仿宋" w:hAnsi="仿宋" w:eastAsia="仿宋" w:cs="仿宋"/>
                      <w:sz w:val="21"/>
                      <w:szCs w:val="21"/>
                      <w:highlight w:val="none"/>
                    </w:rPr>
                    <w:t>。</w:t>
                  </w:r>
                </w:p>
              </w:tc>
            </w:tr>
            <w:tr w14:paraId="45AD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68B33020">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7811" w:type="dxa"/>
                  <w:vAlign w:val="center"/>
                </w:tcPr>
                <w:p w14:paraId="0ECAB760">
                  <w:pPr>
                    <w:keepNext w:val="0"/>
                    <w:keepLines w:val="0"/>
                    <w:widowControl w:val="0"/>
                    <w:suppressLineNumbers w:val="0"/>
                    <w:spacing w:before="0" w:beforeAutospacing="0" w:after="0" w:afterAutospacing="0" w:line="400" w:lineRule="exact"/>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参与本项目采购活动时，与其他投标供应商存在单位负责人为</w:t>
                  </w:r>
                  <w:r>
                    <w:rPr>
                      <w:rFonts w:hint="eastAsia" w:ascii="仿宋" w:hAnsi="仿宋" w:eastAsia="仿宋" w:cs="仿宋"/>
                      <w:b/>
                      <w:bCs/>
                      <w:sz w:val="21"/>
                      <w:szCs w:val="21"/>
                      <w:highlight w:val="none"/>
                    </w:rPr>
                    <w:t>同一人或直接控股、管理关系</w:t>
                  </w:r>
                  <w:r>
                    <w:rPr>
                      <w:rFonts w:hint="eastAsia" w:ascii="仿宋" w:hAnsi="仿宋" w:eastAsia="仿宋" w:cs="仿宋"/>
                      <w:sz w:val="21"/>
                      <w:szCs w:val="21"/>
                      <w:highlight w:val="none"/>
                    </w:rPr>
                    <w:t>。</w:t>
                  </w:r>
                </w:p>
              </w:tc>
            </w:tr>
            <w:tr w14:paraId="3EEB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67209AD">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7811" w:type="dxa"/>
                  <w:vAlign w:val="center"/>
                </w:tcPr>
                <w:p w14:paraId="7CA5BC14">
                  <w:pPr>
                    <w:keepNext w:val="0"/>
                    <w:keepLines w:val="0"/>
                    <w:widowControl w:val="0"/>
                    <w:suppressLineNumbers w:val="0"/>
                    <w:spacing w:before="0" w:beforeAutospacing="0" w:after="0" w:afterAutospacing="0" w:line="400" w:lineRule="exact"/>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与其他投标供应商的投标文件或部分投标文件</w:t>
                  </w:r>
                  <w:r>
                    <w:rPr>
                      <w:rFonts w:hint="eastAsia" w:ascii="仿宋" w:hAnsi="仿宋" w:eastAsia="仿宋" w:cs="仿宋"/>
                      <w:b/>
                      <w:bCs/>
                      <w:sz w:val="21"/>
                      <w:szCs w:val="21"/>
                      <w:highlight w:val="none"/>
                    </w:rPr>
                    <w:t>相互混装或存在非正常一致</w:t>
                  </w:r>
                  <w:r>
                    <w:rPr>
                      <w:rFonts w:hint="eastAsia" w:ascii="仿宋" w:hAnsi="仿宋" w:eastAsia="仿宋" w:cs="仿宋"/>
                      <w:sz w:val="21"/>
                      <w:szCs w:val="21"/>
                      <w:highlight w:val="none"/>
                    </w:rPr>
                    <w:t>。</w:t>
                  </w:r>
                </w:p>
              </w:tc>
            </w:tr>
            <w:tr w14:paraId="0EDED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08B445E">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7811" w:type="dxa"/>
                  <w:vAlign w:val="center"/>
                </w:tcPr>
                <w:p w14:paraId="658BD0E3">
                  <w:pPr>
                    <w:keepNext w:val="0"/>
                    <w:keepLines w:val="0"/>
                    <w:widowControl w:val="0"/>
                    <w:suppressLineNumbers w:val="0"/>
                    <w:spacing w:before="0" w:beforeAutospacing="0" w:after="0" w:afterAutospacing="0" w:line="400" w:lineRule="exact"/>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与其他投标供应商的投标文件由</w:t>
                  </w:r>
                  <w:r>
                    <w:rPr>
                      <w:rFonts w:hint="eastAsia" w:ascii="仿宋" w:hAnsi="仿宋" w:eastAsia="仿宋" w:cs="仿宋"/>
                      <w:b/>
                      <w:bCs/>
                      <w:sz w:val="21"/>
                      <w:szCs w:val="21"/>
                      <w:highlight w:val="none"/>
                    </w:rPr>
                    <w:t>同一单位或者同一人编制</w:t>
                  </w:r>
                  <w:r>
                    <w:rPr>
                      <w:rFonts w:hint="eastAsia" w:ascii="仿宋" w:hAnsi="仿宋" w:eastAsia="仿宋" w:cs="仿宋"/>
                      <w:sz w:val="21"/>
                      <w:szCs w:val="21"/>
                      <w:highlight w:val="none"/>
                    </w:rPr>
                    <w:t>，或者使用</w:t>
                  </w:r>
                  <w:r>
                    <w:rPr>
                      <w:rFonts w:hint="eastAsia" w:ascii="仿宋" w:hAnsi="仿宋" w:eastAsia="仿宋" w:cs="仿宋"/>
                      <w:b/>
                      <w:bCs/>
                      <w:sz w:val="21"/>
                      <w:szCs w:val="21"/>
                      <w:highlight w:val="none"/>
                    </w:rPr>
                    <w:t>同一设备编制</w:t>
                  </w:r>
                  <w:r>
                    <w:rPr>
                      <w:rFonts w:hint="eastAsia" w:ascii="仿宋" w:hAnsi="仿宋" w:eastAsia="仿宋" w:cs="仿宋"/>
                      <w:sz w:val="21"/>
                      <w:szCs w:val="21"/>
                      <w:highlight w:val="none"/>
                    </w:rPr>
                    <w:t>。</w:t>
                  </w:r>
                </w:p>
              </w:tc>
            </w:tr>
            <w:tr w14:paraId="28E2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36B089F3">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7811" w:type="dxa"/>
                  <w:vAlign w:val="center"/>
                </w:tcPr>
                <w:p w14:paraId="26E7D189">
                  <w:pPr>
                    <w:keepNext w:val="0"/>
                    <w:keepLines w:val="0"/>
                    <w:widowControl w:val="0"/>
                    <w:suppressLineNumbers w:val="0"/>
                    <w:spacing w:before="0" w:beforeAutospacing="0" w:after="0" w:afterAutospacing="0" w:line="400" w:lineRule="exact"/>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提供</w:t>
                  </w:r>
                  <w:r>
                    <w:rPr>
                      <w:rFonts w:hint="eastAsia" w:ascii="仿宋" w:hAnsi="仿宋" w:eastAsia="仿宋" w:cs="仿宋"/>
                      <w:b/>
                      <w:bCs/>
                      <w:sz w:val="21"/>
                      <w:szCs w:val="21"/>
                      <w:highlight w:val="none"/>
                    </w:rPr>
                    <w:t>未经出具机构核实</w:t>
                  </w:r>
                  <w:r>
                    <w:rPr>
                      <w:rFonts w:hint="eastAsia" w:ascii="仿宋" w:hAnsi="仿宋" w:eastAsia="仿宋" w:cs="仿宋"/>
                      <w:sz w:val="21"/>
                      <w:szCs w:val="21"/>
                      <w:highlight w:val="none"/>
                    </w:rPr>
                    <w:t>的虚假的检验检测报告、业绩材料、社保缴纳证明、学历学位证书、职称认证证书等材料。</w:t>
                  </w:r>
                </w:p>
              </w:tc>
            </w:tr>
            <w:tr w14:paraId="2090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E106503">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6</w:t>
                  </w:r>
                </w:p>
              </w:tc>
              <w:tc>
                <w:tcPr>
                  <w:tcW w:w="7811" w:type="dxa"/>
                  <w:vAlign w:val="center"/>
                </w:tcPr>
                <w:p w14:paraId="6BAD8B0A">
                  <w:pPr>
                    <w:keepNext w:val="0"/>
                    <w:keepLines w:val="0"/>
                    <w:widowControl w:val="0"/>
                    <w:suppressLineNumbers w:val="0"/>
                    <w:spacing w:before="0" w:beforeAutospacing="0" w:after="0" w:afterAutospacing="0" w:line="400" w:lineRule="exact"/>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擅自将投标密钥或电子营业执照出借他人使用或未妥善保管。</w:t>
                  </w:r>
                </w:p>
              </w:tc>
            </w:tr>
          </w:tbl>
          <w:p w14:paraId="371B19A6">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本公司在投标前已充分知悉以下情形为参与采购活动时的重大风险事项，并承诺已对下述风险提示事项重点排查，做到严谨、诚信、依法依规参与采购活动。</w:t>
            </w:r>
          </w:p>
          <w:p w14:paraId="5267CFFD">
            <w:pPr>
              <w:keepNext w:val="0"/>
              <w:keepLines w:val="0"/>
              <w:suppressLineNumbers w:val="0"/>
              <w:spacing w:before="0" w:beforeAutospacing="0" w:after="0" w:afterAutospacing="0"/>
              <w:ind w:left="0" w:right="0"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一、本公司已充分知悉“隐瞒真实情况，提供虚假资料”的法定情形，相关情形包括但不限于：</w:t>
            </w:r>
          </w:p>
          <w:p w14:paraId="5A6033CE">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（一）通过转让或者租借等方式从其他单位获取资格或者资质证书投标的。</w:t>
            </w:r>
          </w:p>
          <w:p w14:paraId="20C3FE93">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（二）由其他单位或者其他单位负责人在投标供应商编制的投标文件上加盖印章或者签字的。</w:t>
            </w:r>
          </w:p>
          <w:p w14:paraId="71574564">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（三）项目负责人或者主要技术人员不是本单位人员的。</w:t>
            </w:r>
          </w:p>
          <w:p w14:paraId="5A0F2567">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（四）投标保证金不是从投标供应商基本账户转出的。</w:t>
            </w:r>
          </w:p>
          <w:p w14:paraId="3FDA5DB0">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（五）其他隐瞒真实情况、提供虚假资料的行为。</w:t>
            </w:r>
          </w:p>
          <w:p w14:paraId="6212B821">
            <w:pPr>
              <w:keepNext w:val="0"/>
              <w:keepLines w:val="0"/>
              <w:suppressLineNumbers w:val="0"/>
              <w:spacing w:before="0" w:beforeAutospacing="0" w:after="0" w:afterAutospacing="0"/>
              <w:ind w:left="0" w:right="0"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二、本公司已充分知悉“与其他采购参加人串通投标”的法定情形，相关情形包括但不限于：</w:t>
            </w:r>
          </w:p>
          <w:p w14:paraId="1A7B6AD9">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（一）投标供应商之间相互约定给予未中标的供应商利益补偿。</w:t>
            </w:r>
          </w:p>
          <w:p w14:paraId="1BC0FAC6">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（二）不同投标供应商的法定代表人、主要经营负责人、项目投标授权代表人、项目负责人、主要技术人员为同一人、属同一单位或者在同一单位缴纳社会保险。</w:t>
            </w:r>
          </w:p>
          <w:p w14:paraId="29B0B5E7">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（三）不同投标供应商的投标文件由同一单位或者同一人编制，或者由同一人分阶段参与编制的。</w:t>
            </w:r>
          </w:p>
          <w:p w14:paraId="16B19432">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（四）不同投标供应商的投标文件或部分投标文件相互混装。</w:t>
            </w:r>
          </w:p>
          <w:p w14:paraId="2315113F">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（五）不同投标供应商的投标文件内容存在非正常一致。</w:t>
            </w:r>
          </w:p>
          <w:p w14:paraId="6216C2D2">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（六）由同一单位工作人员为两家以上（含两家）供应商进行同一项投标活动的。</w:t>
            </w:r>
          </w:p>
          <w:p w14:paraId="070707B2">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（七）不同投标人的投标报价呈规律性差异。</w:t>
            </w:r>
          </w:p>
          <w:p w14:paraId="53233850">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（八）不同投标人的投标保证金从同一单位或者个人的账户转出。</w:t>
            </w:r>
          </w:p>
          <w:p w14:paraId="74CE96C5">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（九）主管部门依照法律、法规认定的其他情形。</w:t>
            </w:r>
          </w:p>
          <w:p w14:paraId="10E12CA5">
            <w:pPr>
              <w:keepNext w:val="0"/>
              <w:keepLines w:val="0"/>
              <w:suppressLineNumbers w:val="0"/>
              <w:spacing w:before="0" w:beforeAutospacing="0" w:after="0" w:afterAutospacing="0"/>
              <w:ind w:left="0" w:right="0"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三、本公司已充分知悉下列情形所对应的法律风险，并在投标前已对相关风险事项进行排查。</w:t>
            </w:r>
          </w:p>
          <w:p w14:paraId="4D3E221D">
            <w:pPr>
              <w:keepNext w:val="0"/>
              <w:keepLines w:val="0"/>
              <w:suppressLineNumbers w:val="0"/>
              <w:autoSpaceDE w:val="0"/>
              <w:autoSpaceDN w:val="0"/>
              <w:spacing w:before="0" w:beforeAutospacing="0" w:after="0" w:afterAutospacing="0"/>
              <w:ind w:left="0" w:right="0" w:firstLine="404" w:firstLineChars="200"/>
              <w:rPr>
                <w:rFonts w:hint="eastAsia" w:ascii="仿宋" w:hAnsi="仿宋" w:eastAsia="仿宋" w:cs="仿宋"/>
                <w:b/>
                <w:bCs/>
                <w:spacing w:val="-4"/>
                <w:kern w:val="0"/>
                <w:szCs w:val="21"/>
                <w:highlight w:val="none"/>
              </w:rPr>
            </w:pPr>
            <w:r>
              <w:rPr>
                <w:rFonts w:hint="eastAsia" w:ascii="仿宋" w:hAnsi="仿宋" w:eastAsia="仿宋" w:cs="仿宋"/>
                <w:spacing w:val="-4"/>
                <w:kern w:val="0"/>
                <w:szCs w:val="21"/>
                <w:highlight w:val="none"/>
              </w:rPr>
              <w:t>（一）对于从其他主体获取的投标资料，供应商应审慎核查，确保投标资料的真实性。</w:t>
            </w:r>
            <w:r>
              <w:rPr>
                <w:rFonts w:hint="eastAsia" w:ascii="仿宋" w:hAnsi="仿宋" w:eastAsia="仿宋" w:cs="仿宋"/>
                <w:b/>
                <w:bCs/>
                <w:spacing w:val="-4"/>
                <w:kern w:val="0"/>
                <w:szCs w:val="21"/>
                <w:highlight w:val="none"/>
              </w:rPr>
              <w:t>如主管部门查实投标文件中存在虚假资料的，无论相关资料是否由第三方或本公司员工提供，均不影响主管部门对供应商存在“隐瞒真实情况，提供虚假资料”违法行为的认定。</w:t>
            </w:r>
          </w:p>
          <w:p w14:paraId="2C66BC0E">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（二）对于涉及国家机关出具的公文、证件、证明材料等文件，一旦涉嫌虚假，经查实，主管部门将依法从严处理，并移送有关部门追究法律责任；涉嫌犯罪的，主管部门将一并移送司法机关追究法律责任。</w:t>
            </w:r>
          </w:p>
          <w:p w14:paraId="55C7685D">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（三）对于涉及安全生产、特种作业、抢险救灾、防疫等采购项目，供应商实施提供虚假资料、串通投标等违法行为的，主管部门将依法从严处理。</w:t>
            </w:r>
          </w:p>
          <w:p w14:paraId="1AC84034">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四）供应商应严格规范项目授权代表、员工参与招标投标的行为，加强对投标文件的审核。项目授权代表、员工编制、上传投标文件等行为违反采购法律法规或招标文件要求的，投标供应商应当依法承担相应法律责任。</w:t>
            </w:r>
          </w:p>
          <w:p w14:paraId="39275D00">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0C8A7F11">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spacing w:val="-4"/>
                <w:kern w:val="0"/>
                <w:szCs w:val="21"/>
                <w:highlight w:val="none"/>
              </w:rPr>
            </w:pPr>
            <w:r>
              <w:rPr>
                <w:rFonts w:hint="eastAsia" w:ascii="仿宋" w:hAnsi="仿宋" w:eastAsia="仿宋" w:cs="仿宋"/>
                <w:spacing w:val="-4"/>
                <w:kern w:val="0"/>
                <w:szCs w:val="21"/>
                <w:highlight w:val="none"/>
              </w:rPr>
              <w:t>（六）单位负责人为同一人或者存在直接控股、管理关系的不同供应商，不得参加同一合同项下的采购活动。相关情形如查实，依法作投标无效处理；涉嫌串通投标等违法行为的，主管部门将依法调查处理。</w:t>
            </w:r>
          </w:p>
          <w:p w14:paraId="21A6AD57">
            <w:pPr>
              <w:keepNext w:val="0"/>
              <w:keepLines w:val="0"/>
              <w:suppressLineNumbers w:val="0"/>
              <w:autoSpaceDE w:val="0"/>
              <w:autoSpaceDN w:val="0"/>
              <w:spacing w:before="0" w:beforeAutospacing="0" w:after="0" w:afterAutospacing="0"/>
              <w:ind w:left="0" w:right="0" w:firstLine="422" w:firstLineChars="200"/>
              <w:jc w:val="left"/>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四、本公司已充分知悉采购违法、违规行为的法律后果。</w:t>
            </w:r>
          </w:p>
          <w:p w14:paraId="03FB67A0">
            <w:pPr>
              <w:keepNext w:val="0"/>
              <w:keepLines w:val="0"/>
              <w:suppressLineNumbers w:val="0"/>
              <w:autoSpaceDE w:val="0"/>
              <w:autoSpaceDN w:val="0"/>
              <w:spacing w:before="0" w:beforeAutospacing="0" w:after="0" w:afterAutospacing="0"/>
              <w:ind w:left="0" w:right="0" w:firstLine="404" w:firstLineChars="200"/>
              <w:jc w:val="left"/>
              <w:rPr>
                <w:rFonts w:hint="eastAsia" w:ascii="仿宋" w:hAnsi="仿宋" w:eastAsia="仿宋" w:cs="仿宋"/>
                <w:b/>
                <w:bCs/>
                <w:spacing w:val="-4"/>
                <w:kern w:val="0"/>
                <w:szCs w:val="21"/>
                <w:highlight w:val="none"/>
              </w:rPr>
            </w:pPr>
            <w:r>
              <w:rPr>
                <w:rFonts w:hint="eastAsia" w:ascii="仿宋" w:hAnsi="仿宋" w:eastAsia="仿宋" w:cs="仿宋"/>
                <w:spacing w:val="-4"/>
                <w:kern w:val="0"/>
                <w:szCs w:val="21"/>
                <w:highlight w:val="none"/>
              </w:rPr>
              <w:t>经查实，若投标供应商存在采购违法、违规行为，主管部门将依据《深圳经济特区政府采购条例》第五十七条的规定，处以一至三年内禁止参与本市采购，并由主管部门记入供应商诚信档案，处采购金额千分之十以上千分之二十以下罚款；情节严重的，取消参与本市采购资格，处采购金额千分之二十以上千分之三十以下罚款，并由市场监管部门依法吊销营业执照。</w:t>
            </w:r>
            <w:r>
              <w:rPr>
                <w:rFonts w:hint="eastAsia" w:ascii="仿宋" w:hAnsi="仿宋" w:eastAsia="仿宋" w:cs="仿宋"/>
                <w:b/>
                <w:bCs/>
                <w:spacing w:val="-4"/>
                <w:kern w:val="0"/>
                <w:szCs w:val="21"/>
                <w:highlight w:val="none"/>
              </w:rPr>
              <w:t>以下文字请投标供应商抄写并确认：“本公司已仔细阅读《采购违法行为风险知悉确认书》，充分知悉违法行为的法律后果，并承诺将严谨、诚信、依法依规参与采购活动”。</w:t>
            </w:r>
          </w:p>
          <w:p w14:paraId="20BD7DB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rightChars="0"/>
              <w:jc w:val="left"/>
              <w:textAlignment w:val="auto"/>
              <w:rPr>
                <w:rFonts w:hint="eastAsia" w:ascii="仿宋" w:hAnsi="仿宋" w:eastAsia="仿宋" w:cs="仿宋"/>
                <w:spacing w:val="-4"/>
                <w:kern w:val="0"/>
                <w:sz w:val="21"/>
                <w:szCs w:val="21"/>
                <w:highlight w:val="none"/>
                <w:vertAlign w:val="baseline"/>
                <w:lang w:val="en-US" w:eastAsia="zh-CN" w:bidi="ar-SA"/>
              </w:rPr>
            </w:pPr>
          </w:p>
        </w:tc>
      </w:tr>
      <w:tr w14:paraId="31E23D5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666F655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rightChars="0"/>
              <w:jc w:val="left"/>
              <w:textAlignment w:val="auto"/>
              <w:rPr>
                <w:rFonts w:hint="eastAsia" w:ascii="仿宋" w:hAnsi="仿宋" w:eastAsia="仿宋" w:cs="仿宋"/>
                <w:spacing w:val="-4"/>
                <w:kern w:val="0"/>
                <w:sz w:val="21"/>
                <w:szCs w:val="21"/>
                <w:highlight w:val="none"/>
                <w:vertAlign w:val="baseline"/>
                <w:lang w:val="en-US" w:eastAsia="zh-CN" w:bidi="ar-SA"/>
              </w:rPr>
            </w:pPr>
          </w:p>
        </w:tc>
      </w:tr>
      <w:tr w14:paraId="564D112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67CE6D8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rightChars="0"/>
              <w:jc w:val="left"/>
              <w:textAlignment w:val="auto"/>
              <w:rPr>
                <w:rFonts w:hint="eastAsia" w:ascii="仿宋" w:hAnsi="仿宋" w:eastAsia="仿宋" w:cs="仿宋"/>
                <w:spacing w:val="-4"/>
                <w:kern w:val="0"/>
                <w:sz w:val="21"/>
                <w:szCs w:val="21"/>
                <w:highlight w:val="none"/>
                <w:vertAlign w:val="baseline"/>
                <w:lang w:val="en-US" w:eastAsia="zh-CN" w:bidi="ar-SA"/>
              </w:rPr>
            </w:pPr>
          </w:p>
        </w:tc>
      </w:tr>
      <w:tr w14:paraId="3E65D22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5B71A15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rightChars="0"/>
              <w:jc w:val="left"/>
              <w:textAlignment w:val="auto"/>
              <w:rPr>
                <w:rFonts w:hint="eastAsia" w:ascii="仿宋" w:hAnsi="仿宋" w:eastAsia="仿宋" w:cs="仿宋"/>
                <w:spacing w:val="-4"/>
                <w:kern w:val="0"/>
                <w:sz w:val="21"/>
                <w:szCs w:val="21"/>
                <w:highlight w:val="none"/>
                <w:vertAlign w:val="baseline"/>
                <w:lang w:val="en-US" w:eastAsia="zh-CN" w:bidi="ar-SA"/>
              </w:rPr>
            </w:pPr>
          </w:p>
        </w:tc>
      </w:tr>
    </w:tbl>
    <w:p w14:paraId="4E1A526F">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right="0" w:rightChars="0" w:firstLine="406" w:firstLineChars="200"/>
        <w:jc w:val="left"/>
        <w:textAlignment w:val="auto"/>
        <w:rPr>
          <w:rFonts w:hint="eastAsia" w:ascii="仿宋" w:hAnsi="仿宋" w:eastAsia="仿宋" w:cs="仿宋"/>
          <w:b/>
          <w:bCs/>
          <w:color w:val="FF0000"/>
          <w:spacing w:val="-4"/>
          <w:kern w:val="0"/>
          <w:sz w:val="21"/>
          <w:szCs w:val="21"/>
          <w:highlight w:val="none"/>
          <w:lang w:val="en-US" w:eastAsia="zh-CN" w:bidi="ar-SA"/>
        </w:rPr>
      </w:pPr>
      <w:r>
        <w:rPr>
          <w:rFonts w:hint="eastAsia" w:ascii="仿宋" w:hAnsi="仿宋" w:eastAsia="仿宋" w:cs="仿宋"/>
          <w:b/>
          <w:bCs/>
          <w:color w:val="FF0000"/>
          <w:spacing w:val="-4"/>
          <w:kern w:val="0"/>
          <w:sz w:val="21"/>
          <w:szCs w:val="21"/>
          <w:highlight w:val="none"/>
          <w:lang w:val="en-US" w:eastAsia="zh-CN" w:bidi="ar-SA"/>
        </w:rPr>
        <w:t>注：1.采购违法行为风险知悉确认书不作为资格性审查及符合性审查条件。</w:t>
      </w:r>
    </w:p>
    <w:p w14:paraId="4D34CB83">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right="0" w:rightChars="0" w:firstLine="406" w:firstLineChars="200"/>
        <w:jc w:val="left"/>
        <w:textAlignment w:val="auto"/>
        <w:rPr>
          <w:rFonts w:hint="eastAsia" w:ascii="仿宋" w:hAnsi="仿宋" w:eastAsia="仿宋" w:cs="仿宋"/>
          <w:color w:val="FF0000"/>
          <w:spacing w:val="-4"/>
          <w:kern w:val="0"/>
          <w:sz w:val="21"/>
          <w:szCs w:val="21"/>
          <w:highlight w:val="none"/>
          <w:lang w:val="en-US" w:eastAsia="zh-CN" w:bidi="ar-SA"/>
        </w:rPr>
      </w:pPr>
      <w:r>
        <w:rPr>
          <w:rFonts w:hint="eastAsia" w:ascii="仿宋" w:hAnsi="仿宋" w:eastAsia="仿宋" w:cs="仿宋"/>
          <w:b/>
          <w:bCs/>
          <w:color w:val="FF0000"/>
          <w:spacing w:val="-4"/>
          <w:kern w:val="0"/>
          <w:sz w:val="21"/>
          <w:szCs w:val="21"/>
          <w:highlight w:val="none"/>
          <w:lang w:val="en-US" w:eastAsia="zh-CN" w:bidi="ar-SA"/>
        </w:rPr>
        <w:t>2.投标供应商负责人或投标授权代表签字并加盖单位公章后，同投标文件一并提交。</w:t>
      </w:r>
    </w:p>
    <w:p w14:paraId="1FFEF807">
      <w:pPr>
        <w:keepNext w:val="0"/>
        <w:keepLines w:val="0"/>
        <w:pageBreakBefore w:val="0"/>
        <w:widowControl w:val="0"/>
        <w:kinsoku/>
        <w:wordWrap w:val="0"/>
        <w:overflowPunct/>
        <w:topLinePunct w:val="0"/>
        <w:autoSpaceDE w:val="0"/>
        <w:autoSpaceDN w:val="0"/>
        <w:bidi w:val="0"/>
        <w:adjustRightInd/>
        <w:snapToGrid/>
        <w:spacing w:beforeAutospacing="0" w:afterAutospacing="0" w:line="240" w:lineRule="auto"/>
        <w:ind w:right="0" w:rightChars="0" w:firstLine="404" w:firstLineChars="200"/>
        <w:jc w:val="right"/>
        <w:textAlignment w:val="auto"/>
        <w:rPr>
          <w:rFonts w:hint="eastAsia" w:ascii="仿宋" w:hAnsi="仿宋" w:eastAsia="仿宋" w:cs="仿宋"/>
          <w:spacing w:val="-4"/>
          <w:kern w:val="0"/>
          <w:sz w:val="21"/>
          <w:szCs w:val="21"/>
          <w:highlight w:val="none"/>
          <w:lang w:val="en-US" w:eastAsia="zh-CN" w:bidi="ar-SA"/>
        </w:rPr>
      </w:pPr>
      <w:r>
        <w:rPr>
          <w:rFonts w:hint="eastAsia" w:ascii="仿宋" w:hAnsi="仿宋" w:eastAsia="仿宋" w:cs="仿宋"/>
          <w:spacing w:val="-4"/>
          <w:kern w:val="0"/>
          <w:sz w:val="21"/>
          <w:szCs w:val="21"/>
          <w:highlight w:val="none"/>
          <w:lang w:val="en-US" w:eastAsia="zh-CN" w:bidi="ar-SA"/>
        </w:rPr>
        <w:t xml:space="preserve">负责人/投标授权代表签名：     </w:t>
      </w:r>
    </w:p>
    <w:p w14:paraId="47607B6E">
      <w:pPr>
        <w:keepNext w:val="0"/>
        <w:keepLines w:val="0"/>
        <w:pageBreakBefore w:val="0"/>
        <w:widowControl w:val="0"/>
        <w:kinsoku/>
        <w:wordWrap w:val="0"/>
        <w:overflowPunct/>
        <w:topLinePunct w:val="0"/>
        <w:autoSpaceDE w:val="0"/>
        <w:autoSpaceDN w:val="0"/>
        <w:bidi w:val="0"/>
        <w:adjustRightInd/>
        <w:snapToGrid/>
        <w:spacing w:beforeAutospacing="0" w:afterAutospacing="0" w:line="240" w:lineRule="auto"/>
        <w:ind w:right="0" w:rightChars="0" w:firstLine="404" w:firstLineChars="200"/>
        <w:jc w:val="right"/>
        <w:textAlignment w:val="auto"/>
        <w:rPr>
          <w:rFonts w:hint="eastAsia" w:ascii="仿宋" w:hAnsi="仿宋" w:eastAsia="仿宋" w:cs="仿宋"/>
          <w:spacing w:val="-4"/>
          <w:kern w:val="0"/>
          <w:sz w:val="21"/>
          <w:szCs w:val="21"/>
          <w:highlight w:val="none"/>
          <w:lang w:val="en-US" w:eastAsia="zh-CN" w:bidi="ar-SA"/>
        </w:rPr>
      </w:pPr>
      <w:r>
        <w:rPr>
          <w:rFonts w:hint="eastAsia" w:ascii="仿宋" w:hAnsi="仿宋" w:eastAsia="仿宋" w:cs="仿宋"/>
          <w:spacing w:val="-4"/>
          <w:kern w:val="0"/>
          <w:sz w:val="21"/>
          <w:szCs w:val="21"/>
          <w:highlight w:val="none"/>
          <w:lang w:val="en-US" w:eastAsia="zh-CN" w:bidi="ar-SA"/>
        </w:rPr>
        <w:t xml:space="preserve">知悉人（公章）：     </w:t>
      </w:r>
    </w:p>
    <w:p w14:paraId="338D7F9B">
      <w:pPr>
        <w:keepNext w:val="0"/>
        <w:keepLines w:val="0"/>
        <w:pageBreakBefore w:val="0"/>
        <w:widowControl w:val="0"/>
        <w:kinsoku/>
        <w:wordWrap w:val="0"/>
        <w:overflowPunct/>
        <w:topLinePunct w:val="0"/>
        <w:autoSpaceDE w:val="0"/>
        <w:autoSpaceDN w:val="0"/>
        <w:bidi w:val="0"/>
        <w:adjustRightInd/>
        <w:snapToGrid/>
        <w:spacing w:beforeAutospacing="0" w:afterAutospacing="0" w:line="240" w:lineRule="auto"/>
        <w:ind w:right="0" w:rightChars="0" w:firstLine="404" w:firstLineChars="200"/>
        <w:jc w:val="right"/>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spacing w:val="-4"/>
          <w:kern w:val="0"/>
          <w:sz w:val="21"/>
          <w:szCs w:val="21"/>
          <w:highlight w:val="none"/>
          <w:lang w:val="en-US" w:eastAsia="zh-CN" w:bidi="ar-SA"/>
        </w:rPr>
        <w:t xml:space="preserve">日期：     </w:t>
      </w:r>
    </w:p>
    <w:p w14:paraId="1708FA41">
      <w:pPr>
        <w:keepNext w:val="0"/>
        <w:keepLines w:val="0"/>
        <w:pageBreakBefore w:val="0"/>
        <w:widowControl w:val="0"/>
        <w:kinsoku/>
        <w:overflowPunct/>
        <w:topLinePunct w:val="0"/>
        <w:bidi w:val="0"/>
        <w:adjustRightInd/>
        <w:snapToGrid/>
        <w:spacing w:line="240" w:lineRule="auto"/>
        <w:jc w:val="both"/>
        <w:textAlignment w:val="auto"/>
        <w:rPr>
          <w:rFonts w:hint="eastAsia" w:ascii="仿宋" w:hAnsi="仿宋" w:eastAsia="仿宋" w:cs="仿宋"/>
          <w:b/>
          <w:bCs/>
          <w:kern w:val="2"/>
          <w:sz w:val="21"/>
          <w:szCs w:val="21"/>
          <w:highlight w:val="none"/>
          <w:lang w:val="en-US" w:eastAsia="zh-CN" w:bidi="ar-SA"/>
        </w:rPr>
      </w:pPr>
    </w:p>
    <w:p w14:paraId="3F17FC83">
      <w:pPr>
        <w:keepNext w:val="0"/>
        <w:keepLines w:val="0"/>
        <w:pageBreakBefore w:val="0"/>
        <w:widowControl w:val="0"/>
        <w:kinsoku/>
        <w:overflowPunct/>
        <w:topLinePunct w:val="0"/>
        <w:bidi w:val="0"/>
        <w:adjustRightInd/>
        <w:snapToGrid/>
        <w:spacing w:line="240" w:lineRule="auto"/>
        <w:textAlignment w:val="auto"/>
        <w:rPr>
          <w:rFonts w:hint="eastAsia" w:ascii="仿宋" w:hAnsi="仿宋" w:eastAsia="仿宋" w:cs="仿宋"/>
          <w:sz w:val="21"/>
          <w:szCs w:val="21"/>
          <w:highlight w:val="none"/>
          <w:lang w:eastAsia="zh-CN"/>
        </w:rPr>
      </w:pPr>
    </w:p>
    <w:p w14:paraId="5F8F4977">
      <w:pPr>
        <w:rPr>
          <w:rFonts w:hint="eastAsia" w:ascii="仿宋" w:hAnsi="仿宋" w:eastAsia="仿宋" w:cs="仿宋"/>
          <w:highlight w:val="none"/>
        </w:rPr>
      </w:pPr>
    </w:p>
    <w:p w14:paraId="45BD57D8">
      <w:pPr>
        <w:rPr>
          <w:rFonts w:hint="eastAsia" w:ascii="仿宋" w:hAnsi="仿宋" w:eastAsia="仿宋" w:cs="仿宋"/>
          <w:highlight w:val="none"/>
        </w:rPr>
      </w:pPr>
      <w:r>
        <w:rPr>
          <w:rFonts w:hint="eastAsia" w:ascii="仿宋" w:hAnsi="仿宋" w:eastAsia="仿宋" w:cs="仿宋"/>
          <w:highlight w:val="none"/>
        </w:rPr>
        <w:br w:type="page"/>
      </w:r>
    </w:p>
    <w:p w14:paraId="49206874">
      <w:pPr>
        <w:jc w:val="center"/>
        <w:outlineLvl w:val="9"/>
        <w:rPr>
          <w:rFonts w:hint="eastAsia" w:ascii="仿宋" w:hAnsi="仿宋" w:eastAsia="仿宋" w:cs="仿宋"/>
          <w:highlight w:val="none"/>
        </w:rPr>
      </w:pPr>
      <w:r>
        <w:rPr>
          <w:rFonts w:hint="eastAsia" w:ascii="仿宋" w:hAnsi="仿宋" w:eastAsia="仿宋" w:cs="仿宋"/>
          <w:highlight w:val="none"/>
        </w:rPr>
        <w:t>第六章</w:t>
      </w:r>
      <w:r>
        <w:rPr>
          <w:rFonts w:hint="eastAsia" w:ascii="仿宋" w:hAnsi="仿宋" w:eastAsia="仿宋" w:cs="仿宋"/>
          <w:highlight w:val="none"/>
          <w:lang w:val="en-US" w:eastAsia="zh-CN"/>
        </w:rPr>
        <w:t xml:space="preserve">  </w:t>
      </w:r>
      <w:r>
        <w:rPr>
          <w:rFonts w:hint="eastAsia" w:ascii="仿宋" w:hAnsi="仿宋" w:eastAsia="仿宋" w:cs="仿宋"/>
          <w:highlight w:val="none"/>
        </w:rPr>
        <w:t>采购</w:t>
      </w:r>
      <w:r>
        <w:rPr>
          <w:rFonts w:hint="eastAsia" w:ascii="仿宋" w:hAnsi="仿宋" w:eastAsia="仿宋" w:cs="仿宋"/>
          <w:highlight w:val="none"/>
          <w:lang w:val="en-US" w:eastAsia="zh-CN"/>
        </w:rPr>
        <w:t>项目</w:t>
      </w:r>
      <w:r>
        <w:rPr>
          <w:rFonts w:hint="eastAsia" w:ascii="仿宋" w:hAnsi="仿宋" w:eastAsia="仿宋" w:cs="仿宋"/>
          <w:highlight w:val="none"/>
        </w:rPr>
        <w:t>履约情况反馈表</w:t>
      </w:r>
    </w:p>
    <w:p w14:paraId="5FF5CBF6">
      <w:pPr>
        <w:spacing w:line="240" w:lineRule="atLeast"/>
        <w:rPr>
          <w:rFonts w:hint="eastAsia" w:ascii="仿宋" w:hAnsi="仿宋" w:eastAsia="仿宋" w:cs="仿宋"/>
          <w:b/>
          <w:szCs w:val="21"/>
          <w:highlight w:val="none"/>
        </w:rPr>
      </w:pPr>
      <w:r>
        <w:rPr>
          <w:rFonts w:hint="eastAsia" w:ascii="仿宋" w:hAnsi="仿宋" w:eastAsia="仿宋" w:cs="仿宋"/>
          <w:b/>
          <w:szCs w:val="21"/>
          <w:highlight w:val="none"/>
        </w:rPr>
        <w:t>采购单位名称：                       联系人及电话：</w:t>
      </w:r>
    </w:p>
    <w:p w14:paraId="2F2AB049">
      <w:pPr>
        <w:spacing w:line="60" w:lineRule="exact"/>
        <w:rPr>
          <w:rFonts w:hint="eastAsia" w:ascii="仿宋" w:hAnsi="仿宋" w:eastAsia="仿宋" w:cs="仿宋"/>
          <w:b/>
          <w:szCs w:val="21"/>
          <w:highlight w:val="none"/>
        </w:rPr>
      </w:pPr>
    </w:p>
    <w:tbl>
      <w:tblPr>
        <w:tblStyle w:val="43"/>
        <w:tblW w:w="8917"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42"/>
        <w:gridCol w:w="720"/>
        <w:gridCol w:w="720"/>
        <w:gridCol w:w="2520"/>
        <w:gridCol w:w="1980"/>
        <w:gridCol w:w="2135"/>
      </w:tblGrid>
      <w:tr w14:paraId="3A8094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2282" w:type="dxa"/>
            <w:gridSpan w:val="3"/>
            <w:noWrap w:val="0"/>
            <w:vAlign w:val="center"/>
          </w:tcPr>
          <w:p w14:paraId="33EB703A">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采购项目名称</w:t>
            </w:r>
          </w:p>
        </w:tc>
        <w:tc>
          <w:tcPr>
            <w:tcW w:w="2520" w:type="dxa"/>
            <w:noWrap w:val="0"/>
            <w:vAlign w:val="center"/>
          </w:tcPr>
          <w:p w14:paraId="774D72DD">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p>
        </w:tc>
        <w:tc>
          <w:tcPr>
            <w:tcW w:w="1980" w:type="dxa"/>
            <w:noWrap w:val="0"/>
            <w:vAlign w:val="center"/>
          </w:tcPr>
          <w:p w14:paraId="7F820999">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项目编号</w:t>
            </w:r>
          </w:p>
        </w:tc>
        <w:tc>
          <w:tcPr>
            <w:tcW w:w="2135" w:type="dxa"/>
            <w:noWrap w:val="0"/>
            <w:vAlign w:val="center"/>
          </w:tcPr>
          <w:p w14:paraId="590D506B">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p>
        </w:tc>
      </w:tr>
      <w:tr w14:paraId="1F5299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2282" w:type="dxa"/>
            <w:gridSpan w:val="3"/>
            <w:noWrap w:val="0"/>
            <w:vAlign w:val="center"/>
          </w:tcPr>
          <w:p w14:paraId="59206E31">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中标供应商名称</w:t>
            </w:r>
          </w:p>
        </w:tc>
        <w:tc>
          <w:tcPr>
            <w:tcW w:w="2520" w:type="dxa"/>
            <w:noWrap w:val="0"/>
            <w:vAlign w:val="center"/>
          </w:tcPr>
          <w:p w14:paraId="3A0D0353">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p>
        </w:tc>
        <w:tc>
          <w:tcPr>
            <w:tcW w:w="1980" w:type="dxa"/>
            <w:noWrap w:val="0"/>
            <w:vAlign w:val="center"/>
          </w:tcPr>
          <w:p w14:paraId="15978CD4">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供应商</w:t>
            </w:r>
          </w:p>
          <w:p w14:paraId="4F80D8E5">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联系人及电话</w:t>
            </w:r>
          </w:p>
        </w:tc>
        <w:tc>
          <w:tcPr>
            <w:tcW w:w="2135" w:type="dxa"/>
            <w:noWrap w:val="0"/>
            <w:vAlign w:val="center"/>
          </w:tcPr>
          <w:p w14:paraId="547C0C69">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p>
        </w:tc>
      </w:tr>
      <w:tr w14:paraId="76EFFF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8" w:hRule="atLeast"/>
        </w:trPr>
        <w:tc>
          <w:tcPr>
            <w:tcW w:w="2282" w:type="dxa"/>
            <w:gridSpan w:val="3"/>
            <w:noWrap w:val="0"/>
            <w:vAlign w:val="center"/>
          </w:tcPr>
          <w:p w14:paraId="628BA604">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中标金额</w:t>
            </w:r>
          </w:p>
        </w:tc>
        <w:tc>
          <w:tcPr>
            <w:tcW w:w="2520" w:type="dxa"/>
            <w:noWrap w:val="0"/>
            <w:vAlign w:val="center"/>
          </w:tcPr>
          <w:p w14:paraId="3A40B327">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p>
        </w:tc>
        <w:tc>
          <w:tcPr>
            <w:tcW w:w="1980" w:type="dxa"/>
            <w:noWrap w:val="0"/>
            <w:vAlign w:val="center"/>
          </w:tcPr>
          <w:p w14:paraId="487EED93">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合同履约时间</w:t>
            </w:r>
          </w:p>
        </w:tc>
        <w:tc>
          <w:tcPr>
            <w:tcW w:w="2135" w:type="dxa"/>
            <w:noWrap w:val="0"/>
            <w:vAlign w:val="center"/>
          </w:tcPr>
          <w:p w14:paraId="67765258">
            <w:pPr>
              <w:keepNext w:val="0"/>
              <w:keepLines w:val="0"/>
              <w:suppressLineNumbers w:val="0"/>
              <w:spacing w:before="0" w:beforeAutospacing="0" w:after="0" w:afterAutospacing="0" w:line="240" w:lineRule="atLeast"/>
              <w:ind w:left="0" w:right="0"/>
              <w:rPr>
                <w:rFonts w:hint="eastAsia" w:ascii="仿宋" w:hAnsi="仿宋" w:eastAsia="仿宋" w:cs="仿宋"/>
                <w:szCs w:val="21"/>
                <w:highlight w:val="none"/>
              </w:rPr>
            </w:pPr>
            <w:r>
              <w:rPr>
                <w:rFonts w:hint="eastAsia" w:ascii="仿宋" w:hAnsi="仿宋" w:eastAsia="仿宋" w:cs="仿宋"/>
                <w:szCs w:val="21"/>
                <w:highlight w:val="none"/>
              </w:rPr>
              <w:t>自       至</w:t>
            </w:r>
          </w:p>
        </w:tc>
      </w:tr>
      <w:tr w14:paraId="143271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842" w:type="dxa"/>
            <w:vMerge w:val="restart"/>
            <w:noWrap w:val="0"/>
            <w:vAlign w:val="center"/>
          </w:tcPr>
          <w:p w14:paraId="462A4246">
            <w:pPr>
              <w:keepNext w:val="0"/>
              <w:keepLines w:val="0"/>
              <w:suppressLineNumbers w:val="0"/>
              <w:spacing w:before="0" w:beforeAutospacing="0" w:after="0" w:afterAutospacing="0" w:line="240" w:lineRule="atLeast"/>
              <w:ind w:left="0" w:right="0"/>
              <w:jc w:val="center"/>
              <w:rPr>
                <w:rFonts w:hint="eastAsia" w:ascii="仿宋" w:hAnsi="仿宋" w:eastAsia="仿宋" w:cs="仿宋"/>
                <w:b/>
                <w:szCs w:val="21"/>
                <w:highlight w:val="none"/>
              </w:rPr>
            </w:pPr>
            <w:r>
              <w:rPr>
                <w:rFonts w:hint="eastAsia" w:ascii="仿宋" w:hAnsi="仿宋" w:eastAsia="仿宋" w:cs="仿宋"/>
                <w:b/>
                <w:szCs w:val="21"/>
                <w:highlight w:val="none"/>
              </w:rPr>
              <w:t>履约情况评价</w:t>
            </w:r>
          </w:p>
        </w:tc>
        <w:tc>
          <w:tcPr>
            <w:tcW w:w="1440" w:type="dxa"/>
            <w:gridSpan w:val="2"/>
            <w:tcBorders>
              <w:right w:val="single" w:color="auto" w:sz="4" w:space="0"/>
            </w:tcBorders>
            <w:noWrap w:val="0"/>
            <w:vAlign w:val="center"/>
          </w:tcPr>
          <w:p w14:paraId="265336BD">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总体评价</w:t>
            </w:r>
          </w:p>
        </w:tc>
        <w:tc>
          <w:tcPr>
            <w:tcW w:w="6635" w:type="dxa"/>
            <w:gridSpan w:val="3"/>
            <w:tcBorders>
              <w:left w:val="single" w:color="auto" w:sz="4" w:space="0"/>
            </w:tcBorders>
            <w:noWrap w:val="0"/>
            <w:vAlign w:val="center"/>
          </w:tcPr>
          <w:p w14:paraId="6F982D83">
            <w:pPr>
              <w:keepNext w:val="0"/>
              <w:keepLines w:val="0"/>
              <w:suppressLineNumbers w:val="0"/>
              <w:spacing w:before="0" w:beforeAutospacing="0" w:after="0" w:afterAutospacing="0" w:line="240" w:lineRule="atLeast"/>
              <w:ind w:left="0" w:right="0" w:firstLine="105" w:firstLineChars="50"/>
              <w:jc w:val="center"/>
              <w:rPr>
                <w:rFonts w:hint="eastAsia" w:ascii="仿宋" w:hAnsi="仿宋" w:eastAsia="仿宋" w:cs="仿宋"/>
                <w:szCs w:val="21"/>
                <w:highlight w:val="none"/>
              </w:rPr>
            </w:pPr>
            <w:r>
              <w:rPr>
                <w:rFonts w:hint="eastAsia" w:ascii="仿宋" w:hAnsi="仿宋" w:eastAsia="仿宋" w:cs="仿宋"/>
                <w:szCs w:val="21"/>
                <w:highlight w:val="none"/>
              </w:rPr>
              <w:t>□ 优          □ 良          □ 中           □ 差</w:t>
            </w:r>
          </w:p>
        </w:tc>
      </w:tr>
      <w:tr w14:paraId="0C6D98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842" w:type="dxa"/>
            <w:vMerge w:val="continue"/>
            <w:noWrap w:val="0"/>
            <w:vAlign w:val="center"/>
          </w:tcPr>
          <w:p w14:paraId="40E4EC7B">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p>
        </w:tc>
        <w:tc>
          <w:tcPr>
            <w:tcW w:w="720" w:type="dxa"/>
            <w:vMerge w:val="restart"/>
            <w:tcBorders>
              <w:right w:val="single" w:color="auto" w:sz="4" w:space="0"/>
            </w:tcBorders>
            <w:noWrap w:val="0"/>
            <w:vAlign w:val="center"/>
          </w:tcPr>
          <w:p w14:paraId="002414CF">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分项评价</w:t>
            </w:r>
          </w:p>
        </w:tc>
        <w:tc>
          <w:tcPr>
            <w:tcW w:w="720" w:type="dxa"/>
            <w:tcBorders>
              <w:left w:val="single" w:color="auto" w:sz="4" w:space="0"/>
              <w:right w:val="single" w:color="auto" w:sz="4" w:space="0"/>
            </w:tcBorders>
            <w:noWrap w:val="0"/>
            <w:vAlign w:val="center"/>
          </w:tcPr>
          <w:p w14:paraId="22C4A904">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质量方面</w:t>
            </w:r>
          </w:p>
        </w:tc>
        <w:tc>
          <w:tcPr>
            <w:tcW w:w="6635" w:type="dxa"/>
            <w:gridSpan w:val="3"/>
            <w:tcBorders>
              <w:left w:val="single" w:color="auto" w:sz="4" w:space="0"/>
            </w:tcBorders>
            <w:noWrap w:val="0"/>
            <w:vAlign w:val="center"/>
          </w:tcPr>
          <w:p w14:paraId="4DC3BF6A">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 xml:space="preserve"> □ 优          □ 良          □ 中           □ 差</w:t>
            </w:r>
          </w:p>
        </w:tc>
      </w:tr>
      <w:tr w14:paraId="593B59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842" w:type="dxa"/>
            <w:vMerge w:val="continue"/>
            <w:noWrap w:val="0"/>
            <w:vAlign w:val="center"/>
          </w:tcPr>
          <w:p w14:paraId="20E62CEC">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p>
        </w:tc>
        <w:tc>
          <w:tcPr>
            <w:tcW w:w="720" w:type="dxa"/>
            <w:vMerge w:val="continue"/>
            <w:tcBorders>
              <w:right w:val="single" w:color="auto" w:sz="4" w:space="0"/>
            </w:tcBorders>
            <w:noWrap w:val="0"/>
            <w:vAlign w:val="center"/>
          </w:tcPr>
          <w:p w14:paraId="27293520">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p>
        </w:tc>
        <w:tc>
          <w:tcPr>
            <w:tcW w:w="720" w:type="dxa"/>
            <w:tcBorders>
              <w:left w:val="single" w:color="auto" w:sz="4" w:space="0"/>
              <w:right w:val="single" w:color="auto" w:sz="4" w:space="0"/>
            </w:tcBorders>
            <w:noWrap w:val="0"/>
            <w:vAlign w:val="center"/>
          </w:tcPr>
          <w:p w14:paraId="3DB855AF">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价格方面</w:t>
            </w:r>
          </w:p>
        </w:tc>
        <w:tc>
          <w:tcPr>
            <w:tcW w:w="6635" w:type="dxa"/>
            <w:gridSpan w:val="3"/>
            <w:tcBorders>
              <w:left w:val="single" w:color="auto" w:sz="4" w:space="0"/>
            </w:tcBorders>
            <w:noWrap w:val="0"/>
            <w:vAlign w:val="center"/>
          </w:tcPr>
          <w:p w14:paraId="14685265">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 xml:space="preserve"> □ 优          □ 良          □ 中           □ 差</w:t>
            </w:r>
          </w:p>
        </w:tc>
      </w:tr>
      <w:tr w14:paraId="48C129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842" w:type="dxa"/>
            <w:vMerge w:val="continue"/>
            <w:noWrap w:val="0"/>
            <w:vAlign w:val="center"/>
          </w:tcPr>
          <w:p w14:paraId="14DDFBD3">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p>
        </w:tc>
        <w:tc>
          <w:tcPr>
            <w:tcW w:w="720" w:type="dxa"/>
            <w:vMerge w:val="continue"/>
            <w:tcBorders>
              <w:right w:val="single" w:color="auto" w:sz="4" w:space="0"/>
            </w:tcBorders>
            <w:noWrap w:val="0"/>
            <w:vAlign w:val="center"/>
          </w:tcPr>
          <w:p w14:paraId="32F26E14">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p>
        </w:tc>
        <w:tc>
          <w:tcPr>
            <w:tcW w:w="720" w:type="dxa"/>
            <w:tcBorders>
              <w:left w:val="single" w:color="auto" w:sz="4" w:space="0"/>
              <w:right w:val="single" w:color="auto" w:sz="4" w:space="0"/>
            </w:tcBorders>
            <w:noWrap w:val="0"/>
            <w:vAlign w:val="center"/>
          </w:tcPr>
          <w:p w14:paraId="5A960412">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服务方面</w:t>
            </w:r>
          </w:p>
        </w:tc>
        <w:tc>
          <w:tcPr>
            <w:tcW w:w="6635" w:type="dxa"/>
            <w:gridSpan w:val="3"/>
            <w:tcBorders>
              <w:left w:val="single" w:color="auto" w:sz="4" w:space="0"/>
            </w:tcBorders>
            <w:noWrap w:val="0"/>
            <w:vAlign w:val="center"/>
          </w:tcPr>
          <w:p w14:paraId="1E5DAF5B">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 xml:space="preserve"> □ 优          □ 良          □ 中           □ 差</w:t>
            </w:r>
          </w:p>
        </w:tc>
      </w:tr>
      <w:tr w14:paraId="693C85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842" w:type="dxa"/>
            <w:vMerge w:val="continue"/>
            <w:noWrap w:val="0"/>
            <w:vAlign w:val="center"/>
          </w:tcPr>
          <w:p w14:paraId="65C8466B">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p>
        </w:tc>
        <w:tc>
          <w:tcPr>
            <w:tcW w:w="720" w:type="dxa"/>
            <w:vMerge w:val="continue"/>
            <w:tcBorders>
              <w:right w:val="single" w:color="auto" w:sz="4" w:space="0"/>
            </w:tcBorders>
            <w:noWrap w:val="0"/>
            <w:vAlign w:val="center"/>
          </w:tcPr>
          <w:p w14:paraId="25254F3E">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p>
        </w:tc>
        <w:tc>
          <w:tcPr>
            <w:tcW w:w="720" w:type="dxa"/>
            <w:tcBorders>
              <w:left w:val="single" w:color="auto" w:sz="4" w:space="0"/>
              <w:right w:val="single" w:color="auto" w:sz="4" w:space="0"/>
            </w:tcBorders>
            <w:noWrap w:val="0"/>
            <w:vAlign w:val="center"/>
          </w:tcPr>
          <w:p w14:paraId="691907F5">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时间方面</w:t>
            </w:r>
          </w:p>
        </w:tc>
        <w:tc>
          <w:tcPr>
            <w:tcW w:w="6635" w:type="dxa"/>
            <w:gridSpan w:val="3"/>
            <w:tcBorders>
              <w:left w:val="single" w:color="auto" w:sz="4" w:space="0"/>
            </w:tcBorders>
            <w:noWrap w:val="0"/>
            <w:vAlign w:val="center"/>
          </w:tcPr>
          <w:p w14:paraId="1A56523A">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 xml:space="preserve"> □ 优          □ 良          □ 中           □ 差</w:t>
            </w:r>
          </w:p>
        </w:tc>
      </w:tr>
      <w:tr w14:paraId="6814803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842" w:type="dxa"/>
            <w:vMerge w:val="continue"/>
            <w:noWrap w:val="0"/>
            <w:vAlign w:val="center"/>
          </w:tcPr>
          <w:p w14:paraId="649BF186">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p>
        </w:tc>
        <w:tc>
          <w:tcPr>
            <w:tcW w:w="720" w:type="dxa"/>
            <w:vMerge w:val="continue"/>
            <w:tcBorders>
              <w:right w:val="single" w:color="auto" w:sz="4" w:space="0"/>
            </w:tcBorders>
            <w:noWrap w:val="0"/>
            <w:vAlign w:val="center"/>
          </w:tcPr>
          <w:p w14:paraId="00877163">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p>
        </w:tc>
        <w:tc>
          <w:tcPr>
            <w:tcW w:w="720" w:type="dxa"/>
            <w:tcBorders>
              <w:left w:val="single" w:color="auto" w:sz="4" w:space="0"/>
              <w:right w:val="single" w:color="auto" w:sz="4" w:space="0"/>
            </w:tcBorders>
            <w:noWrap w:val="0"/>
            <w:vAlign w:val="center"/>
          </w:tcPr>
          <w:p w14:paraId="2129F236">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环境保护</w:t>
            </w:r>
          </w:p>
        </w:tc>
        <w:tc>
          <w:tcPr>
            <w:tcW w:w="6635" w:type="dxa"/>
            <w:gridSpan w:val="3"/>
            <w:tcBorders>
              <w:left w:val="single" w:color="auto" w:sz="4" w:space="0"/>
            </w:tcBorders>
            <w:noWrap w:val="0"/>
            <w:vAlign w:val="center"/>
          </w:tcPr>
          <w:p w14:paraId="14FC4FB7">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 xml:space="preserve"> □ 优          □ 良          □ 中           □ 差</w:t>
            </w:r>
          </w:p>
        </w:tc>
      </w:tr>
      <w:tr w14:paraId="499034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842" w:type="dxa"/>
            <w:vMerge w:val="continue"/>
            <w:noWrap w:val="0"/>
            <w:vAlign w:val="center"/>
          </w:tcPr>
          <w:p w14:paraId="42A9F72F">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p>
        </w:tc>
        <w:tc>
          <w:tcPr>
            <w:tcW w:w="720" w:type="dxa"/>
            <w:vMerge w:val="continue"/>
            <w:tcBorders>
              <w:right w:val="single" w:color="auto" w:sz="4" w:space="0"/>
            </w:tcBorders>
            <w:noWrap w:val="0"/>
            <w:vAlign w:val="center"/>
          </w:tcPr>
          <w:p w14:paraId="27216CE9">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p>
        </w:tc>
        <w:tc>
          <w:tcPr>
            <w:tcW w:w="720" w:type="dxa"/>
            <w:tcBorders>
              <w:left w:val="single" w:color="auto" w:sz="4" w:space="0"/>
              <w:right w:val="single" w:color="auto" w:sz="4" w:space="0"/>
            </w:tcBorders>
            <w:noWrap w:val="0"/>
            <w:vAlign w:val="center"/>
          </w:tcPr>
          <w:p w14:paraId="60B8C0DD">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其他</w:t>
            </w:r>
          </w:p>
        </w:tc>
        <w:tc>
          <w:tcPr>
            <w:tcW w:w="6635" w:type="dxa"/>
            <w:gridSpan w:val="3"/>
            <w:tcBorders>
              <w:left w:val="single" w:color="auto" w:sz="4" w:space="0"/>
            </w:tcBorders>
            <w:noWrap w:val="0"/>
            <w:vAlign w:val="center"/>
          </w:tcPr>
          <w:p w14:paraId="692B511F">
            <w:pPr>
              <w:keepNext w:val="0"/>
              <w:keepLines w:val="0"/>
              <w:suppressLineNumbers w:val="0"/>
              <w:spacing w:before="156" w:beforeLines="50" w:beforeAutospacing="0" w:after="156" w:afterLines="50" w:afterAutospacing="0" w:line="240" w:lineRule="atLeast"/>
              <w:ind w:left="0" w:right="0"/>
              <w:rPr>
                <w:rFonts w:hint="eastAsia" w:ascii="仿宋" w:hAnsi="仿宋" w:eastAsia="仿宋" w:cs="仿宋"/>
                <w:szCs w:val="21"/>
                <w:highlight w:val="none"/>
                <w:u w:val="single"/>
              </w:rPr>
            </w:pPr>
            <w:r>
              <w:rPr>
                <w:rFonts w:hint="eastAsia" w:ascii="仿宋" w:hAnsi="仿宋" w:eastAsia="仿宋" w:cs="仿宋"/>
                <w:szCs w:val="21"/>
                <w:highlight w:val="none"/>
              </w:rPr>
              <w:t>评价内容为：</w:t>
            </w:r>
          </w:p>
          <w:p w14:paraId="7CB9C6E4">
            <w:pPr>
              <w:keepNext w:val="0"/>
              <w:keepLines w:val="0"/>
              <w:suppressLineNumbers w:val="0"/>
              <w:spacing w:before="156" w:beforeLines="50" w:beforeAutospacing="0" w:after="156" w:afterLines="50" w:afterAutospacing="0" w:line="240" w:lineRule="atLeast"/>
              <w:ind w:left="0" w:right="0"/>
              <w:rPr>
                <w:rFonts w:hint="eastAsia" w:ascii="仿宋" w:hAnsi="仿宋" w:eastAsia="仿宋" w:cs="仿宋"/>
                <w:szCs w:val="21"/>
                <w:highlight w:val="none"/>
              </w:rPr>
            </w:pPr>
            <w:r>
              <w:rPr>
                <w:rFonts w:hint="eastAsia" w:ascii="仿宋" w:hAnsi="仿宋" w:eastAsia="仿宋" w:cs="仿宋"/>
                <w:szCs w:val="21"/>
                <w:highlight w:val="none"/>
              </w:rPr>
              <w:t>评价等级为：  □ 优       □ 良        □ 中         □ 差</w:t>
            </w:r>
          </w:p>
        </w:tc>
      </w:tr>
      <w:tr w14:paraId="20D1636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69" w:hRule="atLeast"/>
        </w:trPr>
        <w:tc>
          <w:tcPr>
            <w:tcW w:w="1562" w:type="dxa"/>
            <w:gridSpan w:val="2"/>
            <w:noWrap w:val="0"/>
            <w:vAlign w:val="center"/>
          </w:tcPr>
          <w:p w14:paraId="5A3D10CF">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具体情况说明</w:t>
            </w:r>
          </w:p>
        </w:tc>
        <w:tc>
          <w:tcPr>
            <w:tcW w:w="7355" w:type="dxa"/>
            <w:gridSpan w:val="4"/>
            <w:noWrap w:val="0"/>
            <w:vAlign w:val="top"/>
          </w:tcPr>
          <w:p w14:paraId="6541D7DC">
            <w:pPr>
              <w:keepNext w:val="0"/>
              <w:keepLines w:val="0"/>
              <w:suppressLineNumbers w:val="0"/>
              <w:spacing w:before="0" w:beforeAutospacing="0" w:after="0" w:afterAutospacing="0" w:line="240" w:lineRule="atLeast"/>
              <w:ind w:left="0" w:right="0"/>
              <w:rPr>
                <w:rFonts w:hint="eastAsia" w:ascii="仿宋" w:hAnsi="仿宋" w:eastAsia="仿宋" w:cs="仿宋"/>
                <w:szCs w:val="21"/>
                <w:highlight w:val="none"/>
              </w:rPr>
            </w:pPr>
          </w:p>
          <w:p w14:paraId="471D5C97">
            <w:pPr>
              <w:keepNext w:val="0"/>
              <w:keepLines w:val="0"/>
              <w:suppressLineNumbers w:val="0"/>
              <w:spacing w:before="0" w:beforeAutospacing="0" w:after="0" w:afterAutospacing="0" w:line="240" w:lineRule="atLeast"/>
              <w:ind w:left="0" w:right="0"/>
              <w:rPr>
                <w:rFonts w:hint="eastAsia" w:ascii="仿宋" w:hAnsi="仿宋" w:eastAsia="仿宋" w:cs="仿宋"/>
                <w:szCs w:val="21"/>
                <w:highlight w:val="none"/>
              </w:rPr>
            </w:pPr>
          </w:p>
          <w:p w14:paraId="523FF6D4">
            <w:pPr>
              <w:keepNext w:val="0"/>
              <w:keepLines w:val="0"/>
              <w:suppressLineNumbers w:val="0"/>
              <w:spacing w:before="0" w:beforeAutospacing="0" w:after="0" w:afterAutospacing="0" w:line="240" w:lineRule="atLeast"/>
              <w:ind w:left="0" w:right="0"/>
              <w:rPr>
                <w:rFonts w:hint="eastAsia" w:ascii="仿宋" w:hAnsi="仿宋" w:eastAsia="仿宋" w:cs="仿宋"/>
                <w:szCs w:val="21"/>
                <w:highlight w:val="none"/>
              </w:rPr>
            </w:pPr>
          </w:p>
          <w:p w14:paraId="7AC113EC">
            <w:pPr>
              <w:keepNext w:val="0"/>
              <w:keepLines w:val="0"/>
              <w:suppressLineNumbers w:val="0"/>
              <w:spacing w:before="0" w:beforeAutospacing="0" w:after="0" w:afterAutospacing="0" w:line="240" w:lineRule="atLeast"/>
              <w:ind w:left="0" w:right="0"/>
              <w:rPr>
                <w:rFonts w:hint="eastAsia" w:ascii="仿宋" w:hAnsi="仿宋" w:eastAsia="仿宋" w:cs="仿宋"/>
                <w:szCs w:val="21"/>
                <w:highlight w:val="none"/>
              </w:rPr>
            </w:pPr>
          </w:p>
          <w:p w14:paraId="31BC079D">
            <w:pPr>
              <w:keepNext w:val="0"/>
              <w:keepLines w:val="0"/>
              <w:suppressLineNumbers w:val="0"/>
              <w:spacing w:before="0" w:beforeAutospacing="0" w:after="0" w:afterAutospacing="0" w:line="240" w:lineRule="atLeast"/>
              <w:ind w:left="0" w:right="0"/>
              <w:rPr>
                <w:rFonts w:hint="eastAsia" w:ascii="仿宋" w:hAnsi="仿宋" w:eastAsia="仿宋" w:cs="仿宋"/>
                <w:szCs w:val="21"/>
                <w:highlight w:val="none"/>
              </w:rPr>
            </w:pPr>
          </w:p>
        </w:tc>
      </w:tr>
      <w:tr w14:paraId="5D530E7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07" w:hRule="atLeast"/>
        </w:trPr>
        <w:tc>
          <w:tcPr>
            <w:tcW w:w="1562" w:type="dxa"/>
            <w:gridSpan w:val="2"/>
            <w:noWrap w:val="0"/>
            <w:vAlign w:val="center"/>
          </w:tcPr>
          <w:p w14:paraId="18EC6903">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采购单位意见</w:t>
            </w:r>
          </w:p>
          <w:p w14:paraId="054211F7">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（公章）</w:t>
            </w:r>
          </w:p>
        </w:tc>
        <w:tc>
          <w:tcPr>
            <w:tcW w:w="7355" w:type="dxa"/>
            <w:gridSpan w:val="4"/>
            <w:noWrap w:val="0"/>
            <w:vAlign w:val="center"/>
          </w:tcPr>
          <w:p w14:paraId="0E859C65">
            <w:pPr>
              <w:keepNext w:val="0"/>
              <w:keepLines w:val="0"/>
              <w:suppressLineNumbers w:val="0"/>
              <w:spacing w:before="0" w:beforeAutospacing="0" w:after="0" w:afterAutospacing="0" w:line="240" w:lineRule="atLeast"/>
              <w:ind w:left="0" w:right="0"/>
              <w:rPr>
                <w:rFonts w:hint="eastAsia" w:ascii="仿宋" w:hAnsi="仿宋" w:eastAsia="仿宋" w:cs="仿宋"/>
                <w:szCs w:val="21"/>
                <w:highlight w:val="none"/>
              </w:rPr>
            </w:pPr>
          </w:p>
          <w:p w14:paraId="51F0B828">
            <w:pPr>
              <w:keepNext w:val="0"/>
              <w:keepLines w:val="0"/>
              <w:suppressLineNumbers w:val="0"/>
              <w:spacing w:before="0" w:beforeAutospacing="0" w:after="0" w:afterAutospacing="0" w:line="240" w:lineRule="atLeast"/>
              <w:ind w:left="0" w:right="0"/>
              <w:rPr>
                <w:rFonts w:hint="eastAsia" w:ascii="仿宋" w:hAnsi="仿宋" w:eastAsia="仿宋" w:cs="仿宋"/>
                <w:szCs w:val="21"/>
                <w:highlight w:val="none"/>
              </w:rPr>
            </w:pPr>
          </w:p>
          <w:p w14:paraId="5E2176C2">
            <w:pPr>
              <w:keepNext w:val="0"/>
              <w:keepLines w:val="0"/>
              <w:suppressLineNumbers w:val="0"/>
              <w:spacing w:before="0" w:beforeAutospacing="0" w:after="0" w:afterAutospacing="0" w:line="240" w:lineRule="atLeast"/>
              <w:ind w:left="0" w:right="0"/>
              <w:rPr>
                <w:rFonts w:hint="eastAsia" w:ascii="仿宋" w:hAnsi="仿宋" w:eastAsia="仿宋" w:cs="仿宋"/>
                <w:szCs w:val="21"/>
                <w:highlight w:val="none"/>
              </w:rPr>
            </w:pPr>
          </w:p>
          <w:p w14:paraId="2AD25591">
            <w:pPr>
              <w:keepNext w:val="0"/>
              <w:keepLines w:val="0"/>
              <w:suppressLineNumbers w:val="0"/>
              <w:spacing w:before="0" w:beforeAutospacing="0" w:after="0" w:afterAutospacing="0" w:line="240" w:lineRule="atLeast"/>
              <w:ind w:left="0" w:right="0"/>
              <w:rPr>
                <w:rFonts w:hint="eastAsia" w:ascii="仿宋" w:hAnsi="仿宋" w:eastAsia="仿宋" w:cs="仿宋"/>
                <w:szCs w:val="21"/>
                <w:highlight w:val="none"/>
              </w:rPr>
            </w:pPr>
          </w:p>
          <w:p w14:paraId="34FF5115">
            <w:pPr>
              <w:keepNext w:val="0"/>
              <w:keepLines w:val="0"/>
              <w:suppressLineNumbers w:val="0"/>
              <w:spacing w:before="0" w:beforeAutospacing="0" w:after="0" w:afterAutospacing="0" w:line="240" w:lineRule="atLeast"/>
              <w:ind w:left="0" w:right="0" w:firstLine="3780" w:firstLineChars="1800"/>
              <w:rPr>
                <w:rFonts w:hint="eastAsia" w:ascii="仿宋" w:hAnsi="仿宋" w:eastAsia="仿宋" w:cs="仿宋"/>
                <w:szCs w:val="21"/>
                <w:highlight w:val="none"/>
              </w:rPr>
            </w:pPr>
          </w:p>
          <w:p w14:paraId="51440665">
            <w:pPr>
              <w:keepNext w:val="0"/>
              <w:keepLines w:val="0"/>
              <w:suppressLineNumbers w:val="0"/>
              <w:spacing w:before="0" w:beforeAutospacing="0" w:after="0" w:afterAutospacing="0" w:line="240" w:lineRule="atLeast"/>
              <w:ind w:left="0" w:right="0" w:firstLine="3780" w:firstLineChars="1800"/>
              <w:rPr>
                <w:rFonts w:hint="eastAsia" w:ascii="仿宋" w:hAnsi="仿宋" w:eastAsia="仿宋" w:cs="仿宋"/>
                <w:szCs w:val="21"/>
                <w:highlight w:val="none"/>
              </w:rPr>
            </w:pPr>
            <w:r>
              <w:rPr>
                <w:rFonts w:hint="eastAsia" w:ascii="仿宋" w:hAnsi="仿宋" w:eastAsia="仿宋" w:cs="仿宋"/>
                <w:szCs w:val="21"/>
                <w:highlight w:val="none"/>
              </w:rPr>
              <w:t>日期：   年   月   日</w:t>
            </w:r>
          </w:p>
        </w:tc>
      </w:tr>
    </w:tbl>
    <w:p w14:paraId="227F7229">
      <w:pPr>
        <w:spacing w:line="240" w:lineRule="atLeast"/>
        <w:rPr>
          <w:rFonts w:hint="eastAsia" w:ascii="仿宋" w:hAnsi="仿宋" w:eastAsia="仿宋" w:cs="仿宋"/>
          <w:szCs w:val="21"/>
          <w:highlight w:val="none"/>
        </w:rPr>
      </w:pPr>
      <w:r>
        <w:rPr>
          <w:rFonts w:hint="eastAsia" w:ascii="仿宋" w:hAnsi="仿宋" w:eastAsia="仿宋" w:cs="仿宋"/>
          <w:szCs w:val="21"/>
          <w:highlight w:val="none"/>
        </w:rPr>
        <w:t>说明：1、本表为采购单位向</w:t>
      </w:r>
      <w:r>
        <w:rPr>
          <w:rFonts w:hint="eastAsia" w:ascii="仿宋" w:hAnsi="仿宋" w:eastAsia="仿宋" w:cs="仿宋"/>
          <w:szCs w:val="21"/>
          <w:highlight w:val="none"/>
          <w:lang w:val="en-US" w:eastAsia="zh-CN"/>
        </w:rPr>
        <w:t>主管部门</w:t>
      </w:r>
      <w:r>
        <w:rPr>
          <w:rFonts w:hint="eastAsia" w:ascii="仿宋" w:hAnsi="仿宋" w:eastAsia="仿宋" w:cs="仿宋"/>
          <w:szCs w:val="21"/>
          <w:highlight w:val="none"/>
        </w:rPr>
        <w:t>反映</w:t>
      </w:r>
      <w:r>
        <w:rPr>
          <w:rFonts w:hint="eastAsia" w:ascii="仿宋" w:hAnsi="仿宋" w:eastAsia="仿宋" w:cs="仿宋"/>
          <w:szCs w:val="21"/>
          <w:highlight w:val="none"/>
          <w:lang w:val="en-US" w:eastAsia="zh-CN"/>
        </w:rPr>
        <w:t>所</w:t>
      </w:r>
      <w:r>
        <w:rPr>
          <w:rFonts w:hint="eastAsia" w:ascii="仿宋" w:hAnsi="仿宋" w:eastAsia="仿宋" w:cs="仿宋"/>
          <w:szCs w:val="21"/>
          <w:highlight w:val="none"/>
        </w:rPr>
        <w:t>采购项目履约情况时所用；</w:t>
      </w:r>
    </w:p>
    <w:p w14:paraId="40DC7C17">
      <w:pPr>
        <w:spacing w:line="240" w:lineRule="atLeast"/>
        <w:rPr>
          <w:rFonts w:hint="eastAsia" w:ascii="仿宋" w:hAnsi="仿宋" w:eastAsia="仿宋" w:cs="仿宋"/>
          <w:szCs w:val="21"/>
          <w:highlight w:val="none"/>
        </w:rPr>
      </w:pPr>
      <w:r>
        <w:rPr>
          <w:rFonts w:hint="eastAsia" w:ascii="仿宋" w:hAnsi="仿宋" w:eastAsia="仿宋" w:cs="仿宋"/>
          <w:szCs w:val="21"/>
          <w:highlight w:val="none"/>
        </w:rPr>
        <w:t>2、履约情况评价分为优、良、中、差四个等级，请在对应的框前打“√”，然后在“具体情况说明”一栏详细说明有关情况。</w:t>
      </w:r>
    </w:p>
    <w:sectPr>
      <w:pgSz w:w="11906" w:h="16838"/>
      <w:pgMar w:top="1440" w:right="1800" w:bottom="1440" w:left="180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00" w:usb3="00000000" w:csb0="003E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Century">
    <w:altName w:val="Times New Roman"/>
    <w:panose1 w:val="02040604050505020304"/>
    <w:charset w:val="00"/>
    <w:family w:val="roman"/>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正黑简体">
    <w:altName w:val="黑体"/>
    <w:panose1 w:val="00000000000000000000"/>
    <w:charset w:val="86"/>
    <w:family w:val="auto"/>
    <w:pitch w:val="default"/>
    <w:sig w:usb0="00000000" w:usb1="00000000" w:usb2="00000000" w:usb3="00000000" w:csb0="00040000" w:csb1="00000000"/>
  </w:font>
  <w:font w:name="??">
    <w:altName w:val="宋体"/>
    <w:panose1 w:val="00000000000000000000"/>
    <w:charset w:val="00"/>
    <w:family w:val="auto"/>
    <w:pitch w:val="default"/>
    <w:sig w:usb0="00000000" w:usb1="00000000" w:usb2="00000000"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幼圆">
    <w:altName w:val="宋体"/>
    <w:panose1 w:val="0201050906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0" w:csb1="0000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ˎ̥">
    <w:altName w:val="宋体"/>
    <w:panose1 w:val="00000000000000000000"/>
    <w:charset w:val="00"/>
    <w:family w:val="roman"/>
    <w:pitch w:val="default"/>
    <w:sig w:usb0="00000000" w:usb1="00000000" w:usb2="00000000" w:usb3="00000000" w:csb0="00040001" w:csb1="00000000"/>
  </w:font>
  <w:font w:name="汉仪细等线简">
    <w:altName w:val="宋体"/>
    <w:panose1 w:val="00000000000000000000"/>
    <w:charset w:val="86"/>
    <w:family w:val="auto"/>
    <w:pitch w:val="default"/>
    <w:sig w:usb0="00000000" w:usb1="00000000" w:usb2="00000012" w:usb3="00000000" w:csb0="00040000" w:csb1="00000000"/>
  </w:font>
  <w:font w:name="仿宋">
    <w:panose1 w:val="02010609060101010101"/>
    <w:charset w:val="86"/>
    <w:family w:val="auto"/>
    <w:pitch w:val="default"/>
    <w:sig w:usb0="800002BF" w:usb1="38CF7CFA" w:usb2="00000016" w:usb3="00000000" w:csb0="00040001" w:csb1="00000000"/>
    <w:embedRegular r:id="rId1" w:fontKey="{E5290B1F-4C51-426F-94A4-C385F442F2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7ED09">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80BF0C">
                          <w:pPr>
                            <w:pStyle w:val="27"/>
                            <w:rPr>
                              <w:rStyle w:val="47"/>
                            </w:rPr>
                          </w:pPr>
                          <w:r>
                            <w:rPr>
                              <w:rStyle w:val="47"/>
                            </w:rPr>
                            <w:fldChar w:fldCharType="begin"/>
                          </w:r>
                          <w:r>
                            <w:rPr>
                              <w:rStyle w:val="47"/>
                            </w:rPr>
                            <w:instrText xml:space="preserve">PAGE  </w:instrText>
                          </w:r>
                          <w:r>
                            <w:rPr>
                              <w:rStyle w:val="47"/>
                            </w:rPr>
                            <w:fldChar w:fldCharType="separate"/>
                          </w:r>
                          <w:r>
                            <w:rPr>
                              <w:rStyle w:val="47"/>
                            </w:rPr>
                            <w:t>29</w:t>
                          </w:r>
                          <w:r>
                            <w:rPr>
                              <w:rStyle w:val="47"/>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2380BF0C">
                    <w:pPr>
                      <w:pStyle w:val="27"/>
                      <w:rPr>
                        <w:rStyle w:val="47"/>
                      </w:rPr>
                    </w:pPr>
                    <w:r>
                      <w:rPr>
                        <w:rStyle w:val="47"/>
                      </w:rPr>
                      <w:fldChar w:fldCharType="begin"/>
                    </w:r>
                    <w:r>
                      <w:rPr>
                        <w:rStyle w:val="47"/>
                      </w:rPr>
                      <w:instrText xml:space="preserve">PAGE  </w:instrText>
                    </w:r>
                    <w:r>
                      <w:rPr>
                        <w:rStyle w:val="47"/>
                      </w:rPr>
                      <w:fldChar w:fldCharType="separate"/>
                    </w:r>
                    <w:r>
                      <w:rPr>
                        <w:rStyle w:val="47"/>
                      </w:rPr>
                      <w:t>29</w:t>
                    </w:r>
                    <w:r>
                      <w:rPr>
                        <w:rStyle w:val="47"/>
                      </w:rPr>
                      <w:fldChar w:fldCharType="end"/>
                    </w:r>
                  </w:p>
                </w:txbxContent>
              </v:textbox>
            </v:shape>
          </w:pict>
        </mc:Fallback>
      </mc:AlternateContent>
    </w:r>
  </w:p>
  <w:p w14:paraId="265ED478"/>
  <w:p w14:paraId="4187A4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02BE6">
    <w:pPr>
      <w:pStyle w:val="2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405FCF">
                          <w:pPr>
                            <w:pStyle w:val="27"/>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45405FCF">
                    <w:pPr>
                      <w:pStyle w:val="27"/>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1E20C"/>
  <w:p w14:paraId="6844FB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25"/>
    <w:multiLevelType w:val="multilevel"/>
    <w:tmpl w:val="00000025"/>
    <w:lvl w:ilvl="0" w:tentative="0">
      <w:start w:val="3"/>
      <w:numFmt w:val="japaneseCounting"/>
      <w:pStyle w:val="15"/>
      <w:lvlText w:val="第%1条"/>
      <w:lvlJc w:val="left"/>
      <w:pPr>
        <w:tabs>
          <w:tab w:val="left" w:pos="1530"/>
        </w:tabs>
        <w:ind w:left="1530" w:hanging="1170"/>
      </w:pPr>
      <w:rPr>
        <w:rFonts w:hint="default"/>
      </w:rPr>
    </w:lvl>
    <w:lvl w:ilvl="1" w:tentative="0">
      <w:start w:val="1"/>
      <w:numFmt w:val="lowerLetter"/>
      <w:pStyle w:val="141"/>
      <w:lvlText w:val="%2)"/>
      <w:lvlJc w:val="left"/>
      <w:pPr>
        <w:tabs>
          <w:tab w:val="left" w:pos="1200"/>
        </w:tabs>
        <w:ind w:left="1200" w:hanging="420"/>
      </w:pPr>
    </w:lvl>
    <w:lvl w:ilvl="2" w:tentative="0">
      <w:start w:val="1"/>
      <w:numFmt w:val="lowerRoman"/>
      <w:pStyle w:val="140"/>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
    <w:nsid w:val="12503483"/>
    <w:multiLevelType w:val="multilevel"/>
    <w:tmpl w:val="12503483"/>
    <w:lvl w:ilvl="0" w:tentative="0">
      <w:start w:val="1"/>
      <w:numFmt w:val="bullet"/>
      <w:pStyle w:val="220"/>
      <w:lvlText w:val=""/>
      <w:lvlJc w:val="left"/>
      <w:pPr>
        <w:tabs>
          <w:tab w:val="left" w:pos="420"/>
        </w:tabs>
        <w:ind w:left="420" w:hanging="420"/>
      </w:pPr>
      <w:rPr>
        <w:rFonts w:hint="default" w:ascii="Wingdings" w:hAnsi="Wingdings"/>
      </w:rPr>
    </w:lvl>
    <w:lvl w:ilvl="1" w:tentative="0">
      <w:start w:val="1"/>
      <w:numFmt w:val="bullet"/>
      <w:pStyle w:val="21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0D20D0"/>
    <w:multiLevelType w:val="multilevel"/>
    <w:tmpl w:val="160D20D0"/>
    <w:lvl w:ilvl="0" w:tentative="0">
      <w:start w:val="1"/>
      <w:numFmt w:val="bullet"/>
      <w:pStyle w:val="210"/>
      <w:lvlText w:val=""/>
      <w:lvlJc w:val="left"/>
      <w:pPr>
        <w:tabs>
          <w:tab w:val="left" w:pos="840"/>
        </w:tabs>
        <w:ind w:left="840" w:hanging="420"/>
      </w:pPr>
      <w:rPr>
        <w:rFonts w:hint="default" w:ascii="Wingdings" w:hAnsi="Wingdings"/>
      </w:rPr>
    </w:lvl>
    <w:lvl w:ilvl="1" w:tentative="0">
      <w:start w:val="1"/>
      <w:numFmt w:val="bullet"/>
      <w:pStyle w:val="211"/>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190A548B"/>
    <w:multiLevelType w:val="multilevel"/>
    <w:tmpl w:val="190A548B"/>
    <w:lvl w:ilvl="0" w:tentative="0">
      <w:start w:val="1"/>
      <w:numFmt w:val="chineseCountingThousand"/>
      <w:pStyle w:val="128"/>
      <w:lvlText w:val="第%1章"/>
      <w:lvlJc w:val="left"/>
      <w:pPr>
        <w:ind w:left="0" w:firstLine="0"/>
      </w:pPr>
      <w:rPr>
        <w:rFonts w:hint="eastAsia" w:eastAsia="宋体"/>
        <w:b/>
        <w:i w:val="0"/>
        <w:sz w:val="44"/>
      </w:rPr>
    </w:lvl>
    <w:lvl w:ilvl="1" w:tentative="0">
      <w:start w:val="1"/>
      <w:numFmt w:val="decimal"/>
      <w:pStyle w:val="130"/>
      <w:isLgl/>
      <w:suff w:val="space"/>
      <w:lvlText w:val="%1.%2"/>
      <w:lvlJc w:val="left"/>
      <w:pPr>
        <w:ind w:left="0" w:firstLine="0"/>
      </w:pPr>
      <w:rPr>
        <w:rFonts w:hint="eastAsia" w:eastAsia="宋体"/>
        <w:b/>
        <w:i w:val="0"/>
        <w:color w:val="auto"/>
        <w:sz w:val="30"/>
        <w:szCs w:val="21"/>
      </w:rPr>
    </w:lvl>
    <w:lvl w:ilvl="2" w:tentative="0">
      <w:start w:val="1"/>
      <w:numFmt w:val="decimal"/>
      <w:pStyle w:val="132"/>
      <w:isLgl/>
      <w:suff w:val="space"/>
      <w:lvlText w:val="%1.%2.%3"/>
      <w:lvlJc w:val="left"/>
      <w:pPr>
        <w:ind w:left="0" w:firstLine="0"/>
      </w:pPr>
      <w:rPr>
        <w:rFonts w:hint="eastAsia" w:eastAsia="宋体"/>
        <w:b/>
        <w:i w:val="0"/>
        <w:sz w:val="28"/>
      </w:rPr>
    </w:lvl>
    <w:lvl w:ilvl="3" w:tentative="0">
      <w:start w:val="1"/>
      <w:numFmt w:val="decimal"/>
      <w:lvlText w:val="%1.%2.%3.%4"/>
      <w:lvlJc w:val="left"/>
      <w:pPr>
        <w:tabs>
          <w:tab w:val="left" w:pos="851"/>
        </w:tabs>
        <w:ind w:left="0" w:firstLine="0"/>
      </w:pPr>
      <w:rPr>
        <w:rFonts w:hint="eastAsia"/>
      </w:rPr>
    </w:lvl>
    <w:lvl w:ilvl="4" w:tentative="0">
      <w:start w:val="1"/>
      <w:numFmt w:val="decimal"/>
      <w:lvlText w:val="%1.%2.%3.%4.%5"/>
      <w:lvlJc w:val="left"/>
      <w:pPr>
        <w:tabs>
          <w:tab w:val="left" w:pos="851"/>
        </w:tabs>
        <w:ind w:left="0" w:firstLine="0"/>
      </w:pPr>
      <w:rPr>
        <w:rFonts w:hint="eastAsia"/>
      </w:rPr>
    </w:lvl>
    <w:lvl w:ilvl="5" w:tentative="0">
      <w:start w:val="1"/>
      <w:numFmt w:val="decimal"/>
      <w:lvlText w:val="%1.%2.%3.%4.%5.%6"/>
      <w:lvlJc w:val="left"/>
      <w:pPr>
        <w:tabs>
          <w:tab w:val="left" w:pos="851"/>
        </w:tabs>
        <w:ind w:left="0" w:firstLine="0"/>
      </w:pPr>
      <w:rPr>
        <w:rFonts w:hint="eastAsia"/>
      </w:rPr>
    </w:lvl>
    <w:lvl w:ilvl="6" w:tentative="0">
      <w:start w:val="1"/>
      <w:numFmt w:val="decimal"/>
      <w:lvlText w:val="%1.%2.%3.%4.%5.%6.%7"/>
      <w:lvlJc w:val="left"/>
      <w:pPr>
        <w:tabs>
          <w:tab w:val="left" w:pos="851"/>
        </w:tabs>
        <w:ind w:left="0" w:firstLine="0"/>
      </w:pPr>
      <w:rPr>
        <w:rFonts w:hint="eastAsia"/>
      </w:rPr>
    </w:lvl>
    <w:lvl w:ilvl="7" w:tentative="0">
      <w:start w:val="1"/>
      <w:numFmt w:val="decimal"/>
      <w:lvlText w:val="%1.%2.%3.%4.%5.%6.%7.%8"/>
      <w:lvlJc w:val="left"/>
      <w:pPr>
        <w:tabs>
          <w:tab w:val="left" w:pos="851"/>
        </w:tabs>
        <w:ind w:left="0" w:firstLine="0"/>
      </w:pPr>
      <w:rPr>
        <w:rFonts w:hint="eastAsia"/>
      </w:rPr>
    </w:lvl>
    <w:lvl w:ilvl="8" w:tentative="0">
      <w:start w:val="1"/>
      <w:numFmt w:val="decimal"/>
      <w:lvlText w:val="%1.%2.%3.%4.%5.%6.%7.%8.%9"/>
      <w:lvlJc w:val="left"/>
      <w:pPr>
        <w:tabs>
          <w:tab w:val="left" w:pos="851"/>
        </w:tabs>
        <w:ind w:left="0" w:firstLine="0"/>
      </w:pPr>
      <w:rPr>
        <w:rFonts w:hint="eastAsia"/>
      </w:rPr>
    </w:lvl>
  </w:abstractNum>
  <w:abstractNum w:abstractNumId="5">
    <w:nsid w:val="227D4F1D"/>
    <w:multiLevelType w:val="multilevel"/>
    <w:tmpl w:val="227D4F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F395B7B"/>
    <w:multiLevelType w:val="multilevel"/>
    <w:tmpl w:val="2F395B7B"/>
    <w:lvl w:ilvl="0" w:tentative="0">
      <w:start w:val="1"/>
      <w:numFmt w:val="bullet"/>
      <w:pStyle w:val="27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3146156C"/>
    <w:multiLevelType w:val="multilevel"/>
    <w:tmpl w:val="3146156C"/>
    <w:lvl w:ilvl="0" w:tentative="0">
      <w:start w:val="1"/>
      <w:numFmt w:val="decimal"/>
      <w:pStyle w:val="146"/>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33D690F"/>
    <w:multiLevelType w:val="multilevel"/>
    <w:tmpl w:val="333D690F"/>
    <w:lvl w:ilvl="0" w:tentative="0">
      <w:start w:val="1"/>
      <w:numFmt w:val="decimal"/>
      <w:pStyle w:val="143"/>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9">
    <w:nsid w:val="391E7D63"/>
    <w:multiLevelType w:val="multilevel"/>
    <w:tmpl w:val="391E7D6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B363D98"/>
    <w:multiLevelType w:val="multilevel"/>
    <w:tmpl w:val="3B363D98"/>
    <w:lvl w:ilvl="0" w:tentative="0">
      <w:start w:val="1"/>
      <w:numFmt w:val="decimal"/>
      <w:pStyle w:val="14"/>
      <w:suff w:val="space"/>
      <w:lvlText w:val="图%1."/>
      <w:lvlJc w:val="left"/>
      <w:pPr>
        <w:ind w:left="2263" w:hanging="420"/>
      </w:pPr>
      <w:rPr>
        <w:rFonts w:hint="eastAsia" w:cs="Times New Roman"/>
        <w:b w:val="0"/>
        <w:bCs w:val="0"/>
        <w:i w:val="0"/>
        <w:iCs w:val="0"/>
        <w:caps w:val="0"/>
        <w:smallCaps w:val="0"/>
        <w:strike w:val="0"/>
        <w:dstrike w:val="0"/>
        <w:vanish w:val="0"/>
        <w:color w:val="000000"/>
        <w:spacing w:val="0"/>
        <w:position w:val="0"/>
        <w:sz w:val="24"/>
        <w:szCs w:val="24"/>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1">
    <w:nsid w:val="3C182DDE"/>
    <w:multiLevelType w:val="multilevel"/>
    <w:tmpl w:val="3C182DDE"/>
    <w:lvl w:ilvl="0" w:tentative="0">
      <w:start w:val="1"/>
      <w:numFmt w:val="decimal"/>
      <w:pStyle w:val="135"/>
      <w:lvlText w:val="图%1"/>
      <w:lvlJc w:val="left"/>
      <w:pPr>
        <w:ind w:left="0" w:firstLine="0"/>
      </w:pPr>
      <w:rPr>
        <w:rFonts w:hint="eastAsia" w:eastAsia="华文宋体"/>
        <w:b w:val="0"/>
        <w:i w:val="0"/>
        <w:sz w:val="24"/>
        <w:szCs w:val="24"/>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3EC7847B"/>
    <w:multiLevelType w:val="multilevel"/>
    <w:tmpl w:val="3EC7847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CA75A52"/>
    <w:multiLevelType w:val="multilevel"/>
    <w:tmpl w:val="4CA75A52"/>
    <w:lvl w:ilvl="0" w:tentative="0">
      <w:start w:val="1"/>
      <w:numFmt w:val="decimal"/>
      <w:pStyle w:val="144"/>
      <w:lvlText w:val="%1)"/>
      <w:lvlJc w:val="left"/>
      <w:pPr>
        <w:ind w:left="420" w:firstLine="0"/>
      </w:pPr>
      <w:rPr>
        <w:rFonts w:hint="default" w:ascii="Verdana" w:hAnsi="Verdana"/>
        <w:b w:val="0"/>
        <w:sz w:val="24"/>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num w:numId="1">
    <w:abstractNumId w:val="10"/>
  </w:num>
  <w:num w:numId="2">
    <w:abstractNumId w:val="1"/>
  </w:num>
  <w:num w:numId="3">
    <w:abstractNumId w:val="4"/>
  </w:num>
  <w:num w:numId="4">
    <w:abstractNumId w:val="11"/>
  </w:num>
  <w:num w:numId="5">
    <w:abstractNumId w:val="8"/>
  </w:num>
  <w:num w:numId="6">
    <w:abstractNumId w:val="13"/>
  </w:num>
  <w:num w:numId="7">
    <w:abstractNumId w:val="7"/>
  </w:num>
  <w:num w:numId="8">
    <w:abstractNumId w:val="3"/>
  </w:num>
  <w:num w:numId="9">
    <w:abstractNumId w:val="2"/>
  </w:num>
  <w:num w:numId="10">
    <w:abstractNumId w:val="6"/>
  </w:num>
  <w:num w:numId="11">
    <w:abstractNumId w:val="0"/>
  </w:num>
  <w:num w:numId="12">
    <w:abstractNumId w:val="12"/>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attachedTemplate r:id="rId1"/>
  <w:trackRevisions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YzFmMDE1ZTIyYjFjZmVjNzA2YTBiYTRmNDVkYzEifQ=="/>
  </w:docVars>
  <w:rsids>
    <w:rsidRoot w:val="7A674631"/>
    <w:rsid w:val="00000B85"/>
    <w:rsid w:val="00002117"/>
    <w:rsid w:val="00002131"/>
    <w:rsid w:val="0000255A"/>
    <w:rsid w:val="00002935"/>
    <w:rsid w:val="00010ADA"/>
    <w:rsid w:val="00010C4B"/>
    <w:rsid w:val="00010F1F"/>
    <w:rsid w:val="0001315E"/>
    <w:rsid w:val="00020324"/>
    <w:rsid w:val="0002174F"/>
    <w:rsid w:val="00021756"/>
    <w:rsid w:val="0002359E"/>
    <w:rsid w:val="00023CE1"/>
    <w:rsid w:val="00024037"/>
    <w:rsid w:val="00025B68"/>
    <w:rsid w:val="00027DA9"/>
    <w:rsid w:val="000301E0"/>
    <w:rsid w:val="000323AF"/>
    <w:rsid w:val="0003727C"/>
    <w:rsid w:val="00040C02"/>
    <w:rsid w:val="00040C74"/>
    <w:rsid w:val="000411BD"/>
    <w:rsid w:val="00042F7A"/>
    <w:rsid w:val="000440D4"/>
    <w:rsid w:val="0004446C"/>
    <w:rsid w:val="00044668"/>
    <w:rsid w:val="00044B72"/>
    <w:rsid w:val="00046CA4"/>
    <w:rsid w:val="00047975"/>
    <w:rsid w:val="00053537"/>
    <w:rsid w:val="000537BC"/>
    <w:rsid w:val="00054913"/>
    <w:rsid w:val="00056085"/>
    <w:rsid w:val="00056BE7"/>
    <w:rsid w:val="00056E88"/>
    <w:rsid w:val="000573EA"/>
    <w:rsid w:val="000578ED"/>
    <w:rsid w:val="000642C0"/>
    <w:rsid w:val="00065B2C"/>
    <w:rsid w:val="0006703A"/>
    <w:rsid w:val="0006744A"/>
    <w:rsid w:val="00067F97"/>
    <w:rsid w:val="000708E1"/>
    <w:rsid w:val="000709F3"/>
    <w:rsid w:val="00072D64"/>
    <w:rsid w:val="000732FB"/>
    <w:rsid w:val="000750AE"/>
    <w:rsid w:val="0007616F"/>
    <w:rsid w:val="00081DFF"/>
    <w:rsid w:val="0008370E"/>
    <w:rsid w:val="00085A25"/>
    <w:rsid w:val="00085A27"/>
    <w:rsid w:val="0008611C"/>
    <w:rsid w:val="00086826"/>
    <w:rsid w:val="00086D58"/>
    <w:rsid w:val="00087043"/>
    <w:rsid w:val="00087879"/>
    <w:rsid w:val="00092A40"/>
    <w:rsid w:val="00094D17"/>
    <w:rsid w:val="0009578A"/>
    <w:rsid w:val="00095C95"/>
    <w:rsid w:val="00096B6B"/>
    <w:rsid w:val="000A011A"/>
    <w:rsid w:val="000A2FC9"/>
    <w:rsid w:val="000A5485"/>
    <w:rsid w:val="000A60D5"/>
    <w:rsid w:val="000A6ECE"/>
    <w:rsid w:val="000B2F15"/>
    <w:rsid w:val="000B3524"/>
    <w:rsid w:val="000B3819"/>
    <w:rsid w:val="000B49E9"/>
    <w:rsid w:val="000B4E1F"/>
    <w:rsid w:val="000C29C8"/>
    <w:rsid w:val="000C3893"/>
    <w:rsid w:val="000C74DF"/>
    <w:rsid w:val="000D1BAD"/>
    <w:rsid w:val="000D203D"/>
    <w:rsid w:val="000D2153"/>
    <w:rsid w:val="000D275E"/>
    <w:rsid w:val="000D2E15"/>
    <w:rsid w:val="000D3F56"/>
    <w:rsid w:val="000D6792"/>
    <w:rsid w:val="000D6DB0"/>
    <w:rsid w:val="000D7BAE"/>
    <w:rsid w:val="000E1D9A"/>
    <w:rsid w:val="000E2079"/>
    <w:rsid w:val="000E38A1"/>
    <w:rsid w:val="000E4D81"/>
    <w:rsid w:val="000F15C7"/>
    <w:rsid w:val="000F1E07"/>
    <w:rsid w:val="000F261D"/>
    <w:rsid w:val="000F400A"/>
    <w:rsid w:val="000F45B2"/>
    <w:rsid w:val="000F4AC2"/>
    <w:rsid w:val="000F5A48"/>
    <w:rsid w:val="000F686C"/>
    <w:rsid w:val="000F713E"/>
    <w:rsid w:val="000F74F3"/>
    <w:rsid w:val="00102479"/>
    <w:rsid w:val="00103E02"/>
    <w:rsid w:val="001051CC"/>
    <w:rsid w:val="00106342"/>
    <w:rsid w:val="00106746"/>
    <w:rsid w:val="00110A2F"/>
    <w:rsid w:val="00110B4D"/>
    <w:rsid w:val="0011308B"/>
    <w:rsid w:val="001132F7"/>
    <w:rsid w:val="00113F47"/>
    <w:rsid w:val="00115057"/>
    <w:rsid w:val="00115E6E"/>
    <w:rsid w:val="00116455"/>
    <w:rsid w:val="00116D3E"/>
    <w:rsid w:val="001215FB"/>
    <w:rsid w:val="00122372"/>
    <w:rsid w:val="001224B1"/>
    <w:rsid w:val="00122630"/>
    <w:rsid w:val="00133D7C"/>
    <w:rsid w:val="00134020"/>
    <w:rsid w:val="00137DA9"/>
    <w:rsid w:val="0014250D"/>
    <w:rsid w:val="00142EED"/>
    <w:rsid w:val="00143729"/>
    <w:rsid w:val="00144C60"/>
    <w:rsid w:val="00145FF2"/>
    <w:rsid w:val="00146200"/>
    <w:rsid w:val="00146FBA"/>
    <w:rsid w:val="001473DF"/>
    <w:rsid w:val="00150864"/>
    <w:rsid w:val="00151E9C"/>
    <w:rsid w:val="00155CFC"/>
    <w:rsid w:val="0015653F"/>
    <w:rsid w:val="00162607"/>
    <w:rsid w:val="001631B7"/>
    <w:rsid w:val="00164D8C"/>
    <w:rsid w:val="001658D3"/>
    <w:rsid w:val="00165C4C"/>
    <w:rsid w:val="00166324"/>
    <w:rsid w:val="00166F09"/>
    <w:rsid w:val="0016784D"/>
    <w:rsid w:val="001678FB"/>
    <w:rsid w:val="00167A87"/>
    <w:rsid w:val="001703F1"/>
    <w:rsid w:val="001710AF"/>
    <w:rsid w:val="00171D1D"/>
    <w:rsid w:val="0017204E"/>
    <w:rsid w:val="00172774"/>
    <w:rsid w:val="001734F6"/>
    <w:rsid w:val="00173D93"/>
    <w:rsid w:val="00173F6F"/>
    <w:rsid w:val="001742CA"/>
    <w:rsid w:val="00174633"/>
    <w:rsid w:val="00174715"/>
    <w:rsid w:val="00180760"/>
    <w:rsid w:val="00180911"/>
    <w:rsid w:val="00182BD4"/>
    <w:rsid w:val="001840F2"/>
    <w:rsid w:val="00190C10"/>
    <w:rsid w:val="00191DAD"/>
    <w:rsid w:val="00193EDF"/>
    <w:rsid w:val="00196320"/>
    <w:rsid w:val="00196340"/>
    <w:rsid w:val="00196397"/>
    <w:rsid w:val="001A2C2B"/>
    <w:rsid w:val="001A2EB0"/>
    <w:rsid w:val="001A3238"/>
    <w:rsid w:val="001A47FE"/>
    <w:rsid w:val="001B01AF"/>
    <w:rsid w:val="001B0990"/>
    <w:rsid w:val="001B320B"/>
    <w:rsid w:val="001B61C5"/>
    <w:rsid w:val="001C022B"/>
    <w:rsid w:val="001C0BB2"/>
    <w:rsid w:val="001C464C"/>
    <w:rsid w:val="001C4AF2"/>
    <w:rsid w:val="001C582A"/>
    <w:rsid w:val="001D0CF8"/>
    <w:rsid w:val="001D1001"/>
    <w:rsid w:val="001D19A0"/>
    <w:rsid w:val="001D1B3A"/>
    <w:rsid w:val="001D2BC3"/>
    <w:rsid w:val="001D2CD3"/>
    <w:rsid w:val="001D4E3B"/>
    <w:rsid w:val="001D68EC"/>
    <w:rsid w:val="001E3063"/>
    <w:rsid w:val="001E72E3"/>
    <w:rsid w:val="001F00D4"/>
    <w:rsid w:val="001F0451"/>
    <w:rsid w:val="001F4F8E"/>
    <w:rsid w:val="001F54A0"/>
    <w:rsid w:val="001F6371"/>
    <w:rsid w:val="001F6388"/>
    <w:rsid w:val="001F7AED"/>
    <w:rsid w:val="001F7B5C"/>
    <w:rsid w:val="00201DA6"/>
    <w:rsid w:val="00202688"/>
    <w:rsid w:val="00202A1F"/>
    <w:rsid w:val="00202CC3"/>
    <w:rsid w:val="002034A8"/>
    <w:rsid w:val="0020594E"/>
    <w:rsid w:val="00210624"/>
    <w:rsid w:val="00214D32"/>
    <w:rsid w:val="00216C09"/>
    <w:rsid w:val="002175AB"/>
    <w:rsid w:val="00221C82"/>
    <w:rsid w:val="00222BAC"/>
    <w:rsid w:val="00224E26"/>
    <w:rsid w:val="00225994"/>
    <w:rsid w:val="002314F7"/>
    <w:rsid w:val="002334FD"/>
    <w:rsid w:val="0023371F"/>
    <w:rsid w:val="0023376A"/>
    <w:rsid w:val="002341D8"/>
    <w:rsid w:val="00236CF8"/>
    <w:rsid w:val="00237755"/>
    <w:rsid w:val="002418EB"/>
    <w:rsid w:val="00245A8F"/>
    <w:rsid w:val="00245E65"/>
    <w:rsid w:val="00250545"/>
    <w:rsid w:val="00250CB7"/>
    <w:rsid w:val="0025146A"/>
    <w:rsid w:val="00256B46"/>
    <w:rsid w:val="00261102"/>
    <w:rsid w:val="00261733"/>
    <w:rsid w:val="0026656A"/>
    <w:rsid w:val="002671D8"/>
    <w:rsid w:val="002709C8"/>
    <w:rsid w:val="00270C9A"/>
    <w:rsid w:val="00271A5A"/>
    <w:rsid w:val="002736EA"/>
    <w:rsid w:val="00273905"/>
    <w:rsid w:val="00274769"/>
    <w:rsid w:val="002754DA"/>
    <w:rsid w:val="00276811"/>
    <w:rsid w:val="002769CA"/>
    <w:rsid w:val="00280D8F"/>
    <w:rsid w:val="00281326"/>
    <w:rsid w:val="00282DBB"/>
    <w:rsid w:val="00290E3D"/>
    <w:rsid w:val="00292E27"/>
    <w:rsid w:val="002933FC"/>
    <w:rsid w:val="0029603E"/>
    <w:rsid w:val="00296C0F"/>
    <w:rsid w:val="002A0711"/>
    <w:rsid w:val="002A0820"/>
    <w:rsid w:val="002A1068"/>
    <w:rsid w:val="002A29D1"/>
    <w:rsid w:val="002A37E0"/>
    <w:rsid w:val="002A586B"/>
    <w:rsid w:val="002A687F"/>
    <w:rsid w:val="002B0D74"/>
    <w:rsid w:val="002B0DB2"/>
    <w:rsid w:val="002B573D"/>
    <w:rsid w:val="002B5C8E"/>
    <w:rsid w:val="002B669A"/>
    <w:rsid w:val="002B6FD5"/>
    <w:rsid w:val="002B70C8"/>
    <w:rsid w:val="002C07F0"/>
    <w:rsid w:val="002C1FF0"/>
    <w:rsid w:val="002C4DED"/>
    <w:rsid w:val="002D2F3A"/>
    <w:rsid w:val="002D352D"/>
    <w:rsid w:val="002E0A4E"/>
    <w:rsid w:val="002E50A3"/>
    <w:rsid w:val="002E7A1D"/>
    <w:rsid w:val="002F08A2"/>
    <w:rsid w:val="002F203D"/>
    <w:rsid w:val="00301D79"/>
    <w:rsid w:val="00303063"/>
    <w:rsid w:val="00304864"/>
    <w:rsid w:val="00305297"/>
    <w:rsid w:val="00306813"/>
    <w:rsid w:val="0030686C"/>
    <w:rsid w:val="0030714E"/>
    <w:rsid w:val="00310260"/>
    <w:rsid w:val="0031043D"/>
    <w:rsid w:val="00310604"/>
    <w:rsid w:val="00310D8D"/>
    <w:rsid w:val="00312390"/>
    <w:rsid w:val="00314920"/>
    <w:rsid w:val="00315123"/>
    <w:rsid w:val="00315C43"/>
    <w:rsid w:val="00317674"/>
    <w:rsid w:val="00317BA8"/>
    <w:rsid w:val="00322495"/>
    <w:rsid w:val="00322905"/>
    <w:rsid w:val="00323597"/>
    <w:rsid w:val="00324360"/>
    <w:rsid w:val="00324BAE"/>
    <w:rsid w:val="0032633F"/>
    <w:rsid w:val="00326347"/>
    <w:rsid w:val="00326934"/>
    <w:rsid w:val="00327449"/>
    <w:rsid w:val="003275ED"/>
    <w:rsid w:val="00334A6D"/>
    <w:rsid w:val="003353A9"/>
    <w:rsid w:val="00336232"/>
    <w:rsid w:val="0034103B"/>
    <w:rsid w:val="00347F69"/>
    <w:rsid w:val="00352211"/>
    <w:rsid w:val="00355C77"/>
    <w:rsid w:val="00362B53"/>
    <w:rsid w:val="00362E8C"/>
    <w:rsid w:val="003712A3"/>
    <w:rsid w:val="00371A94"/>
    <w:rsid w:val="00372B5F"/>
    <w:rsid w:val="00382B3E"/>
    <w:rsid w:val="00385EB8"/>
    <w:rsid w:val="00387505"/>
    <w:rsid w:val="00391579"/>
    <w:rsid w:val="0039173A"/>
    <w:rsid w:val="00394BB4"/>
    <w:rsid w:val="003954F3"/>
    <w:rsid w:val="003959E1"/>
    <w:rsid w:val="00397E58"/>
    <w:rsid w:val="003A2D3B"/>
    <w:rsid w:val="003A65EC"/>
    <w:rsid w:val="003B1EDF"/>
    <w:rsid w:val="003B585A"/>
    <w:rsid w:val="003B64B7"/>
    <w:rsid w:val="003B7E92"/>
    <w:rsid w:val="003C468D"/>
    <w:rsid w:val="003C5CBE"/>
    <w:rsid w:val="003D2D31"/>
    <w:rsid w:val="003D535C"/>
    <w:rsid w:val="003D7F61"/>
    <w:rsid w:val="003E5421"/>
    <w:rsid w:val="003E612C"/>
    <w:rsid w:val="003E64F8"/>
    <w:rsid w:val="003E79F1"/>
    <w:rsid w:val="003F02A1"/>
    <w:rsid w:val="003F03CD"/>
    <w:rsid w:val="003F1B53"/>
    <w:rsid w:val="003F4044"/>
    <w:rsid w:val="003F48A5"/>
    <w:rsid w:val="003F5B3B"/>
    <w:rsid w:val="003F5F53"/>
    <w:rsid w:val="00401F97"/>
    <w:rsid w:val="004026A6"/>
    <w:rsid w:val="00403C47"/>
    <w:rsid w:val="004103A8"/>
    <w:rsid w:val="004120E9"/>
    <w:rsid w:val="00413B62"/>
    <w:rsid w:val="0041432B"/>
    <w:rsid w:val="004147DA"/>
    <w:rsid w:val="00420ECC"/>
    <w:rsid w:val="004235A2"/>
    <w:rsid w:val="0042403C"/>
    <w:rsid w:val="00424551"/>
    <w:rsid w:val="00425509"/>
    <w:rsid w:val="00425ACA"/>
    <w:rsid w:val="004271F2"/>
    <w:rsid w:val="0043331A"/>
    <w:rsid w:val="00434228"/>
    <w:rsid w:val="0044114A"/>
    <w:rsid w:val="00442041"/>
    <w:rsid w:val="00442190"/>
    <w:rsid w:val="00446E5C"/>
    <w:rsid w:val="00447B0D"/>
    <w:rsid w:val="00450F54"/>
    <w:rsid w:val="0045438C"/>
    <w:rsid w:val="00456D89"/>
    <w:rsid w:val="004625D8"/>
    <w:rsid w:val="004633DA"/>
    <w:rsid w:val="00465E70"/>
    <w:rsid w:val="00466C86"/>
    <w:rsid w:val="00467244"/>
    <w:rsid w:val="00470F3B"/>
    <w:rsid w:val="00471968"/>
    <w:rsid w:val="00475156"/>
    <w:rsid w:val="0048017C"/>
    <w:rsid w:val="004825D7"/>
    <w:rsid w:val="004857D4"/>
    <w:rsid w:val="00485876"/>
    <w:rsid w:val="00485C45"/>
    <w:rsid w:val="004870B1"/>
    <w:rsid w:val="00490092"/>
    <w:rsid w:val="004920DA"/>
    <w:rsid w:val="00492618"/>
    <w:rsid w:val="004929B4"/>
    <w:rsid w:val="004935C3"/>
    <w:rsid w:val="00493CDB"/>
    <w:rsid w:val="00494325"/>
    <w:rsid w:val="004948CD"/>
    <w:rsid w:val="00494D17"/>
    <w:rsid w:val="00495020"/>
    <w:rsid w:val="004952F1"/>
    <w:rsid w:val="004A0D0D"/>
    <w:rsid w:val="004A0FE6"/>
    <w:rsid w:val="004A10CE"/>
    <w:rsid w:val="004A299A"/>
    <w:rsid w:val="004A3467"/>
    <w:rsid w:val="004A3CD8"/>
    <w:rsid w:val="004A4BDB"/>
    <w:rsid w:val="004A6272"/>
    <w:rsid w:val="004A6ABA"/>
    <w:rsid w:val="004B0760"/>
    <w:rsid w:val="004B5945"/>
    <w:rsid w:val="004B7512"/>
    <w:rsid w:val="004C110D"/>
    <w:rsid w:val="004C2EA4"/>
    <w:rsid w:val="004C34BF"/>
    <w:rsid w:val="004C5261"/>
    <w:rsid w:val="004C5C9B"/>
    <w:rsid w:val="004C6694"/>
    <w:rsid w:val="004C7A1D"/>
    <w:rsid w:val="004D23FC"/>
    <w:rsid w:val="004D2EC0"/>
    <w:rsid w:val="004D4EAD"/>
    <w:rsid w:val="004D6AAF"/>
    <w:rsid w:val="004E0644"/>
    <w:rsid w:val="004E25E1"/>
    <w:rsid w:val="004E26F4"/>
    <w:rsid w:val="004E3127"/>
    <w:rsid w:val="004E3C20"/>
    <w:rsid w:val="004E51A9"/>
    <w:rsid w:val="004E5FD8"/>
    <w:rsid w:val="004F0297"/>
    <w:rsid w:val="004F1A59"/>
    <w:rsid w:val="004F32F6"/>
    <w:rsid w:val="004F4223"/>
    <w:rsid w:val="004F5B89"/>
    <w:rsid w:val="00500879"/>
    <w:rsid w:val="005024CB"/>
    <w:rsid w:val="00503FF8"/>
    <w:rsid w:val="00504805"/>
    <w:rsid w:val="005049E6"/>
    <w:rsid w:val="00504D85"/>
    <w:rsid w:val="00505568"/>
    <w:rsid w:val="00505B33"/>
    <w:rsid w:val="0050631C"/>
    <w:rsid w:val="00512C5B"/>
    <w:rsid w:val="00513EAE"/>
    <w:rsid w:val="00517F50"/>
    <w:rsid w:val="00521DDE"/>
    <w:rsid w:val="00522E9B"/>
    <w:rsid w:val="00526EDB"/>
    <w:rsid w:val="00531203"/>
    <w:rsid w:val="00532017"/>
    <w:rsid w:val="00533886"/>
    <w:rsid w:val="005358D0"/>
    <w:rsid w:val="00536D3F"/>
    <w:rsid w:val="005439CB"/>
    <w:rsid w:val="005448B3"/>
    <w:rsid w:val="00544E68"/>
    <w:rsid w:val="005452C9"/>
    <w:rsid w:val="00545336"/>
    <w:rsid w:val="0054720C"/>
    <w:rsid w:val="00552DD9"/>
    <w:rsid w:val="00552ECD"/>
    <w:rsid w:val="00553C83"/>
    <w:rsid w:val="00553FCC"/>
    <w:rsid w:val="00554C44"/>
    <w:rsid w:val="005576AB"/>
    <w:rsid w:val="00562D4C"/>
    <w:rsid w:val="005630A2"/>
    <w:rsid w:val="005639AD"/>
    <w:rsid w:val="0056611B"/>
    <w:rsid w:val="00572809"/>
    <w:rsid w:val="00575EC8"/>
    <w:rsid w:val="00575EEB"/>
    <w:rsid w:val="00583208"/>
    <w:rsid w:val="005839FA"/>
    <w:rsid w:val="00585023"/>
    <w:rsid w:val="005866EE"/>
    <w:rsid w:val="00587E2C"/>
    <w:rsid w:val="00587E2F"/>
    <w:rsid w:val="0059002A"/>
    <w:rsid w:val="00592425"/>
    <w:rsid w:val="005931F7"/>
    <w:rsid w:val="00593D7E"/>
    <w:rsid w:val="00594560"/>
    <w:rsid w:val="0059611E"/>
    <w:rsid w:val="00597B44"/>
    <w:rsid w:val="00597B9A"/>
    <w:rsid w:val="005A29A0"/>
    <w:rsid w:val="005A2C1B"/>
    <w:rsid w:val="005A3C49"/>
    <w:rsid w:val="005A77EA"/>
    <w:rsid w:val="005B0EAF"/>
    <w:rsid w:val="005B14CA"/>
    <w:rsid w:val="005B3CD4"/>
    <w:rsid w:val="005B3DF2"/>
    <w:rsid w:val="005B40A2"/>
    <w:rsid w:val="005B4140"/>
    <w:rsid w:val="005B5A1D"/>
    <w:rsid w:val="005B5A62"/>
    <w:rsid w:val="005B67ED"/>
    <w:rsid w:val="005C008D"/>
    <w:rsid w:val="005C0BFB"/>
    <w:rsid w:val="005C28EA"/>
    <w:rsid w:val="005C5336"/>
    <w:rsid w:val="005D08AD"/>
    <w:rsid w:val="005D09A0"/>
    <w:rsid w:val="005D1FA6"/>
    <w:rsid w:val="005D2129"/>
    <w:rsid w:val="005D7F2C"/>
    <w:rsid w:val="005E0C30"/>
    <w:rsid w:val="005E1D31"/>
    <w:rsid w:val="005E2307"/>
    <w:rsid w:val="005E2430"/>
    <w:rsid w:val="005E4B22"/>
    <w:rsid w:val="005E5FD4"/>
    <w:rsid w:val="005E6864"/>
    <w:rsid w:val="005F2044"/>
    <w:rsid w:val="005F2598"/>
    <w:rsid w:val="005F3FB3"/>
    <w:rsid w:val="005F3FE7"/>
    <w:rsid w:val="005F5F1A"/>
    <w:rsid w:val="005F6395"/>
    <w:rsid w:val="005F779F"/>
    <w:rsid w:val="005F789B"/>
    <w:rsid w:val="006004A8"/>
    <w:rsid w:val="00600D2A"/>
    <w:rsid w:val="00605E6D"/>
    <w:rsid w:val="0060603A"/>
    <w:rsid w:val="006104CE"/>
    <w:rsid w:val="00610E90"/>
    <w:rsid w:val="0061266A"/>
    <w:rsid w:val="00613134"/>
    <w:rsid w:val="0062084E"/>
    <w:rsid w:val="00624A01"/>
    <w:rsid w:val="006262CF"/>
    <w:rsid w:val="006304A1"/>
    <w:rsid w:val="00640933"/>
    <w:rsid w:val="00640ED1"/>
    <w:rsid w:val="00641631"/>
    <w:rsid w:val="0064167C"/>
    <w:rsid w:val="00641D6F"/>
    <w:rsid w:val="006420A3"/>
    <w:rsid w:val="00643831"/>
    <w:rsid w:val="006439C7"/>
    <w:rsid w:val="00644A8A"/>
    <w:rsid w:val="00646941"/>
    <w:rsid w:val="00653C2B"/>
    <w:rsid w:val="00653C9B"/>
    <w:rsid w:val="00653D71"/>
    <w:rsid w:val="00654F02"/>
    <w:rsid w:val="00657AE7"/>
    <w:rsid w:val="0066016E"/>
    <w:rsid w:val="006608C2"/>
    <w:rsid w:val="00661778"/>
    <w:rsid w:val="00661F8A"/>
    <w:rsid w:val="00661FF1"/>
    <w:rsid w:val="006645C7"/>
    <w:rsid w:val="00665FB8"/>
    <w:rsid w:val="0066640F"/>
    <w:rsid w:val="006715AA"/>
    <w:rsid w:val="00682D57"/>
    <w:rsid w:val="00683AC5"/>
    <w:rsid w:val="006856B4"/>
    <w:rsid w:val="00685A2A"/>
    <w:rsid w:val="00686866"/>
    <w:rsid w:val="00686C31"/>
    <w:rsid w:val="006878FA"/>
    <w:rsid w:val="00690F98"/>
    <w:rsid w:val="006914F2"/>
    <w:rsid w:val="00692B31"/>
    <w:rsid w:val="00697BE5"/>
    <w:rsid w:val="00697DC5"/>
    <w:rsid w:val="006A00CE"/>
    <w:rsid w:val="006A1651"/>
    <w:rsid w:val="006A20C3"/>
    <w:rsid w:val="006A2F9F"/>
    <w:rsid w:val="006A304A"/>
    <w:rsid w:val="006A7DF3"/>
    <w:rsid w:val="006B20BC"/>
    <w:rsid w:val="006B25FA"/>
    <w:rsid w:val="006B2F4F"/>
    <w:rsid w:val="006B4871"/>
    <w:rsid w:val="006B680E"/>
    <w:rsid w:val="006B6912"/>
    <w:rsid w:val="006C468F"/>
    <w:rsid w:val="006D0E35"/>
    <w:rsid w:val="006D1975"/>
    <w:rsid w:val="006D65CA"/>
    <w:rsid w:val="006E04A8"/>
    <w:rsid w:val="006E55F3"/>
    <w:rsid w:val="006F1D50"/>
    <w:rsid w:val="006F3144"/>
    <w:rsid w:val="006F324F"/>
    <w:rsid w:val="006F38A2"/>
    <w:rsid w:val="006F3DB4"/>
    <w:rsid w:val="006F5D87"/>
    <w:rsid w:val="006F7BFF"/>
    <w:rsid w:val="006F7C29"/>
    <w:rsid w:val="00701355"/>
    <w:rsid w:val="00702E13"/>
    <w:rsid w:val="00703F66"/>
    <w:rsid w:val="007078B1"/>
    <w:rsid w:val="007121E8"/>
    <w:rsid w:val="0071501C"/>
    <w:rsid w:val="007152B7"/>
    <w:rsid w:val="00716586"/>
    <w:rsid w:val="007173C7"/>
    <w:rsid w:val="00720159"/>
    <w:rsid w:val="007238A3"/>
    <w:rsid w:val="007256D6"/>
    <w:rsid w:val="00726E01"/>
    <w:rsid w:val="00731AF0"/>
    <w:rsid w:val="0073306A"/>
    <w:rsid w:val="00733F72"/>
    <w:rsid w:val="00734BF6"/>
    <w:rsid w:val="00735A19"/>
    <w:rsid w:val="00740FB5"/>
    <w:rsid w:val="00741913"/>
    <w:rsid w:val="00742FE9"/>
    <w:rsid w:val="0074476A"/>
    <w:rsid w:val="007453AC"/>
    <w:rsid w:val="0074636C"/>
    <w:rsid w:val="0074663B"/>
    <w:rsid w:val="00751580"/>
    <w:rsid w:val="00753E2C"/>
    <w:rsid w:val="007541FE"/>
    <w:rsid w:val="0075656E"/>
    <w:rsid w:val="0075761C"/>
    <w:rsid w:val="00760027"/>
    <w:rsid w:val="00760463"/>
    <w:rsid w:val="00761D7E"/>
    <w:rsid w:val="007622D5"/>
    <w:rsid w:val="00767FE4"/>
    <w:rsid w:val="0077056B"/>
    <w:rsid w:val="007751F8"/>
    <w:rsid w:val="00775859"/>
    <w:rsid w:val="00775E6F"/>
    <w:rsid w:val="00776DFF"/>
    <w:rsid w:val="00783133"/>
    <w:rsid w:val="0078480A"/>
    <w:rsid w:val="007865D6"/>
    <w:rsid w:val="00787693"/>
    <w:rsid w:val="007902B8"/>
    <w:rsid w:val="00791846"/>
    <w:rsid w:val="00792409"/>
    <w:rsid w:val="00797CB0"/>
    <w:rsid w:val="007A0A25"/>
    <w:rsid w:val="007A1E4D"/>
    <w:rsid w:val="007A3B66"/>
    <w:rsid w:val="007A3F13"/>
    <w:rsid w:val="007A663D"/>
    <w:rsid w:val="007B0619"/>
    <w:rsid w:val="007B1C5C"/>
    <w:rsid w:val="007B27BF"/>
    <w:rsid w:val="007B3223"/>
    <w:rsid w:val="007B3BE3"/>
    <w:rsid w:val="007B5559"/>
    <w:rsid w:val="007B6E5C"/>
    <w:rsid w:val="007C01AF"/>
    <w:rsid w:val="007C1144"/>
    <w:rsid w:val="007C1498"/>
    <w:rsid w:val="007C24EA"/>
    <w:rsid w:val="007C3442"/>
    <w:rsid w:val="007D0898"/>
    <w:rsid w:val="007D0A87"/>
    <w:rsid w:val="007D0DFB"/>
    <w:rsid w:val="007D16E9"/>
    <w:rsid w:val="007D2DFA"/>
    <w:rsid w:val="007D41A6"/>
    <w:rsid w:val="007D434C"/>
    <w:rsid w:val="007D4A5E"/>
    <w:rsid w:val="007D4B10"/>
    <w:rsid w:val="007E0857"/>
    <w:rsid w:val="007E3022"/>
    <w:rsid w:val="007E4C74"/>
    <w:rsid w:val="007E5954"/>
    <w:rsid w:val="007E5C9A"/>
    <w:rsid w:val="007F0775"/>
    <w:rsid w:val="007F0BDA"/>
    <w:rsid w:val="007F0C0C"/>
    <w:rsid w:val="007F2B82"/>
    <w:rsid w:val="007F5983"/>
    <w:rsid w:val="007F62B0"/>
    <w:rsid w:val="007F7EEB"/>
    <w:rsid w:val="0080092D"/>
    <w:rsid w:val="008009D6"/>
    <w:rsid w:val="0080291B"/>
    <w:rsid w:val="00802DA0"/>
    <w:rsid w:val="008037D6"/>
    <w:rsid w:val="00803DC5"/>
    <w:rsid w:val="00803EA8"/>
    <w:rsid w:val="008057CC"/>
    <w:rsid w:val="00805EB9"/>
    <w:rsid w:val="00806FB1"/>
    <w:rsid w:val="0080738B"/>
    <w:rsid w:val="00810DB7"/>
    <w:rsid w:val="00811048"/>
    <w:rsid w:val="008139F1"/>
    <w:rsid w:val="008147BA"/>
    <w:rsid w:val="008153D9"/>
    <w:rsid w:val="008154CB"/>
    <w:rsid w:val="0081721E"/>
    <w:rsid w:val="008264C2"/>
    <w:rsid w:val="008266EC"/>
    <w:rsid w:val="00831B9C"/>
    <w:rsid w:val="008339E1"/>
    <w:rsid w:val="00833BD6"/>
    <w:rsid w:val="00836D54"/>
    <w:rsid w:val="00837C8C"/>
    <w:rsid w:val="00837F78"/>
    <w:rsid w:val="0084209D"/>
    <w:rsid w:val="00842561"/>
    <w:rsid w:val="0084664B"/>
    <w:rsid w:val="00846880"/>
    <w:rsid w:val="00850B3B"/>
    <w:rsid w:val="008524EE"/>
    <w:rsid w:val="00853739"/>
    <w:rsid w:val="008547B8"/>
    <w:rsid w:val="00857053"/>
    <w:rsid w:val="008577A4"/>
    <w:rsid w:val="008606A4"/>
    <w:rsid w:val="00863CFB"/>
    <w:rsid w:val="00864FAE"/>
    <w:rsid w:val="008652E4"/>
    <w:rsid w:val="00865BB8"/>
    <w:rsid w:val="00865F16"/>
    <w:rsid w:val="00867A23"/>
    <w:rsid w:val="00867FB7"/>
    <w:rsid w:val="00875065"/>
    <w:rsid w:val="0087518C"/>
    <w:rsid w:val="00875BAB"/>
    <w:rsid w:val="00876762"/>
    <w:rsid w:val="0087730D"/>
    <w:rsid w:val="008775AD"/>
    <w:rsid w:val="00885179"/>
    <w:rsid w:val="008854A1"/>
    <w:rsid w:val="00886CCC"/>
    <w:rsid w:val="00887379"/>
    <w:rsid w:val="00887B36"/>
    <w:rsid w:val="008969E7"/>
    <w:rsid w:val="008A0E8D"/>
    <w:rsid w:val="008A0F3D"/>
    <w:rsid w:val="008A1F7B"/>
    <w:rsid w:val="008A2B7A"/>
    <w:rsid w:val="008A3BE7"/>
    <w:rsid w:val="008A421D"/>
    <w:rsid w:val="008B447B"/>
    <w:rsid w:val="008C0694"/>
    <w:rsid w:val="008C0A98"/>
    <w:rsid w:val="008C33D2"/>
    <w:rsid w:val="008C5196"/>
    <w:rsid w:val="008D1A3F"/>
    <w:rsid w:val="008D1B49"/>
    <w:rsid w:val="008D479E"/>
    <w:rsid w:val="008D4D22"/>
    <w:rsid w:val="008D54EC"/>
    <w:rsid w:val="008D5CAA"/>
    <w:rsid w:val="008D5CE1"/>
    <w:rsid w:val="008D74BF"/>
    <w:rsid w:val="008E1829"/>
    <w:rsid w:val="008E3F4E"/>
    <w:rsid w:val="008E480E"/>
    <w:rsid w:val="008E49D2"/>
    <w:rsid w:val="008E58AA"/>
    <w:rsid w:val="008F07F8"/>
    <w:rsid w:val="008F0F39"/>
    <w:rsid w:val="008F519F"/>
    <w:rsid w:val="008F6062"/>
    <w:rsid w:val="008F6211"/>
    <w:rsid w:val="008F7422"/>
    <w:rsid w:val="008F7DDC"/>
    <w:rsid w:val="00903E3F"/>
    <w:rsid w:val="00903FB6"/>
    <w:rsid w:val="00904AE0"/>
    <w:rsid w:val="009127E7"/>
    <w:rsid w:val="00912938"/>
    <w:rsid w:val="00916304"/>
    <w:rsid w:val="00916410"/>
    <w:rsid w:val="00920BDD"/>
    <w:rsid w:val="0092192B"/>
    <w:rsid w:val="009219A7"/>
    <w:rsid w:val="00922D3B"/>
    <w:rsid w:val="00922EF8"/>
    <w:rsid w:val="009235FD"/>
    <w:rsid w:val="00924005"/>
    <w:rsid w:val="009246F2"/>
    <w:rsid w:val="009269E8"/>
    <w:rsid w:val="00926C19"/>
    <w:rsid w:val="00932B68"/>
    <w:rsid w:val="00932DA8"/>
    <w:rsid w:val="00934954"/>
    <w:rsid w:val="009359B8"/>
    <w:rsid w:val="00936423"/>
    <w:rsid w:val="00937EA3"/>
    <w:rsid w:val="00940059"/>
    <w:rsid w:val="00940856"/>
    <w:rsid w:val="009409BC"/>
    <w:rsid w:val="00942036"/>
    <w:rsid w:val="0094325A"/>
    <w:rsid w:val="00943B24"/>
    <w:rsid w:val="00943E23"/>
    <w:rsid w:val="00944E37"/>
    <w:rsid w:val="00945865"/>
    <w:rsid w:val="00946911"/>
    <w:rsid w:val="00947ABD"/>
    <w:rsid w:val="00947C2F"/>
    <w:rsid w:val="00947D78"/>
    <w:rsid w:val="0095034D"/>
    <w:rsid w:val="009503A0"/>
    <w:rsid w:val="00950A3B"/>
    <w:rsid w:val="009534C9"/>
    <w:rsid w:val="00955687"/>
    <w:rsid w:val="00957F36"/>
    <w:rsid w:val="009616CD"/>
    <w:rsid w:val="0096291B"/>
    <w:rsid w:val="00965670"/>
    <w:rsid w:val="00965F32"/>
    <w:rsid w:val="00966381"/>
    <w:rsid w:val="00970B1A"/>
    <w:rsid w:val="00971C5C"/>
    <w:rsid w:val="00973331"/>
    <w:rsid w:val="009771D9"/>
    <w:rsid w:val="009774E9"/>
    <w:rsid w:val="009777E1"/>
    <w:rsid w:val="00977875"/>
    <w:rsid w:val="0098097F"/>
    <w:rsid w:val="00983A94"/>
    <w:rsid w:val="00984ABD"/>
    <w:rsid w:val="009859FA"/>
    <w:rsid w:val="00985DD4"/>
    <w:rsid w:val="0099769C"/>
    <w:rsid w:val="009A0191"/>
    <w:rsid w:val="009A029C"/>
    <w:rsid w:val="009A0C4A"/>
    <w:rsid w:val="009A190E"/>
    <w:rsid w:val="009A23F0"/>
    <w:rsid w:val="009A35C5"/>
    <w:rsid w:val="009B101E"/>
    <w:rsid w:val="009B53EF"/>
    <w:rsid w:val="009B7FA1"/>
    <w:rsid w:val="009C4A31"/>
    <w:rsid w:val="009C506B"/>
    <w:rsid w:val="009C5FEF"/>
    <w:rsid w:val="009D4240"/>
    <w:rsid w:val="009D4B1E"/>
    <w:rsid w:val="009D4F49"/>
    <w:rsid w:val="009E1001"/>
    <w:rsid w:val="009E13D9"/>
    <w:rsid w:val="009E1E98"/>
    <w:rsid w:val="009E7FC5"/>
    <w:rsid w:val="009F1614"/>
    <w:rsid w:val="009F166F"/>
    <w:rsid w:val="009F17A3"/>
    <w:rsid w:val="009F2DB2"/>
    <w:rsid w:val="009F387F"/>
    <w:rsid w:val="009F45E8"/>
    <w:rsid w:val="009F5D1F"/>
    <w:rsid w:val="009F7225"/>
    <w:rsid w:val="009F748C"/>
    <w:rsid w:val="009F756A"/>
    <w:rsid w:val="00A00617"/>
    <w:rsid w:val="00A00BB4"/>
    <w:rsid w:val="00A01521"/>
    <w:rsid w:val="00A05573"/>
    <w:rsid w:val="00A0671D"/>
    <w:rsid w:val="00A117D4"/>
    <w:rsid w:val="00A12B63"/>
    <w:rsid w:val="00A149B3"/>
    <w:rsid w:val="00A156B1"/>
    <w:rsid w:val="00A177E6"/>
    <w:rsid w:val="00A2128F"/>
    <w:rsid w:val="00A21BA3"/>
    <w:rsid w:val="00A21DE3"/>
    <w:rsid w:val="00A21E98"/>
    <w:rsid w:val="00A22AAE"/>
    <w:rsid w:val="00A24118"/>
    <w:rsid w:val="00A266B2"/>
    <w:rsid w:val="00A32599"/>
    <w:rsid w:val="00A32EBE"/>
    <w:rsid w:val="00A33299"/>
    <w:rsid w:val="00A35700"/>
    <w:rsid w:val="00A37874"/>
    <w:rsid w:val="00A37921"/>
    <w:rsid w:val="00A37B4D"/>
    <w:rsid w:val="00A4003E"/>
    <w:rsid w:val="00A41D7D"/>
    <w:rsid w:val="00A422B5"/>
    <w:rsid w:val="00A4251E"/>
    <w:rsid w:val="00A466DB"/>
    <w:rsid w:val="00A52FD0"/>
    <w:rsid w:val="00A54DC1"/>
    <w:rsid w:val="00A57013"/>
    <w:rsid w:val="00A60794"/>
    <w:rsid w:val="00A618CD"/>
    <w:rsid w:val="00A63496"/>
    <w:rsid w:val="00A64F08"/>
    <w:rsid w:val="00A706AD"/>
    <w:rsid w:val="00A70A78"/>
    <w:rsid w:val="00A70E74"/>
    <w:rsid w:val="00A7141C"/>
    <w:rsid w:val="00A71544"/>
    <w:rsid w:val="00A71AB5"/>
    <w:rsid w:val="00A7215C"/>
    <w:rsid w:val="00A72337"/>
    <w:rsid w:val="00A76C01"/>
    <w:rsid w:val="00A77170"/>
    <w:rsid w:val="00A81AF8"/>
    <w:rsid w:val="00A821A2"/>
    <w:rsid w:val="00A82A4D"/>
    <w:rsid w:val="00A84A18"/>
    <w:rsid w:val="00A86739"/>
    <w:rsid w:val="00A91DE3"/>
    <w:rsid w:val="00AA0462"/>
    <w:rsid w:val="00AA09C1"/>
    <w:rsid w:val="00AA262A"/>
    <w:rsid w:val="00AA32ED"/>
    <w:rsid w:val="00AA4D18"/>
    <w:rsid w:val="00AA56C8"/>
    <w:rsid w:val="00AA5984"/>
    <w:rsid w:val="00AB09B7"/>
    <w:rsid w:val="00AB1F45"/>
    <w:rsid w:val="00AB2B1C"/>
    <w:rsid w:val="00AB2B5F"/>
    <w:rsid w:val="00AB2C97"/>
    <w:rsid w:val="00AB3136"/>
    <w:rsid w:val="00AB501C"/>
    <w:rsid w:val="00AB50A7"/>
    <w:rsid w:val="00AB519E"/>
    <w:rsid w:val="00AC15FA"/>
    <w:rsid w:val="00AC1728"/>
    <w:rsid w:val="00AC2762"/>
    <w:rsid w:val="00AC4A16"/>
    <w:rsid w:val="00AC773F"/>
    <w:rsid w:val="00AC78CB"/>
    <w:rsid w:val="00AC794B"/>
    <w:rsid w:val="00AD06C3"/>
    <w:rsid w:val="00AD26AC"/>
    <w:rsid w:val="00AD4FD3"/>
    <w:rsid w:val="00AD5D17"/>
    <w:rsid w:val="00AD5FF0"/>
    <w:rsid w:val="00AD6358"/>
    <w:rsid w:val="00AD6C0E"/>
    <w:rsid w:val="00AD6D80"/>
    <w:rsid w:val="00AE07D0"/>
    <w:rsid w:val="00AE350D"/>
    <w:rsid w:val="00AE4F09"/>
    <w:rsid w:val="00AE757F"/>
    <w:rsid w:val="00AF051F"/>
    <w:rsid w:val="00AF23A9"/>
    <w:rsid w:val="00AF25E1"/>
    <w:rsid w:val="00AF2690"/>
    <w:rsid w:val="00AF40E8"/>
    <w:rsid w:val="00AF4B64"/>
    <w:rsid w:val="00AF5889"/>
    <w:rsid w:val="00AF6DAE"/>
    <w:rsid w:val="00B036A4"/>
    <w:rsid w:val="00B0591C"/>
    <w:rsid w:val="00B06BFB"/>
    <w:rsid w:val="00B1068E"/>
    <w:rsid w:val="00B11083"/>
    <w:rsid w:val="00B11BCA"/>
    <w:rsid w:val="00B16B2D"/>
    <w:rsid w:val="00B16D23"/>
    <w:rsid w:val="00B17AC5"/>
    <w:rsid w:val="00B20B14"/>
    <w:rsid w:val="00B30FF5"/>
    <w:rsid w:val="00B31928"/>
    <w:rsid w:val="00B334F2"/>
    <w:rsid w:val="00B363AB"/>
    <w:rsid w:val="00B40E28"/>
    <w:rsid w:val="00B4432E"/>
    <w:rsid w:val="00B44DA2"/>
    <w:rsid w:val="00B45111"/>
    <w:rsid w:val="00B46237"/>
    <w:rsid w:val="00B46E1C"/>
    <w:rsid w:val="00B47D43"/>
    <w:rsid w:val="00B47F68"/>
    <w:rsid w:val="00B5079E"/>
    <w:rsid w:val="00B54AAD"/>
    <w:rsid w:val="00B63D2E"/>
    <w:rsid w:val="00B63E5A"/>
    <w:rsid w:val="00B65482"/>
    <w:rsid w:val="00B65657"/>
    <w:rsid w:val="00B656A8"/>
    <w:rsid w:val="00B658E1"/>
    <w:rsid w:val="00B662E4"/>
    <w:rsid w:val="00B66F34"/>
    <w:rsid w:val="00B67289"/>
    <w:rsid w:val="00B70287"/>
    <w:rsid w:val="00B703C6"/>
    <w:rsid w:val="00B70A2D"/>
    <w:rsid w:val="00B73327"/>
    <w:rsid w:val="00B7407A"/>
    <w:rsid w:val="00B75EAB"/>
    <w:rsid w:val="00B77162"/>
    <w:rsid w:val="00B80505"/>
    <w:rsid w:val="00B824C0"/>
    <w:rsid w:val="00B840B5"/>
    <w:rsid w:val="00B84773"/>
    <w:rsid w:val="00B87CBC"/>
    <w:rsid w:val="00B94254"/>
    <w:rsid w:val="00B95043"/>
    <w:rsid w:val="00B95958"/>
    <w:rsid w:val="00B95C70"/>
    <w:rsid w:val="00B9676E"/>
    <w:rsid w:val="00B97C6D"/>
    <w:rsid w:val="00BA1006"/>
    <w:rsid w:val="00BA136A"/>
    <w:rsid w:val="00BA17B4"/>
    <w:rsid w:val="00BA3A34"/>
    <w:rsid w:val="00BA6B4A"/>
    <w:rsid w:val="00BB3418"/>
    <w:rsid w:val="00BC0373"/>
    <w:rsid w:val="00BC0403"/>
    <w:rsid w:val="00BC0896"/>
    <w:rsid w:val="00BC201C"/>
    <w:rsid w:val="00BC2437"/>
    <w:rsid w:val="00BC255D"/>
    <w:rsid w:val="00BC3E8B"/>
    <w:rsid w:val="00BC3FA9"/>
    <w:rsid w:val="00BC45CD"/>
    <w:rsid w:val="00BC595D"/>
    <w:rsid w:val="00BD1ECF"/>
    <w:rsid w:val="00BD5E8D"/>
    <w:rsid w:val="00BD6C35"/>
    <w:rsid w:val="00BD7AED"/>
    <w:rsid w:val="00BE053F"/>
    <w:rsid w:val="00BE080B"/>
    <w:rsid w:val="00BE1CE2"/>
    <w:rsid w:val="00BE301A"/>
    <w:rsid w:val="00BE44CB"/>
    <w:rsid w:val="00BE4FAA"/>
    <w:rsid w:val="00BF485C"/>
    <w:rsid w:val="00BF565D"/>
    <w:rsid w:val="00BF5803"/>
    <w:rsid w:val="00C01992"/>
    <w:rsid w:val="00C0313A"/>
    <w:rsid w:val="00C034DB"/>
    <w:rsid w:val="00C043B6"/>
    <w:rsid w:val="00C0504F"/>
    <w:rsid w:val="00C07B2F"/>
    <w:rsid w:val="00C10951"/>
    <w:rsid w:val="00C11959"/>
    <w:rsid w:val="00C12A3E"/>
    <w:rsid w:val="00C13604"/>
    <w:rsid w:val="00C148F1"/>
    <w:rsid w:val="00C172E2"/>
    <w:rsid w:val="00C212DA"/>
    <w:rsid w:val="00C22515"/>
    <w:rsid w:val="00C23251"/>
    <w:rsid w:val="00C26849"/>
    <w:rsid w:val="00C26DB9"/>
    <w:rsid w:val="00C278C0"/>
    <w:rsid w:val="00C31197"/>
    <w:rsid w:val="00C3269B"/>
    <w:rsid w:val="00C3318A"/>
    <w:rsid w:val="00C361E5"/>
    <w:rsid w:val="00C363C0"/>
    <w:rsid w:val="00C462AE"/>
    <w:rsid w:val="00C46CAA"/>
    <w:rsid w:val="00C53DA9"/>
    <w:rsid w:val="00C551C7"/>
    <w:rsid w:val="00C5697F"/>
    <w:rsid w:val="00C60BC5"/>
    <w:rsid w:val="00C6177E"/>
    <w:rsid w:val="00C618C9"/>
    <w:rsid w:val="00C668D8"/>
    <w:rsid w:val="00C7170A"/>
    <w:rsid w:val="00C717CE"/>
    <w:rsid w:val="00C7366C"/>
    <w:rsid w:val="00C739D8"/>
    <w:rsid w:val="00C74171"/>
    <w:rsid w:val="00C76493"/>
    <w:rsid w:val="00C8068E"/>
    <w:rsid w:val="00C8094C"/>
    <w:rsid w:val="00C80E39"/>
    <w:rsid w:val="00C80F66"/>
    <w:rsid w:val="00C824A1"/>
    <w:rsid w:val="00C82849"/>
    <w:rsid w:val="00C84AFA"/>
    <w:rsid w:val="00C8592E"/>
    <w:rsid w:val="00C8793C"/>
    <w:rsid w:val="00C90D7C"/>
    <w:rsid w:val="00C913F4"/>
    <w:rsid w:val="00C9290A"/>
    <w:rsid w:val="00C93E96"/>
    <w:rsid w:val="00C94981"/>
    <w:rsid w:val="00C94C5E"/>
    <w:rsid w:val="00C95BD9"/>
    <w:rsid w:val="00C97AA8"/>
    <w:rsid w:val="00C97E87"/>
    <w:rsid w:val="00CA74FF"/>
    <w:rsid w:val="00CA7661"/>
    <w:rsid w:val="00CB2590"/>
    <w:rsid w:val="00CB7A95"/>
    <w:rsid w:val="00CC1534"/>
    <w:rsid w:val="00CC5B1A"/>
    <w:rsid w:val="00CC5C28"/>
    <w:rsid w:val="00CD1DBB"/>
    <w:rsid w:val="00CD43C0"/>
    <w:rsid w:val="00CD484D"/>
    <w:rsid w:val="00CD543A"/>
    <w:rsid w:val="00CD6021"/>
    <w:rsid w:val="00CD703A"/>
    <w:rsid w:val="00CD7517"/>
    <w:rsid w:val="00CE148E"/>
    <w:rsid w:val="00CE2880"/>
    <w:rsid w:val="00CE2E06"/>
    <w:rsid w:val="00CE3CC8"/>
    <w:rsid w:val="00CE4CFF"/>
    <w:rsid w:val="00CE4ECF"/>
    <w:rsid w:val="00CF150D"/>
    <w:rsid w:val="00CF3916"/>
    <w:rsid w:val="00CF40A6"/>
    <w:rsid w:val="00CF5E15"/>
    <w:rsid w:val="00D00843"/>
    <w:rsid w:val="00D039CA"/>
    <w:rsid w:val="00D04163"/>
    <w:rsid w:val="00D057B2"/>
    <w:rsid w:val="00D05C80"/>
    <w:rsid w:val="00D07EBA"/>
    <w:rsid w:val="00D11BCB"/>
    <w:rsid w:val="00D12A62"/>
    <w:rsid w:val="00D150F3"/>
    <w:rsid w:val="00D15255"/>
    <w:rsid w:val="00D15B9C"/>
    <w:rsid w:val="00D20BDC"/>
    <w:rsid w:val="00D22A60"/>
    <w:rsid w:val="00D22F41"/>
    <w:rsid w:val="00D2480F"/>
    <w:rsid w:val="00D25A91"/>
    <w:rsid w:val="00D274A1"/>
    <w:rsid w:val="00D27C71"/>
    <w:rsid w:val="00D302A6"/>
    <w:rsid w:val="00D35A04"/>
    <w:rsid w:val="00D35D4A"/>
    <w:rsid w:val="00D371A3"/>
    <w:rsid w:val="00D374EA"/>
    <w:rsid w:val="00D401DD"/>
    <w:rsid w:val="00D415C5"/>
    <w:rsid w:val="00D41E3B"/>
    <w:rsid w:val="00D41F35"/>
    <w:rsid w:val="00D427D7"/>
    <w:rsid w:val="00D42C6E"/>
    <w:rsid w:val="00D43B79"/>
    <w:rsid w:val="00D45DC4"/>
    <w:rsid w:val="00D4736D"/>
    <w:rsid w:val="00D47420"/>
    <w:rsid w:val="00D50079"/>
    <w:rsid w:val="00D51744"/>
    <w:rsid w:val="00D541D2"/>
    <w:rsid w:val="00D54AE6"/>
    <w:rsid w:val="00D552F5"/>
    <w:rsid w:val="00D569A8"/>
    <w:rsid w:val="00D572BF"/>
    <w:rsid w:val="00D5764B"/>
    <w:rsid w:val="00D601E9"/>
    <w:rsid w:val="00D6109F"/>
    <w:rsid w:val="00D61505"/>
    <w:rsid w:val="00D628B3"/>
    <w:rsid w:val="00D62A70"/>
    <w:rsid w:val="00D62AA1"/>
    <w:rsid w:val="00D63ED0"/>
    <w:rsid w:val="00D648BF"/>
    <w:rsid w:val="00D65482"/>
    <w:rsid w:val="00D67C59"/>
    <w:rsid w:val="00D67CBC"/>
    <w:rsid w:val="00D70BE0"/>
    <w:rsid w:val="00D72BF0"/>
    <w:rsid w:val="00D800B6"/>
    <w:rsid w:val="00D80C5D"/>
    <w:rsid w:val="00D81BCB"/>
    <w:rsid w:val="00D82EC7"/>
    <w:rsid w:val="00D83B7E"/>
    <w:rsid w:val="00D85633"/>
    <w:rsid w:val="00D907E2"/>
    <w:rsid w:val="00D90E02"/>
    <w:rsid w:val="00D90F6E"/>
    <w:rsid w:val="00D9116D"/>
    <w:rsid w:val="00D92C7C"/>
    <w:rsid w:val="00D92EC1"/>
    <w:rsid w:val="00D935AF"/>
    <w:rsid w:val="00D93F64"/>
    <w:rsid w:val="00D9477D"/>
    <w:rsid w:val="00D94C70"/>
    <w:rsid w:val="00D968C5"/>
    <w:rsid w:val="00DA029C"/>
    <w:rsid w:val="00DA051E"/>
    <w:rsid w:val="00DA2440"/>
    <w:rsid w:val="00DA4226"/>
    <w:rsid w:val="00DA4372"/>
    <w:rsid w:val="00DB1250"/>
    <w:rsid w:val="00DB1A41"/>
    <w:rsid w:val="00DB1BB1"/>
    <w:rsid w:val="00DB2A59"/>
    <w:rsid w:val="00DC06F4"/>
    <w:rsid w:val="00DC17BC"/>
    <w:rsid w:val="00DC194C"/>
    <w:rsid w:val="00DC24CF"/>
    <w:rsid w:val="00DC6CB0"/>
    <w:rsid w:val="00DC6EAA"/>
    <w:rsid w:val="00DD0899"/>
    <w:rsid w:val="00DD0AB1"/>
    <w:rsid w:val="00DD1720"/>
    <w:rsid w:val="00DD4B47"/>
    <w:rsid w:val="00DD59A8"/>
    <w:rsid w:val="00DD6232"/>
    <w:rsid w:val="00DD66A8"/>
    <w:rsid w:val="00DE0EE1"/>
    <w:rsid w:val="00DE15DD"/>
    <w:rsid w:val="00DE308E"/>
    <w:rsid w:val="00DE41C3"/>
    <w:rsid w:val="00DE5802"/>
    <w:rsid w:val="00DE62C6"/>
    <w:rsid w:val="00DF35DA"/>
    <w:rsid w:val="00DF3AA9"/>
    <w:rsid w:val="00DF51F3"/>
    <w:rsid w:val="00DF5FD3"/>
    <w:rsid w:val="00DF6D23"/>
    <w:rsid w:val="00DF6E5B"/>
    <w:rsid w:val="00DF6F61"/>
    <w:rsid w:val="00E016E0"/>
    <w:rsid w:val="00E01B2F"/>
    <w:rsid w:val="00E043F3"/>
    <w:rsid w:val="00E05466"/>
    <w:rsid w:val="00E11ABD"/>
    <w:rsid w:val="00E12043"/>
    <w:rsid w:val="00E13DE0"/>
    <w:rsid w:val="00E14557"/>
    <w:rsid w:val="00E14FBF"/>
    <w:rsid w:val="00E16348"/>
    <w:rsid w:val="00E167C5"/>
    <w:rsid w:val="00E17282"/>
    <w:rsid w:val="00E20247"/>
    <w:rsid w:val="00E20FF6"/>
    <w:rsid w:val="00E21611"/>
    <w:rsid w:val="00E24BA0"/>
    <w:rsid w:val="00E2654F"/>
    <w:rsid w:val="00E26E3C"/>
    <w:rsid w:val="00E30962"/>
    <w:rsid w:val="00E369C7"/>
    <w:rsid w:val="00E37F36"/>
    <w:rsid w:val="00E400A4"/>
    <w:rsid w:val="00E41F62"/>
    <w:rsid w:val="00E4245C"/>
    <w:rsid w:val="00E429D5"/>
    <w:rsid w:val="00E52EB1"/>
    <w:rsid w:val="00E53068"/>
    <w:rsid w:val="00E55EA7"/>
    <w:rsid w:val="00E60DA4"/>
    <w:rsid w:val="00E6159B"/>
    <w:rsid w:val="00E638D3"/>
    <w:rsid w:val="00E643EA"/>
    <w:rsid w:val="00E64BF4"/>
    <w:rsid w:val="00E66D19"/>
    <w:rsid w:val="00E679D5"/>
    <w:rsid w:val="00E67E00"/>
    <w:rsid w:val="00E724E1"/>
    <w:rsid w:val="00E741A5"/>
    <w:rsid w:val="00E76123"/>
    <w:rsid w:val="00E767AD"/>
    <w:rsid w:val="00E77287"/>
    <w:rsid w:val="00E77B4B"/>
    <w:rsid w:val="00E80789"/>
    <w:rsid w:val="00E82C41"/>
    <w:rsid w:val="00E85012"/>
    <w:rsid w:val="00E87793"/>
    <w:rsid w:val="00E9053C"/>
    <w:rsid w:val="00E921DB"/>
    <w:rsid w:val="00E92CE5"/>
    <w:rsid w:val="00E93175"/>
    <w:rsid w:val="00E93551"/>
    <w:rsid w:val="00E9365B"/>
    <w:rsid w:val="00E9539C"/>
    <w:rsid w:val="00E96FEA"/>
    <w:rsid w:val="00EA056E"/>
    <w:rsid w:val="00EA05F5"/>
    <w:rsid w:val="00EA1387"/>
    <w:rsid w:val="00EA4BFD"/>
    <w:rsid w:val="00EA4C7C"/>
    <w:rsid w:val="00EB0489"/>
    <w:rsid w:val="00EB2C66"/>
    <w:rsid w:val="00EB41E9"/>
    <w:rsid w:val="00EB57D6"/>
    <w:rsid w:val="00EB596D"/>
    <w:rsid w:val="00EB6E9B"/>
    <w:rsid w:val="00EB7F14"/>
    <w:rsid w:val="00EC02EE"/>
    <w:rsid w:val="00EC1C85"/>
    <w:rsid w:val="00EC33C5"/>
    <w:rsid w:val="00ED0837"/>
    <w:rsid w:val="00ED20DC"/>
    <w:rsid w:val="00ED2B7D"/>
    <w:rsid w:val="00ED3D3C"/>
    <w:rsid w:val="00EE07D4"/>
    <w:rsid w:val="00EE1213"/>
    <w:rsid w:val="00EE39A8"/>
    <w:rsid w:val="00EE6EC4"/>
    <w:rsid w:val="00EE7DA1"/>
    <w:rsid w:val="00EF0BB4"/>
    <w:rsid w:val="00EF3585"/>
    <w:rsid w:val="00EF3B50"/>
    <w:rsid w:val="00EF4C1B"/>
    <w:rsid w:val="00EF73D3"/>
    <w:rsid w:val="00EF770C"/>
    <w:rsid w:val="00F00DD9"/>
    <w:rsid w:val="00F02133"/>
    <w:rsid w:val="00F029BE"/>
    <w:rsid w:val="00F0689A"/>
    <w:rsid w:val="00F13EBD"/>
    <w:rsid w:val="00F15A61"/>
    <w:rsid w:val="00F17A12"/>
    <w:rsid w:val="00F20573"/>
    <w:rsid w:val="00F23621"/>
    <w:rsid w:val="00F32EB7"/>
    <w:rsid w:val="00F3339D"/>
    <w:rsid w:val="00F36C61"/>
    <w:rsid w:val="00F37B96"/>
    <w:rsid w:val="00F42563"/>
    <w:rsid w:val="00F42816"/>
    <w:rsid w:val="00F46620"/>
    <w:rsid w:val="00F52632"/>
    <w:rsid w:val="00F54C3A"/>
    <w:rsid w:val="00F56081"/>
    <w:rsid w:val="00F57312"/>
    <w:rsid w:val="00F60835"/>
    <w:rsid w:val="00F63C99"/>
    <w:rsid w:val="00F67D26"/>
    <w:rsid w:val="00F67DBD"/>
    <w:rsid w:val="00F67E55"/>
    <w:rsid w:val="00F70A94"/>
    <w:rsid w:val="00F72A98"/>
    <w:rsid w:val="00F7316F"/>
    <w:rsid w:val="00F74CC3"/>
    <w:rsid w:val="00F7739D"/>
    <w:rsid w:val="00F77A9E"/>
    <w:rsid w:val="00F77D05"/>
    <w:rsid w:val="00F822FE"/>
    <w:rsid w:val="00F82467"/>
    <w:rsid w:val="00F84131"/>
    <w:rsid w:val="00F859AB"/>
    <w:rsid w:val="00F86097"/>
    <w:rsid w:val="00F87AC3"/>
    <w:rsid w:val="00F90643"/>
    <w:rsid w:val="00F9113D"/>
    <w:rsid w:val="00F9139D"/>
    <w:rsid w:val="00F9279A"/>
    <w:rsid w:val="00F950EE"/>
    <w:rsid w:val="00F96558"/>
    <w:rsid w:val="00FA0ECD"/>
    <w:rsid w:val="00FA154E"/>
    <w:rsid w:val="00FA64D0"/>
    <w:rsid w:val="00FA69DC"/>
    <w:rsid w:val="00FB10E9"/>
    <w:rsid w:val="00FB19EC"/>
    <w:rsid w:val="00FB3731"/>
    <w:rsid w:val="00FB3851"/>
    <w:rsid w:val="00FB48BB"/>
    <w:rsid w:val="00FB4A9E"/>
    <w:rsid w:val="00FB7345"/>
    <w:rsid w:val="00FC06A8"/>
    <w:rsid w:val="00FC08A6"/>
    <w:rsid w:val="00FC1F13"/>
    <w:rsid w:val="00FC24DE"/>
    <w:rsid w:val="00FC2843"/>
    <w:rsid w:val="00FC3B9F"/>
    <w:rsid w:val="00FC650D"/>
    <w:rsid w:val="00FC6AC2"/>
    <w:rsid w:val="00FD00B9"/>
    <w:rsid w:val="00FD45F7"/>
    <w:rsid w:val="00FD488C"/>
    <w:rsid w:val="00FD7DA7"/>
    <w:rsid w:val="00FD7FBB"/>
    <w:rsid w:val="00FE0B91"/>
    <w:rsid w:val="00FE10DB"/>
    <w:rsid w:val="00FE2052"/>
    <w:rsid w:val="00FE24BC"/>
    <w:rsid w:val="00FE2E37"/>
    <w:rsid w:val="00FE2F8A"/>
    <w:rsid w:val="00FE3B87"/>
    <w:rsid w:val="00FE512C"/>
    <w:rsid w:val="00FE6638"/>
    <w:rsid w:val="00FF1186"/>
    <w:rsid w:val="00FF1FA4"/>
    <w:rsid w:val="00FF2BED"/>
    <w:rsid w:val="00FF62D0"/>
    <w:rsid w:val="00FF6D24"/>
    <w:rsid w:val="00FF6E93"/>
    <w:rsid w:val="00FF7F85"/>
    <w:rsid w:val="0188095A"/>
    <w:rsid w:val="02F115D0"/>
    <w:rsid w:val="035A307B"/>
    <w:rsid w:val="03A3474F"/>
    <w:rsid w:val="054F2DC9"/>
    <w:rsid w:val="083E7269"/>
    <w:rsid w:val="08A609CD"/>
    <w:rsid w:val="08B12003"/>
    <w:rsid w:val="09304AAA"/>
    <w:rsid w:val="099730C7"/>
    <w:rsid w:val="0AAC0D90"/>
    <w:rsid w:val="0D300BDE"/>
    <w:rsid w:val="0D4728C2"/>
    <w:rsid w:val="0D623A60"/>
    <w:rsid w:val="0EEC519B"/>
    <w:rsid w:val="0F783CD5"/>
    <w:rsid w:val="0F955B67"/>
    <w:rsid w:val="112564D4"/>
    <w:rsid w:val="11AD2259"/>
    <w:rsid w:val="125478FB"/>
    <w:rsid w:val="13CC6931"/>
    <w:rsid w:val="14534E2E"/>
    <w:rsid w:val="145E7BE8"/>
    <w:rsid w:val="147638BD"/>
    <w:rsid w:val="14BB1356"/>
    <w:rsid w:val="15C067CE"/>
    <w:rsid w:val="15CA3F93"/>
    <w:rsid w:val="168B3F87"/>
    <w:rsid w:val="17D168E0"/>
    <w:rsid w:val="17E17399"/>
    <w:rsid w:val="18DF2FD9"/>
    <w:rsid w:val="18FD1248"/>
    <w:rsid w:val="191A70DD"/>
    <w:rsid w:val="193E3F6D"/>
    <w:rsid w:val="1BAD09B9"/>
    <w:rsid w:val="1C4D675A"/>
    <w:rsid w:val="1C7C175A"/>
    <w:rsid w:val="1CB032DE"/>
    <w:rsid w:val="1D207D1B"/>
    <w:rsid w:val="1D9E011C"/>
    <w:rsid w:val="1E457B18"/>
    <w:rsid w:val="1F033D60"/>
    <w:rsid w:val="20327F4B"/>
    <w:rsid w:val="211650D9"/>
    <w:rsid w:val="226E14E9"/>
    <w:rsid w:val="22AC795B"/>
    <w:rsid w:val="22C64C01"/>
    <w:rsid w:val="22DA4C2D"/>
    <w:rsid w:val="2378328E"/>
    <w:rsid w:val="23DC1C69"/>
    <w:rsid w:val="24353D2E"/>
    <w:rsid w:val="247752D0"/>
    <w:rsid w:val="26477185"/>
    <w:rsid w:val="26F32E36"/>
    <w:rsid w:val="26FB2427"/>
    <w:rsid w:val="273A366C"/>
    <w:rsid w:val="27C3221E"/>
    <w:rsid w:val="27CA5860"/>
    <w:rsid w:val="282B4094"/>
    <w:rsid w:val="285F791F"/>
    <w:rsid w:val="28B4691C"/>
    <w:rsid w:val="28DE0127"/>
    <w:rsid w:val="28DE3DBC"/>
    <w:rsid w:val="29B0575C"/>
    <w:rsid w:val="29FC7BB6"/>
    <w:rsid w:val="2A0973DC"/>
    <w:rsid w:val="2A261F8A"/>
    <w:rsid w:val="2B36232A"/>
    <w:rsid w:val="2B7B397C"/>
    <w:rsid w:val="2CFB0D33"/>
    <w:rsid w:val="2D7C54BA"/>
    <w:rsid w:val="2E6E1A03"/>
    <w:rsid w:val="2F7A0610"/>
    <w:rsid w:val="2FA138E4"/>
    <w:rsid w:val="30135356"/>
    <w:rsid w:val="305F38FB"/>
    <w:rsid w:val="306F62AC"/>
    <w:rsid w:val="328B6787"/>
    <w:rsid w:val="33545EF8"/>
    <w:rsid w:val="3458468F"/>
    <w:rsid w:val="34A23EC5"/>
    <w:rsid w:val="34BB2FCD"/>
    <w:rsid w:val="358F4407"/>
    <w:rsid w:val="35A17F3B"/>
    <w:rsid w:val="35C45EA1"/>
    <w:rsid w:val="361B6B79"/>
    <w:rsid w:val="3684161D"/>
    <w:rsid w:val="36E825A7"/>
    <w:rsid w:val="37A76159"/>
    <w:rsid w:val="37E42AF7"/>
    <w:rsid w:val="37FC0FCE"/>
    <w:rsid w:val="383B4659"/>
    <w:rsid w:val="387A4A0A"/>
    <w:rsid w:val="393C0938"/>
    <w:rsid w:val="3971248D"/>
    <w:rsid w:val="39EC423E"/>
    <w:rsid w:val="3A3629A5"/>
    <w:rsid w:val="3D4B063A"/>
    <w:rsid w:val="3DD50C04"/>
    <w:rsid w:val="3ED710A6"/>
    <w:rsid w:val="3F251745"/>
    <w:rsid w:val="40352698"/>
    <w:rsid w:val="41E323E3"/>
    <w:rsid w:val="41FB2D4E"/>
    <w:rsid w:val="420F7CAB"/>
    <w:rsid w:val="424B52D4"/>
    <w:rsid w:val="42A744C0"/>
    <w:rsid w:val="432F2E97"/>
    <w:rsid w:val="43B95288"/>
    <w:rsid w:val="44360F3E"/>
    <w:rsid w:val="463E7540"/>
    <w:rsid w:val="46EE116C"/>
    <w:rsid w:val="473E76ED"/>
    <w:rsid w:val="47B2220B"/>
    <w:rsid w:val="493807D9"/>
    <w:rsid w:val="49CD4B70"/>
    <w:rsid w:val="4ABF7C8E"/>
    <w:rsid w:val="4B50731C"/>
    <w:rsid w:val="4B7D096D"/>
    <w:rsid w:val="4BAC1D82"/>
    <w:rsid w:val="4C11128D"/>
    <w:rsid w:val="4C24671B"/>
    <w:rsid w:val="4C595D3A"/>
    <w:rsid w:val="4CD56C3D"/>
    <w:rsid w:val="4E32550F"/>
    <w:rsid w:val="4EDA484F"/>
    <w:rsid w:val="4FDD62EE"/>
    <w:rsid w:val="50113DB7"/>
    <w:rsid w:val="508972D2"/>
    <w:rsid w:val="51227BAA"/>
    <w:rsid w:val="513916E5"/>
    <w:rsid w:val="52B4359D"/>
    <w:rsid w:val="53F50267"/>
    <w:rsid w:val="555701ED"/>
    <w:rsid w:val="556E3FBD"/>
    <w:rsid w:val="56F035D0"/>
    <w:rsid w:val="56F92DD2"/>
    <w:rsid w:val="571E3EFD"/>
    <w:rsid w:val="57355204"/>
    <w:rsid w:val="5ABC3575"/>
    <w:rsid w:val="5B440D75"/>
    <w:rsid w:val="5B9921B5"/>
    <w:rsid w:val="5BE45F0E"/>
    <w:rsid w:val="5C6908A6"/>
    <w:rsid w:val="5CFF070C"/>
    <w:rsid w:val="5D106026"/>
    <w:rsid w:val="5E6634E2"/>
    <w:rsid w:val="5E8D1253"/>
    <w:rsid w:val="5F3F3250"/>
    <w:rsid w:val="605913E6"/>
    <w:rsid w:val="60BD1DF5"/>
    <w:rsid w:val="62DE7079"/>
    <w:rsid w:val="632B53E1"/>
    <w:rsid w:val="63CB2625"/>
    <w:rsid w:val="66843E52"/>
    <w:rsid w:val="66E2063F"/>
    <w:rsid w:val="670E1FF7"/>
    <w:rsid w:val="67A27E42"/>
    <w:rsid w:val="67C32D47"/>
    <w:rsid w:val="68054659"/>
    <w:rsid w:val="68661669"/>
    <w:rsid w:val="697853EE"/>
    <w:rsid w:val="6A9931A2"/>
    <w:rsid w:val="6B7F267C"/>
    <w:rsid w:val="6BB0484E"/>
    <w:rsid w:val="6BB44CEC"/>
    <w:rsid w:val="6CD57345"/>
    <w:rsid w:val="6D0B5179"/>
    <w:rsid w:val="6D435C52"/>
    <w:rsid w:val="6D7E24C3"/>
    <w:rsid w:val="6DCF6791"/>
    <w:rsid w:val="6E6A1C30"/>
    <w:rsid w:val="6ECE6880"/>
    <w:rsid w:val="6F4E1AD3"/>
    <w:rsid w:val="6F6855B2"/>
    <w:rsid w:val="6FF57964"/>
    <w:rsid w:val="6FFB46E7"/>
    <w:rsid w:val="70C00F92"/>
    <w:rsid w:val="70D52372"/>
    <w:rsid w:val="72311F66"/>
    <w:rsid w:val="738B5432"/>
    <w:rsid w:val="74EB4E9B"/>
    <w:rsid w:val="76943B28"/>
    <w:rsid w:val="77D52578"/>
    <w:rsid w:val="79330B20"/>
    <w:rsid w:val="7A461D58"/>
    <w:rsid w:val="7A674631"/>
    <w:rsid w:val="7ACD6624"/>
    <w:rsid w:val="7BD6480A"/>
    <w:rsid w:val="7C245553"/>
    <w:rsid w:val="7C252C98"/>
    <w:rsid w:val="7E4D6442"/>
    <w:rsid w:val="7FAD0EE7"/>
    <w:rsid w:val="7FB30B9F"/>
    <w:rsid w:val="DFB744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spacing w:before="120" w:after="120" w:line="240" w:lineRule="auto"/>
      <w:jc w:val="center"/>
      <w:outlineLvl w:val="0"/>
    </w:pPr>
    <w:rPr>
      <w:kern w:val="44"/>
    </w:rPr>
  </w:style>
  <w:style w:type="paragraph" w:styleId="3">
    <w:name w:val="heading 2"/>
    <w:basedOn w:val="1"/>
    <w:next w:val="1"/>
    <w:link w:val="53"/>
    <w:qFormat/>
    <w:uiPriority w:val="0"/>
    <w:pPr>
      <w:keepNext/>
      <w:keepLines/>
      <w:spacing w:before="260" w:after="260" w:line="416" w:lineRule="auto"/>
      <w:outlineLvl w:val="1"/>
    </w:pPr>
    <w:rPr>
      <w:rFonts w:ascii="Arial" w:hAnsi="Arial" w:eastAsia="黑体"/>
      <w:sz w:val="32"/>
      <w:szCs w:val="32"/>
    </w:rPr>
  </w:style>
  <w:style w:type="paragraph" w:styleId="4">
    <w:name w:val="heading 3"/>
    <w:basedOn w:val="5"/>
    <w:next w:val="1"/>
    <w:link w:val="55"/>
    <w:qFormat/>
    <w:uiPriority w:val="0"/>
    <w:pPr>
      <w:spacing w:before="260" w:after="260" w:line="416" w:lineRule="auto"/>
      <w:outlineLvl w:val="2"/>
    </w:pPr>
    <w:rPr>
      <w:sz w:val="32"/>
      <w:szCs w:val="32"/>
    </w:rPr>
  </w:style>
  <w:style w:type="paragraph" w:styleId="5">
    <w:name w:val="heading 4"/>
    <w:basedOn w:val="1"/>
    <w:next w:val="1"/>
    <w:link w:val="5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7"/>
    <w:qFormat/>
    <w:uiPriority w:val="0"/>
    <w:pPr>
      <w:keepNext/>
      <w:keepLines/>
      <w:spacing w:before="280" w:after="290" w:line="376" w:lineRule="auto"/>
      <w:outlineLvl w:val="4"/>
    </w:pPr>
    <w:rPr>
      <w:b/>
      <w:bCs/>
      <w:sz w:val="28"/>
      <w:szCs w:val="28"/>
    </w:rPr>
  </w:style>
  <w:style w:type="paragraph" w:styleId="7">
    <w:name w:val="heading 6"/>
    <w:basedOn w:val="1"/>
    <w:next w:val="1"/>
    <w:link w:val="58"/>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9"/>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60"/>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61"/>
    <w:qFormat/>
    <w:uiPriority w:val="0"/>
    <w:pPr>
      <w:keepNext/>
      <w:keepLines/>
      <w:tabs>
        <w:tab w:val="left" w:pos="1584"/>
      </w:tabs>
      <w:spacing w:before="240" w:after="64" w:line="320" w:lineRule="auto"/>
      <w:ind w:left="1584" w:hanging="1584"/>
      <w:outlineLvl w:val="8"/>
    </w:pPr>
    <w:rPr>
      <w:rFonts w:ascii="Arial" w:hAnsi="Arial" w:eastAsia="黑体"/>
      <w:sz w:val="24"/>
      <w:szCs w:val="21"/>
    </w:rPr>
  </w:style>
  <w:style w:type="character" w:default="1" w:styleId="45">
    <w:name w:val="Default Paragraph Font"/>
    <w:unhideWhenUsed/>
    <w:qFormat/>
    <w:uiPriority w:val="1"/>
  </w:style>
  <w:style w:type="table" w:default="1" w:styleId="43">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unhideWhenUsed/>
    <w:qFormat/>
    <w:uiPriority w:val="0"/>
    <w:pPr>
      <w:ind w:left="1260"/>
      <w:jc w:val="left"/>
    </w:pPr>
    <w:rPr>
      <w:rFonts w:ascii="Calibri" w:hAnsi="Calibri"/>
      <w:sz w:val="18"/>
      <w:szCs w:val="18"/>
    </w:rPr>
  </w:style>
  <w:style w:type="paragraph" w:styleId="12">
    <w:name w:val="Normal Indent"/>
    <w:basedOn w:val="1"/>
    <w:next w:val="13"/>
    <w:link w:val="62"/>
    <w:qFormat/>
    <w:uiPriority w:val="0"/>
    <w:pPr>
      <w:ind w:firstLine="420" w:firstLineChars="200"/>
    </w:pPr>
    <w:rPr>
      <w:kern w:val="0"/>
      <w:sz w:val="20"/>
    </w:rPr>
  </w:style>
  <w:style w:type="paragraph" w:styleId="13">
    <w:name w:val="Body Text"/>
    <w:basedOn w:val="1"/>
    <w:link w:val="52"/>
    <w:qFormat/>
    <w:uiPriority w:val="0"/>
    <w:pPr>
      <w:spacing w:after="120"/>
    </w:pPr>
  </w:style>
  <w:style w:type="paragraph" w:styleId="14">
    <w:name w:val="caption"/>
    <w:basedOn w:val="1"/>
    <w:next w:val="1"/>
    <w:link w:val="63"/>
    <w:qFormat/>
    <w:uiPriority w:val="0"/>
    <w:pPr>
      <w:numPr>
        <w:ilvl w:val="0"/>
        <w:numId w:val="1"/>
      </w:numPr>
      <w:spacing w:line="360" w:lineRule="auto"/>
      <w:jc w:val="center"/>
    </w:pPr>
    <w:rPr>
      <w:rFonts w:ascii="Arial Unicode MS" w:hAnsi="Arial Unicode MS"/>
      <w:kern w:val="0"/>
      <w:sz w:val="20"/>
      <w:szCs w:val="20"/>
    </w:rPr>
  </w:style>
  <w:style w:type="paragraph" w:styleId="15">
    <w:name w:val="List Bullet"/>
    <w:basedOn w:val="1"/>
    <w:qFormat/>
    <w:uiPriority w:val="0"/>
    <w:pPr>
      <w:widowControl/>
      <w:numPr>
        <w:ilvl w:val="0"/>
        <w:numId w:val="2"/>
      </w:numPr>
      <w:spacing w:beforeLines="50" w:afterLines="50"/>
      <w:ind w:firstLine="0"/>
      <w:jc w:val="left"/>
    </w:pPr>
    <w:rPr>
      <w:kern w:val="0"/>
      <w:sz w:val="20"/>
      <w:szCs w:val="20"/>
    </w:rPr>
  </w:style>
  <w:style w:type="paragraph" w:styleId="16">
    <w:name w:val="Document Map"/>
    <w:basedOn w:val="1"/>
    <w:link w:val="64"/>
    <w:qFormat/>
    <w:uiPriority w:val="0"/>
    <w:pPr>
      <w:shd w:val="clear" w:color="auto" w:fill="000080"/>
    </w:pPr>
  </w:style>
  <w:style w:type="paragraph" w:styleId="17">
    <w:name w:val="annotation text"/>
    <w:basedOn w:val="1"/>
    <w:link w:val="65"/>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1"/>
      <w:lang w:val="en-US" w:eastAsia="zh-CN" w:bidi="ar"/>
    </w:rPr>
  </w:style>
  <w:style w:type="paragraph" w:styleId="18">
    <w:name w:val="Body Text 3"/>
    <w:basedOn w:val="1"/>
    <w:link w:val="66"/>
    <w:qFormat/>
    <w:uiPriority w:val="0"/>
    <w:pPr>
      <w:spacing w:after="120"/>
    </w:pPr>
    <w:rPr>
      <w:sz w:val="16"/>
      <w:szCs w:val="16"/>
    </w:rPr>
  </w:style>
  <w:style w:type="paragraph" w:styleId="19">
    <w:name w:val="Body Text Indent"/>
    <w:basedOn w:val="1"/>
    <w:link w:val="67"/>
    <w:qFormat/>
    <w:uiPriority w:val="0"/>
    <w:pPr>
      <w:spacing w:after="120"/>
      <w:ind w:left="420" w:leftChars="200"/>
    </w:pPr>
  </w:style>
  <w:style w:type="paragraph" w:styleId="20">
    <w:name w:val="toc 5"/>
    <w:basedOn w:val="1"/>
    <w:next w:val="1"/>
    <w:unhideWhenUsed/>
    <w:qFormat/>
    <w:uiPriority w:val="0"/>
    <w:pPr>
      <w:ind w:left="840"/>
      <w:jc w:val="left"/>
    </w:pPr>
    <w:rPr>
      <w:rFonts w:ascii="Calibri" w:hAnsi="Calibri"/>
      <w:sz w:val="18"/>
      <w:szCs w:val="18"/>
    </w:rPr>
  </w:style>
  <w:style w:type="paragraph" w:styleId="21">
    <w:name w:val="toc 3"/>
    <w:basedOn w:val="1"/>
    <w:next w:val="1"/>
    <w:unhideWhenUsed/>
    <w:qFormat/>
    <w:uiPriority w:val="39"/>
    <w:pPr>
      <w:ind w:left="420"/>
      <w:jc w:val="left"/>
    </w:pPr>
    <w:rPr>
      <w:rFonts w:ascii="Calibri" w:hAnsi="Calibri"/>
      <w:i/>
      <w:iCs/>
      <w:sz w:val="20"/>
      <w:szCs w:val="20"/>
    </w:rPr>
  </w:style>
  <w:style w:type="paragraph" w:styleId="22">
    <w:name w:val="Plain Text"/>
    <w:basedOn w:val="1"/>
    <w:link w:val="68"/>
    <w:qFormat/>
    <w:uiPriority w:val="0"/>
    <w:rPr>
      <w:rFonts w:ascii="宋体" w:hAnsi="Courier New"/>
      <w:szCs w:val="20"/>
    </w:rPr>
  </w:style>
  <w:style w:type="paragraph" w:styleId="23">
    <w:name w:val="toc 8"/>
    <w:basedOn w:val="1"/>
    <w:next w:val="1"/>
    <w:unhideWhenUsed/>
    <w:qFormat/>
    <w:uiPriority w:val="0"/>
    <w:pPr>
      <w:ind w:left="1470"/>
      <w:jc w:val="left"/>
    </w:pPr>
    <w:rPr>
      <w:rFonts w:ascii="Calibri" w:hAnsi="Calibri"/>
      <w:sz w:val="18"/>
      <w:szCs w:val="18"/>
    </w:rPr>
  </w:style>
  <w:style w:type="paragraph" w:styleId="24">
    <w:name w:val="Date"/>
    <w:basedOn w:val="1"/>
    <w:next w:val="1"/>
    <w:link w:val="69"/>
    <w:qFormat/>
    <w:uiPriority w:val="0"/>
    <w:pPr>
      <w:ind w:left="100" w:leftChars="2500"/>
    </w:pPr>
  </w:style>
  <w:style w:type="paragraph" w:styleId="25">
    <w:name w:val="Body Text Indent 2"/>
    <w:basedOn w:val="1"/>
    <w:link w:val="70"/>
    <w:qFormat/>
    <w:uiPriority w:val="0"/>
    <w:pPr>
      <w:spacing w:after="120" w:line="480" w:lineRule="auto"/>
      <w:ind w:left="420" w:leftChars="200"/>
    </w:pPr>
  </w:style>
  <w:style w:type="paragraph" w:styleId="26">
    <w:name w:val="Balloon Text"/>
    <w:basedOn w:val="1"/>
    <w:link w:val="71"/>
    <w:qFormat/>
    <w:uiPriority w:val="0"/>
    <w:rPr>
      <w:sz w:val="18"/>
      <w:szCs w:val="18"/>
    </w:rPr>
  </w:style>
  <w:style w:type="paragraph" w:styleId="27">
    <w:name w:val="footer"/>
    <w:basedOn w:val="1"/>
    <w:link w:val="72"/>
    <w:qFormat/>
    <w:uiPriority w:val="0"/>
    <w:pPr>
      <w:tabs>
        <w:tab w:val="center" w:pos="4153"/>
        <w:tab w:val="right" w:pos="8306"/>
      </w:tabs>
      <w:snapToGrid w:val="0"/>
      <w:jc w:val="left"/>
    </w:pPr>
    <w:rPr>
      <w:sz w:val="18"/>
      <w:szCs w:val="18"/>
    </w:rPr>
  </w:style>
  <w:style w:type="paragraph" w:styleId="28">
    <w:name w:val="header"/>
    <w:basedOn w:val="1"/>
    <w:link w:val="73"/>
    <w:qFormat/>
    <w:uiPriority w:val="0"/>
    <w:pPr>
      <w:pBdr>
        <w:bottom w:val="single" w:color="auto" w:sz="6" w:space="0"/>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jc w:val="left"/>
    </w:pPr>
    <w:rPr>
      <w:rFonts w:ascii="Calibri" w:hAnsi="Calibri"/>
      <w:b/>
      <w:bCs/>
      <w:caps/>
      <w:sz w:val="20"/>
      <w:szCs w:val="20"/>
    </w:rPr>
  </w:style>
  <w:style w:type="paragraph" w:styleId="30">
    <w:name w:val="toc 4"/>
    <w:basedOn w:val="1"/>
    <w:next w:val="1"/>
    <w:unhideWhenUsed/>
    <w:qFormat/>
    <w:uiPriority w:val="0"/>
    <w:pPr>
      <w:ind w:left="630"/>
      <w:jc w:val="left"/>
    </w:pPr>
    <w:rPr>
      <w:rFonts w:ascii="Calibri" w:hAnsi="Calibri"/>
      <w:sz w:val="18"/>
      <w:szCs w:val="18"/>
    </w:rPr>
  </w:style>
  <w:style w:type="paragraph" w:styleId="31">
    <w:name w:val="toc 6"/>
    <w:basedOn w:val="1"/>
    <w:next w:val="1"/>
    <w:unhideWhenUsed/>
    <w:qFormat/>
    <w:uiPriority w:val="0"/>
    <w:pPr>
      <w:ind w:left="1050"/>
      <w:jc w:val="left"/>
    </w:pPr>
    <w:rPr>
      <w:rFonts w:ascii="Calibri" w:hAnsi="Calibri"/>
      <w:sz w:val="18"/>
      <w:szCs w:val="18"/>
    </w:rPr>
  </w:style>
  <w:style w:type="paragraph" w:styleId="32">
    <w:name w:val="Body Text Indent 3"/>
    <w:basedOn w:val="1"/>
    <w:link w:val="74"/>
    <w:qFormat/>
    <w:uiPriority w:val="0"/>
    <w:pPr>
      <w:spacing w:after="120"/>
      <w:ind w:left="420" w:leftChars="200"/>
    </w:pPr>
    <w:rPr>
      <w:sz w:val="16"/>
      <w:szCs w:val="16"/>
    </w:rPr>
  </w:style>
  <w:style w:type="paragraph" w:styleId="33">
    <w:name w:val="toc 2"/>
    <w:basedOn w:val="1"/>
    <w:next w:val="1"/>
    <w:unhideWhenUsed/>
    <w:qFormat/>
    <w:uiPriority w:val="39"/>
    <w:pPr>
      <w:ind w:left="210"/>
      <w:jc w:val="left"/>
    </w:pPr>
    <w:rPr>
      <w:rFonts w:ascii="Calibri" w:hAnsi="Calibri"/>
      <w:smallCaps/>
      <w:sz w:val="20"/>
      <w:szCs w:val="20"/>
    </w:rPr>
  </w:style>
  <w:style w:type="paragraph" w:styleId="34">
    <w:name w:val="toc 9"/>
    <w:basedOn w:val="1"/>
    <w:next w:val="1"/>
    <w:unhideWhenUsed/>
    <w:qFormat/>
    <w:uiPriority w:val="0"/>
    <w:pPr>
      <w:ind w:left="1680"/>
      <w:jc w:val="left"/>
    </w:pPr>
    <w:rPr>
      <w:rFonts w:ascii="Calibri" w:hAnsi="Calibri"/>
      <w:sz w:val="18"/>
      <w:szCs w:val="18"/>
    </w:rPr>
  </w:style>
  <w:style w:type="paragraph" w:styleId="35">
    <w:name w:val="Body Text 2"/>
    <w:basedOn w:val="1"/>
    <w:link w:val="75"/>
    <w:qFormat/>
    <w:uiPriority w:val="0"/>
    <w:pPr>
      <w:spacing w:after="120" w:line="480" w:lineRule="auto"/>
    </w:pPr>
  </w:style>
  <w:style w:type="paragraph" w:styleId="36">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qFormat/>
    <w:uiPriority w:val="0"/>
    <w:pPr>
      <w:widowControl/>
      <w:spacing w:before="100" w:beforeAutospacing="1" w:after="100" w:afterAutospacing="1"/>
      <w:jc w:val="left"/>
    </w:pPr>
    <w:rPr>
      <w:kern w:val="0"/>
      <w:sz w:val="24"/>
    </w:rPr>
  </w:style>
  <w:style w:type="paragraph" w:styleId="38">
    <w:name w:val="index 1"/>
    <w:basedOn w:val="1"/>
    <w:next w:val="1"/>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77"/>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7"/>
    <w:next w:val="17"/>
    <w:link w:val="78"/>
    <w:semiHidden/>
    <w:qFormat/>
    <w:uiPriority w:val="0"/>
    <w:rPr>
      <w:b/>
      <w:bCs/>
    </w:rPr>
  </w:style>
  <w:style w:type="paragraph" w:styleId="41">
    <w:name w:val="Body Text First Indent"/>
    <w:basedOn w:val="13"/>
    <w:link w:val="79"/>
    <w:qFormat/>
    <w:uiPriority w:val="0"/>
    <w:pPr>
      <w:ind w:firstLine="420" w:firstLineChars="100"/>
    </w:pPr>
    <w:rPr>
      <w:b/>
      <w:bCs/>
    </w:rPr>
  </w:style>
  <w:style w:type="paragraph" w:styleId="42">
    <w:name w:val="Body Text First Indent 2"/>
    <w:basedOn w:val="19"/>
    <w:link w:val="80"/>
    <w:qFormat/>
    <w:uiPriority w:val="0"/>
    <w:pPr>
      <w:ind w:firstLine="420" w:firstLineChars="200"/>
    </w:pPr>
  </w:style>
  <w:style w:type="table" w:styleId="44">
    <w:name w:val="Table Grid"/>
    <w:basedOn w:val="43"/>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qFormat/>
    <w:uiPriority w:val="0"/>
    <w:rPr>
      <w:b/>
      <w:bCs/>
    </w:rPr>
  </w:style>
  <w:style w:type="character" w:styleId="47">
    <w:name w:val="page number"/>
    <w:basedOn w:val="45"/>
    <w:qFormat/>
    <w:uiPriority w:val="0"/>
  </w:style>
  <w:style w:type="character" w:styleId="48">
    <w:name w:val="Emphasis"/>
    <w:qFormat/>
    <w:uiPriority w:val="0"/>
    <w:rPr>
      <w:rFonts w:ascii="仿宋_GB2312" w:eastAsia="仿宋_GB2312"/>
      <w:b/>
      <w:color w:val="CC0000"/>
      <w:kern w:val="2"/>
      <w:sz w:val="28"/>
      <w:szCs w:val="28"/>
      <w:lang w:val="en-US" w:eastAsia="zh-CN" w:bidi="ar-SA"/>
    </w:rPr>
  </w:style>
  <w:style w:type="character" w:styleId="49">
    <w:name w:val="Hyperlink"/>
    <w:basedOn w:val="45"/>
    <w:qFormat/>
    <w:uiPriority w:val="99"/>
    <w:rPr>
      <w:color w:val="0000FF"/>
      <w:u w:val="single"/>
    </w:rPr>
  </w:style>
  <w:style w:type="character" w:styleId="50">
    <w:name w:val="annotation reference"/>
    <w:semiHidden/>
    <w:qFormat/>
    <w:uiPriority w:val="0"/>
    <w:rPr>
      <w:sz w:val="21"/>
      <w:szCs w:val="21"/>
    </w:rPr>
  </w:style>
  <w:style w:type="paragraph" w:customStyle="1" w:styleId="5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52">
    <w:name w:val="正文文本 Char"/>
    <w:link w:val="13"/>
    <w:qFormat/>
    <w:uiPriority w:val="0"/>
    <w:rPr>
      <w:rFonts w:ascii="Times New Roman" w:hAnsi="Times New Roman" w:eastAsia="宋体" w:cs="Times New Roman"/>
      <w:szCs w:val="24"/>
    </w:rPr>
  </w:style>
  <w:style w:type="character" w:customStyle="1" w:styleId="53">
    <w:name w:val="标题 2 Char"/>
    <w:link w:val="3"/>
    <w:qFormat/>
    <w:uiPriority w:val="0"/>
    <w:rPr>
      <w:rFonts w:ascii="Arial" w:hAnsi="Arial" w:eastAsia="黑体" w:cs="Times New Roman"/>
      <w:b/>
      <w:bCs/>
      <w:sz w:val="32"/>
      <w:szCs w:val="32"/>
    </w:rPr>
  </w:style>
  <w:style w:type="character" w:customStyle="1" w:styleId="54">
    <w:name w:val="标题 1 Char"/>
    <w:link w:val="2"/>
    <w:qFormat/>
    <w:uiPriority w:val="0"/>
    <w:rPr>
      <w:rFonts w:ascii="Arial" w:hAnsi="Arial" w:eastAsia="黑体" w:cs="Times New Roman"/>
      <w:kern w:val="44"/>
      <w:sz w:val="32"/>
      <w:szCs w:val="32"/>
    </w:rPr>
  </w:style>
  <w:style w:type="character" w:customStyle="1" w:styleId="55">
    <w:name w:val="标题 3 Char"/>
    <w:link w:val="4"/>
    <w:qFormat/>
    <w:uiPriority w:val="0"/>
    <w:rPr>
      <w:rFonts w:ascii="Times New Roman" w:hAnsi="Times New Roman" w:eastAsia="宋体" w:cs="Times New Roman"/>
      <w:b/>
      <w:bCs/>
      <w:sz w:val="32"/>
      <w:szCs w:val="32"/>
    </w:rPr>
  </w:style>
  <w:style w:type="character" w:customStyle="1" w:styleId="56">
    <w:name w:val="标题 4 Char"/>
    <w:link w:val="5"/>
    <w:qFormat/>
    <w:uiPriority w:val="0"/>
    <w:rPr>
      <w:rFonts w:ascii="Arial" w:hAnsi="Arial" w:eastAsia="黑体" w:cs="Times New Roman"/>
      <w:b/>
      <w:bCs/>
      <w:sz w:val="28"/>
      <w:szCs w:val="28"/>
    </w:rPr>
  </w:style>
  <w:style w:type="character" w:customStyle="1" w:styleId="57">
    <w:name w:val="标题 5 Char"/>
    <w:link w:val="6"/>
    <w:qFormat/>
    <w:uiPriority w:val="0"/>
    <w:rPr>
      <w:rFonts w:ascii="Times New Roman" w:hAnsi="Times New Roman" w:eastAsia="宋体" w:cs="Times New Roman"/>
      <w:b/>
      <w:bCs/>
      <w:sz w:val="28"/>
      <w:szCs w:val="28"/>
    </w:rPr>
  </w:style>
  <w:style w:type="character" w:customStyle="1" w:styleId="58">
    <w:name w:val="标题 6 Char"/>
    <w:link w:val="7"/>
    <w:qFormat/>
    <w:uiPriority w:val="0"/>
    <w:rPr>
      <w:rFonts w:ascii="Cambria" w:hAnsi="Cambria" w:eastAsia="宋体" w:cs="Times New Roman"/>
      <w:b/>
      <w:bCs/>
      <w:sz w:val="24"/>
      <w:szCs w:val="24"/>
    </w:rPr>
  </w:style>
  <w:style w:type="character" w:customStyle="1" w:styleId="59">
    <w:name w:val="标题 7 Char"/>
    <w:link w:val="8"/>
    <w:qFormat/>
    <w:uiPriority w:val="0"/>
    <w:rPr>
      <w:rFonts w:ascii="Times New Roman" w:hAnsi="Times New Roman" w:eastAsia="宋体" w:cs="Times New Roman"/>
      <w:b/>
      <w:bCs/>
      <w:sz w:val="24"/>
      <w:szCs w:val="24"/>
    </w:rPr>
  </w:style>
  <w:style w:type="character" w:customStyle="1" w:styleId="60">
    <w:name w:val="标题 8 Char"/>
    <w:link w:val="9"/>
    <w:qFormat/>
    <w:uiPriority w:val="0"/>
    <w:rPr>
      <w:rFonts w:ascii="Arial" w:hAnsi="Arial" w:eastAsia="黑体" w:cs="Times New Roman"/>
      <w:sz w:val="24"/>
      <w:szCs w:val="24"/>
    </w:rPr>
  </w:style>
  <w:style w:type="character" w:customStyle="1" w:styleId="61">
    <w:name w:val="标题 9 Char"/>
    <w:link w:val="10"/>
    <w:qFormat/>
    <w:uiPriority w:val="0"/>
    <w:rPr>
      <w:rFonts w:ascii="Arial" w:hAnsi="Arial" w:eastAsia="黑体" w:cs="Times New Roman"/>
      <w:sz w:val="24"/>
      <w:szCs w:val="21"/>
    </w:rPr>
  </w:style>
  <w:style w:type="character" w:customStyle="1" w:styleId="62">
    <w:name w:val="正文缩进 Char"/>
    <w:link w:val="12"/>
    <w:qFormat/>
    <w:uiPriority w:val="0"/>
    <w:rPr>
      <w:rFonts w:ascii="Times New Roman" w:hAnsi="Times New Roman" w:eastAsia="宋体" w:cs="Times New Roman"/>
      <w:szCs w:val="24"/>
    </w:rPr>
  </w:style>
  <w:style w:type="character" w:customStyle="1" w:styleId="63">
    <w:name w:val="题注 Char"/>
    <w:link w:val="14"/>
    <w:qFormat/>
    <w:uiPriority w:val="0"/>
    <w:rPr>
      <w:rFonts w:ascii="Arial Unicode MS" w:hAnsi="Arial Unicode MS" w:eastAsia="宋体" w:cs="Times New Roman"/>
      <w:szCs w:val="20"/>
    </w:rPr>
  </w:style>
  <w:style w:type="character" w:customStyle="1" w:styleId="64">
    <w:name w:val="文档结构图 Char"/>
    <w:link w:val="16"/>
    <w:qFormat/>
    <w:uiPriority w:val="0"/>
    <w:rPr>
      <w:rFonts w:ascii="Times New Roman" w:hAnsi="Times New Roman" w:eastAsia="宋体" w:cs="Times New Roman"/>
      <w:szCs w:val="24"/>
      <w:shd w:val="clear" w:color="auto" w:fill="000080"/>
    </w:rPr>
  </w:style>
  <w:style w:type="character" w:customStyle="1" w:styleId="65">
    <w:name w:val="批注文字 Char"/>
    <w:link w:val="17"/>
    <w:qFormat/>
    <w:uiPriority w:val="0"/>
    <w:rPr>
      <w:rFonts w:ascii="Times New Roman" w:hAnsi="Times New Roman" w:eastAsia="宋体" w:cs="Times New Roman"/>
      <w:szCs w:val="24"/>
    </w:rPr>
  </w:style>
  <w:style w:type="character" w:customStyle="1" w:styleId="66">
    <w:name w:val="正文文本 3 Char"/>
    <w:link w:val="18"/>
    <w:qFormat/>
    <w:uiPriority w:val="0"/>
    <w:rPr>
      <w:rFonts w:ascii="Times New Roman" w:hAnsi="Times New Roman" w:eastAsia="宋体" w:cs="Times New Roman"/>
      <w:sz w:val="16"/>
      <w:szCs w:val="16"/>
    </w:rPr>
  </w:style>
  <w:style w:type="character" w:customStyle="1" w:styleId="67">
    <w:name w:val="正文文本缩进 Char"/>
    <w:link w:val="19"/>
    <w:qFormat/>
    <w:uiPriority w:val="0"/>
    <w:rPr>
      <w:rFonts w:ascii="Times New Roman" w:hAnsi="Times New Roman" w:eastAsia="宋体" w:cs="Times New Roman"/>
      <w:szCs w:val="24"/>
    </w:rPr>
  </w:style>
  <w:style w:type="character" w:customStyle="1" w:styleId="68">
    <w:name w:val="纯文本 Char"/>
    <w:link w:val="22"/>
    <w:qFormat/>
    <w:uiPriority w:val="0"/>
    <w:rPr>
      <w:rFonts w:ascii="宋体" w:hAnsi="Courier New" w:eastAsia="宋体" w:cs="Times New Roman"/>
      <w:szCs w:val="20"/>
    </w:rPr>
  </w:style>
  <w:style w:type="character" w:customStyle="1" w:styleId="69">
    <w:name w:val="日期 Char"/>
    <w:link w:val="24"/>
    <w:qFormat/>
    <w:uiPriority w:val="0"/>
    <w:rPr>
      <w:rFonts w:ascii="Times New Roman" w:hAnsi="Times New Roman" w:eastAsia="宋体" w:cs="Times New Roman"/>
      <w:szCs w:val="24"/>
    </w:rPr>
  </w:style>
  <w:style w:type="character" w:customStyle="1" w:styleId="70">
    <w:name w:val="正文文本缩进 2 Char"/>
    <w:link w:val="25"/>
    <w:qFormat/>
    <w:uiPriority w:val="0"/>
    <w:rPr>
      <w:rFonts w:ascii="Times New Roman" w:hAnsi="Times New Roman" w:eastAsia="宋体" w:cs="Times New Roman"/>
      <w:szCs w:val="24"/>
    </w:rPr>
  </w:style>
  <w:style w:type="character" w:customStyle="1" w:styleId="71">
    <w:name w:val="批注框文本 Char"/>
    <w:link w:val="26"/>
    <w:qFormat/>
    <w:uiPriority w:val="0"/>
    <w:rPr>
      <w:rFonts w:ascii="Times New Roman" w:hAnsi="Times New Roman" w:eastAsia="宋体" w:cs="Times New Roman"/>
      <w:sz w:val="18"/>
      <w:szCs w:val="18"/>
    </w:rPr>
  </w:style>
  <w:style w:type="character" w:customStyle="1" w:styleId="72">
    <w:name w:val="页脚 Char"/>
    <w:link w:val="27"/>
    <w:qFormat/>
    <w:uiPriority w:val="0"/>
    <w:rPr>
      <w:rFonts w:ascii="Times New Roman" w:hAnsi="Times New Roman" w:eastAsia="宋体" w:cs="Times New Roman"/>
      <w:sz w:val="18"/>
      <w:szCs w:val="18"/>
    </w:rPr>
  </w:style>
  <w:style w:type="character" w:customStyle="1" w:styleId="73">
    <w:name w:val="页眉 Char"/>
    <w:link w:val="28"/>
    <w:qFormat/>
    <w:uiPriority w:val="0"/>
    <w:rPr>
      <w:rFonts w:ascii="Times New Roman" w:hAnsi="Times New Roman" w:eastAsia="宋体" w:cs="Times New Roman"/>
      <w:sz w:val="18"/>
      <w:szCs w:val="18"/>
    </w:rPr>
  </w:style>
  <w:style w:type="character" w:customStyle="1" w:styleId="74">
    <w:name w:val="正文文本缩进 3 Char"/>
    <w:link w:val="32"/>
    <w:qFormat/>
    <w:uiPriority w:val="0"/>
    <w:rPr>
      <w:rFonts w:ascii="Times New Roman" w:hAnsi="Times New Roman" w:eastAsia="宋体" w:cs="Times New Roman"/>
      <w:sz w:val="16"/>
      <w:szCs w:val="16"/>
    </w:rPr>
  </w:style>
  <w:style w:type="character" w:customStyle="1" w:styleId="75">
    <w:name w:val="正文文本 2 Char"/>
    <w:link w:val="35"/>
    <w:qFormat/>
    <w:uiPriority w:val="0"/>
    <w:rPr>
      <w:rFonts w:ascii="Times New Roman" w:hAnsi="Times New Roman" w:eastAsia="宋体" w:cs="Times New Roman"/>
      <w:szCs w:val="24"/>
    </w:rPr>
  </w:style>
  <w:style w:type="character" w:customStyle="1" w:styleId="76">
    <w:name w:val="HTML 预设格式 Char"/>
    <w:link w:val="36"/>
    <w:qFormat/>
    <w:uiPriority w:val="0"/>
    <w:rPr>
      <w:rFonts w:ascii="宋体" w:hAnsi="宋体" w:eastAsia="宋体" w:cs="宋体"/>
      <w:kern w:val="0"/>
      <w:sz w:val="24"/>
      <w:szCs w:val="24"/>
    </w:rPr>
  </w:style>
  <w:style w:type="character" w:customStyle="1" w:styleId="77">
    <w:name w:val="标题 Char"/>
    <w:link w:val="39"/>
    <w:qFormat/>
    <w:uiPriority w:val="0"/>
    <w:rPr>
      <w:rFonts w:ascii="Arial" w:hAnsi="Arial" w:eastAsia="隶书" w:cs="Arial"/>
      <w:b/>
      <w:bCs/>
      <w:sz w:val="32"/>
      <w:szCs w:val="32"/>
    </w:rPr>
  </w:style>
  <w:style w:type="character" w:customStyle="1" w:styleId="78">
    <w:name w:val="批注主题 Char"/>
    <w:link w:val="40"/>
    <w:semiHidden/>
    <w:qFormat/>
    <w:uiPriority w:val="0"/>
    <w:rPr>
      <w:rFonts w:ascii="Times New Roman" w:hAnsi="Times New Roman" w:eastAsia="宋体" w:cs="Times New Roman"/>
      <w:b/>
      <w:bCs/>
      <w:szCs w:val="24"/>
    </w:rPr>
  </w:style>
  <w:style w:type="character" w:customStyle="1" w:styleId="79">
    <w:name w:val="正文首行缩进 Char"/>
    <w:link w:val="41"/>
    <w:qFormat/>
    <w:uiPriority w:val="0"/>
    <w:rPr>
      <w:rFonts w:ascii="Times New Roman" w:hAnsi="Times New Roman" w:eastAsia="宋体" w:cs="Times New Roman"/>
      <w:b/>
      <w:bCs/>
      <w:szCs w:val="24"/>
    </w:rPr>
  </w:style>
  <w:style w:type="character" w:customStyle="1" w:styleId="80">
    <w:name w:val="正文首行缩进 2 Char"/>
    <w:link w:val="42"/>
    <w:qFormat/>
    <w:uiPriority w:val="0"/>
    <w:rPr>
      <w:rFonts w:ascii="Times New Roman" w:hAnsi="Times New Roman" w:eastAsia="宋体" w:cs="Times New Roman"/>
      <w:szCs w:val="24"/>
    </w:rPr>
  </w:style>
  <w:style w:type="paragraph" w:customStyle="1" w:styleId="8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2">
    <w:name w:val="样式1 Char Char"/>
    <w:basedOn w:val="1"/>
    <w:next w:val="1"/>
    <w:link w:val="83"/>
    <w:qFormat/>
    <w:uiPriority w:val="0"/>
    <w:pPr>
      <w:spacing w:line="360" w:lineRule="auto"/>
      <w:ind w:firstLine="516" w:firstLineChars="215"/>
    </w:pPr>
    <w:rPr>
      <w:kern w:val="0"/>
      <w:sz w:val="24"/>
      <w:szCs w:val="20"/>
    </w:rPr>
  </w:style>
  <w:style w:type="character" w:customStyle="1" w:styleId="83">
    <w:name w:val="样式1 Char Char Char"/>
    <w:link w:val="82"/>
    <w:qFormat/>
    <w:uiPriority w:val="0"/>
    <w:rPr>
      <w:rFonts w:ascii="Times New Roman" w:hAnsi="Times New Roman" w:eastAsia="宋体" w:cs="Times New Roman"/>
      <w:sz w:val="24"/>
      <w:szCs w:val="20"/>
    </w:rPr>
  </w:style>
  <w:style w:type="paragraph" w:customStyle="1" w:styleId="84">
    <w:name w:val="样式1"/>
    <w:basedOn w:val="39"/>
    <w:link w:val="85"/>
    <w:qFormat/>
    <w:uiPriority w:val="0"/>
    <w:pPr>
      <w:spacing w:before="120" w:after="120"/>
    </w:pPr>
    <w:rPr>
      <w:rFonts w:eastAsia="黑体" w:cs="Times New Roman"/>
      <w:b w:val="0"/>
      <w:kern w:val="0"/>
      <w:sz w:val="30"/>
      <w:szCs w:val="21"/>
    </w:rPr>
  </w:style>
  <w:style w:type="character" w:customStyle="1" w:styleId="85">
    <w:name w:val="样式1 Char"/>
    <w:link w:val="84"/>
    <w:qFormat/>
    <w:uiPriority w:val="0"/>
    <w:rPr>
      <w:rFonts w:ascii="Arial" w:hAnsi="Arial" w:eastAsia="黑体" w:cs="Arial"/>
      <w:bCs/>
      <w:sz w:val="30"/>
      <w:szCs w:val="21"/>
    </w:rPr>
  </w:style>
  <w:style w:type="paragraph" w:customStyle="1" w:styleId="86">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89">
    <w:name w:val="Char11"/>
    <w:basedOn w:val="1"/>
    <w:qFormat/>
    <w:uiPriority w:val="0"/>
    <w:rPr>
      <w:rFonts w:ascii="仿宋_GB2312" w:eastAsia="仿宋_GB2312"/>
      <w:b/>
      <w:sz w:val="32"/>
      <w:szCs w:val="32"/>
    </w:rPr>
  </w:style>
  <w:style w:type="paragraph" w:customStyle="1" w:styleId="90">
    <w:name w:val="USE 1"/>
    <w:basedOn w:val="1"/>
    <w:qFormat/>
    <w:uiPriority w:val="0"/>
    <w:pPr>
      <w:spacing w:line="200" w:lineRule="atLeast"/>
      <w:jc w:val="left"/>
    </w:pPr>
    <w:rPr>
      <w:rFonts w:ascii="宋体" w:hAnsi="宋体"/>
      <w:b/>
      <w:sz w:val="24"/>
      <w:szCs w:val="28"/>
    </w:rPr>
  </w:style>
  <w:style w:type="character" w:customStyle="1" w:styleId="91">
    <w:name w:val="正文缩进2格 Char"/>
    <w:link w:val="92"/>
    <w:qFormat/>
    <w:locked/>
    <w:uiPriority w:val="0"/>
    <w:rPr>
      <w:rFonts w:ascii="仿宋_GB2312" w:hAnsi="宋体" w:eastAsia="仿宋_GB2312"/>
      <w:sz w:val="28"/>
    </w:rPr>
  </w:style>
  <w:style w:type="paragraph" w:customStyle="1" w:styleId="92">
    <w:name w:val="正文缩进2格"/>
    <w:basedOn w:val="1"/>
    <w:link w:val="91"/>
    <w:qFormat/>
    <w:uiPriority w:val="0"/>
    <w:pPr>
      <w:spacing w:line="600" w:lineRule="exact"/>
      <w:ind w:firstLine="639" w:firstLineChars="206"/>
    </w:pPr>
    <w:rPr>
      <w:rFonts w:ascii="仿宋_GB2312" w:hAnsi="宋体" w:eastAsia="仿宋_GB2312"/>
      <w:kern w:val="0"/>
      <w:sz w:val="28"/>
      <w:szCs w:val="20"/>
    </w:rPr>
  </w:style>
  <w:style w:type="paragraph" w:customStyle="1" w:styleId="93">
    <w:name w:val="样式2"/>
    <w:basedOn w:val="17"/>
    <w:link w:val="94"/>
    <w:qFormat/>
    <w:uiPriority w:val="0"/>
    <w:rPr>
      <w:kern w:val="0"/>
      <w:sz w:val="20"/>
    </w:rPr>
  </w:style>
  <w:style w:type="character" w:customStyle="1" w:styleId="94">
    <w:name w:val="样式2 Char"/>
    <w:link w:val="93"/>
    <w:qFormat/>
    <w:uiPriority w:val="0"/>
    <w:rPr>
      <w:rFonts w:ascii="Times New Roman" w:hAnsi="Times New Roman" w:eastAsia="宋体" w:cs="Times New Roman"/>
      <w:szCs w:val="24"/>
    </w:rPr>
  </w:style>
  <w:style w:type="paragraph" w:customStyle="1" w:styleId="95">
    <w:name w:val="列出段落1"/>
    <w:basedOn w:val="1"/>
    <w:qFormat/>
    <w:uiPriority w:val="34"/>
    <w:pPr>
      <w:ind w:firstLine="420" w:firstLineChars="200"/>
    </w:pPr>
  </w:style>
  <w:style w:type="paragraph" w:customStyle="1" w:styleId="96">
    <w:name w:val="列出段落2"/>
    <w:basedOn w:val="1"/>
    <w:link w:val="97"/>
    <w:qFormat/>
    <w:uiPriority w:val="34"/>
    <w:pPr>
      <w:ind w:firstLine="420" w:firstLineChars="200"/>
    </w:pPr>
    <w:rPr>
      <w:kern w:val="0"/>
      <w:sz w:val="20"/>
    </w:rPr>
  </w:style>
  <w:style w:type="character" w:customStyle="1" w:styleId="97">
    <w:name w:val="列出段落 Char"/>
    <w:link w:val="96"/>
    <w:qFormat/>
    <w:locked/>
    <w:uiPriority w:val="34"/>
    <w:rPr>
      <w:rFonts w:ascii="Times New Roman" w:hAnsi="Times New Roman" w:eastAsia="宋体" w:cs="Times New Roman"/>
      <w:szCs w:val="24"/>
    </w:rPr>
  </w:style>
  <w:style w:type="character" w:customStyle="1" w:styleId="98">
    <w:name w:val="表正文 Char2"/>
    <w:qFormat/>
    <w:uiPriority w:val="0"/>
    <w:rPr>
      <w:rFonts w:eastAsia="宋体"/>
      <w:kern w:val="2"/>
      <w:sz w:val="21"/>
      <w:szCs w:val="24"/>
      <w:lang w:val="en-US" w:eastAsia="zh-CN" w:bidi="ar-SA"/>
    </w:rPr>
  </w:style>
  <w:style w:type="paragraph" w:customStyle="1" w:styleId="99">
    <w:name w:val="TOC 标题1"/>
    <w:basedOn w:val="2"/>
    <w:next w:val="1"/>
    <w:unhideWhenUsed/>
    <w:qFormat/>
    <w:uiPriority w:val="39"/>
    <w:pPr>
      <w:widowControl/>
      <w:spacing w:before="480" w:after="0" w:line="276" w:lineRule="auto"/>
      <w:jc w:val="left"/>
      <w:outlineLvl w:val="9"/>
    </w:pPr>
    <w:rPr>
      <w:rFonts w:ascii="Cambria" w:hAnsi="Cambria" w:eastAsia="宋体"/>
      <w:bCs/>
      <w:color w:val="365F91"/>
      <w:kern w:val="0"/>
      <w:sz w:val="28"/>
      <w:szCs w:val="28"/>
    </w:rPr>
  </w:style>
  <w:style w:type="paragraph" w:customStyle="1" w:styleId="100">
    <w:name w:val="样式 标题 2 + 段前: 13 磅 段后: 13 磅 行距: 单倍行距"/>
    <w:basedOn w:val="3"/>
    <w:qFormat/>
    <w:uiPriority w:val="0"/>
    <w:pPr>
      <w:spacing w:before="0" w:after="0" w:line="240" w:lineRule="auto"/>
    </w:pPr>
    <w:rPr>
      <w:rFonts w:ascii="Cambria" w:hAnsi="Cambria" w:eastAsia="宋体" w:cs="宋体"/>
      <w:szCs w:val="20"/>
    </w:rPr>
  </w:style>
  <w:style w:type="character" w:customStyle="1" w:styleId="101">
    <w:name w:val="不明显强调1"/>
    <w:qFormat/>
    <w:uiPriority w:val="19"/>
    <w:rPr>
      <w:i/>
      <w:iCs/>
      <w:color w:val="808080"/>
    </w:rPr>
  </w:style>
  <w:style w:type="paragraph" w:customStyle="1" w:styleId="102">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不明显参考1"/>
    <w:qFormat/>
    <w:uiPriority w:val="31"/>
    <w:rPr>
      <w:smallCaps/>
      <w:color w:val="C0504D"/>
      <w:u w:val="single"/>
    </w:rPr>
  </w:style>
  <w:style w:type="paragraph" w:customStyle="1" w:styleId="104">
    <w:name w:val="样式 正文缩进 + 首行缩进:  2 字符"/>
    <w:basedOn w:val="12"/>
    <w:qFormat/>
    <w:uiPriority w:val="0"/>
    <w:pPr>
      <w:spacing w:line="360" w:lineRule="auto"/>
      <w:ind w:firstLine="480"/>
    </w:pPr>
    <w:rPr>
      <w:rFonts w:ascii="宋体" w:hAnsi="宋体" w:cs="Century"/>
      <w:sz w:val="24"/>
      <w:szCs w:val="20"/>
    </w:rPr>
  </w:style>
  <w:style w:type="paragraph" w:customStyle="1" w:styleId="105">
    <w:name w:val="Char Char Char"/>
    <w:basedOn w:val="1"/>
    <w:qFormat/>
    <w:uiPriority w:val="0"/>
    <w:rPr>
      <w:rFonts w:ascii="Tahoma" w:hAnsi="Tahoma"/>
      <w:b/>
      <w:kern w:val="0"/>
      <w:sz w:val="28"/>
      <w:szCs w:val="20"/>
    </w:rPr>
  </w:style>
  <w:style w:type="paragraph" w:customStyle="1" w:styleId="106">
    <w:name w:val="Char Char Char Char Char Char Char"/>
    <w:basedOn w:val="16"/>
    <w:qFormat/>
    <w:uiPriority w:val="0"/>
    <w:rPr>
      <w:rFonts w:ascii="Tahoma" w:hAnsi="Tahoma"/>
      <w:sz w:val="24"/>
    </w:rPr>
  </w:style>
  <w:style w:type="character" w:customStyle="1" w:styleId="107">
    <w:name w:val="op_url3_showurl_url1"/>
    <w:qFormat/>
    <w:uiPriority w:val="0"/>
    <w:rPr>
      <w:color w:val="008000"/>
      <w:sz w:val="16"/>
      <w:szCs w:val="16"/>
    </w:rPr>
  </w:style>
  <w:style w:type="character" w:customStyle="1" w:styleId="108">
    <w:name w:val="g1"/>
    <w:qFormat/>
    <w:uiPriority w:val="0"/>
    <w:rPr>
      <w:color w:val="008000"/>
    </w:rPr>
  </w:style>
  <w:style w:type="character" w:customStyle="1" w:styleId="109">
    <w:name w:val="二级标题 Char Char"/>
    <w:link w:val="110"/>
    <w:qFormat/>
    <w:uiPriority w:val="0"/>
    <w:rPr>
      <w:rFonts w:ascii="方正正黑简体" w:hAnsi="方正正黑简体" w:eastAsia="方正正黑简体"/>
      <w:b/>
      <w:bCs/>
      <w:color w:val="31849B"/>
      <w:sz w:val="32"/>
      <w:szCs w:val="28"/>
    </w:rPr>
  </w:style>
  <w:style w:type="paragraph" w:customStyle="1" w:styleId="110">
    <w:name w:val="二级标题"/>
    <w:basedOn w:val="3"/>
    <w:link w:val="109"/>
    <w:qFormat/>
    <w:uiPriority w:val="0"/>
    <w:pPr>
      <w:tabs>
        <w:tab w:val="left" w:pos="840"/>
        <w:tab w:val="left" w:pos="1200"/>
      </w:tabs>
      <w:spacing w:line="413" w:lineRule="auto"/>
      <w:ind w:left="1200" w:right="-907" w:rightChars="-432" w:hanging="420"/>
    </w:pPr>
    <w:rPr>
      <w:rFonts w:ascii="方正正黑简体" w:hAnsi="方正正黑简体" w:eastAsia="方正正黑简体"/>
      <w:color w:val="31849B"/>
      <w:kern w:val="0"/>
      <w:szCs w:val="28"/>
    </w:rPr>
  </w:style>
  <w:style w:type="character" w:customStyle="1" w:styleId="111">
    <w:name w:val="方案正文 Char Char"/>
    <w:link w:val="112"/>
    <w:qFormat/>
    <w:uiPriority w:val="0"/>
    <w:rPr>
      <w:rFonts w:ascii="方正正黑简体" w:hAnsi="??" w:eastAsia="方正正黑简体"/>
      <w:szCs w:val="24"/>
    </w:rPr>
  </w:style>
  <w:style w:type="paragraph" w:customStyle="1" w:styleId="112">
    <w:name w:val="方案正文"/>
    <w:basedOn w:val="1"/>
    <w:link w:val="111"/>
    <w:qFormat/>
    <w:uiPriority w:val="0"/>
    <w:pPr>
      <w:spacing w:before="120" w:after="120" w:line="360" w:lineRule="auto"/>
      <w:ind w:firstLine="403" w:firstLineChars="192"/>
    </w:pPr>
    <w:rPr>
      <w:rFonts w:ascii="方正正黑简体" w:hAnsi="??" w:eastAsia="方正正黑简体"/>
      <w:kern w:val="0"/>
      <w:sz w:val="20"/>
    </w:rPr>
  </w:style>
  <w:style w:type="character" w:customStyle="1" w:styleId="113">
    <w:name w:val="文档正文 Char"/>
    <w:link w:val="114"/>
    <w:qFormat/>
    <w:uiPriority w:val="0"/>
    <w:rPr>
      <w:rFonts w:ascii="宋体" w:hAnsi="宋体"/>
      <w:sz w:val="24"/>
      <w:szCs w:val="24"/>
    </w:rPr>
  </w:style>
  <w:style w:type="paragraph" w:customStyle="1" w:styleId="114">
    <w:name w:val="文档正文"/>
    <w:basedOn w:val="1"/>
    <w:link w:val="113"/>
    <w:qFormat/>
    <w:uiPriority w:val="0"/>
    <w:pPr>
      <w:spacing w:line="360" w:lineRule="auto"/>
      <w:ind w:firstLine="480" w:firstLineChars="200"/>
    </w:pPr>
    <w:rPr>
      <w:rFonts w:ascii="宋体" w:hAnsi="宋体"/>
      <w:kern w:val="0"/>
      <w:sz w:val="24"/>
    </w:rPr>
  </w:style>
  <w:style w:type="character" w:customStyle="1" w:styleId="115">
    <w:name w:val="标题 3 Char1"/>
    <w:qFormat/>
    <w:uiPriority w:val="0"/>
    <w:rPr>
      <w:rFonts w:ascii="Arial" w:hAnsi="Arial"/>
      <w:b/>
      <w:bCs/>
      <w:kern w:val="2"/>
      <w:sz w:val="21"/>
      <w:szCs w:val="21"/>
    </w:rPr>
  </w:style>
  <w:style w:type="paragraph" w:customStyle="1" w:styleId="116">
    <w:name w:val="样式 首行缩进:  0.85 厘米"/>
    <w:basedOn w:val="1"/>
    <w:semiHidden/>
    <w:qFormat/>
    <w:uiPriority w:val="0"/>
    <w:pPr>
      <w:spacing w:line="360" w:lineRule="auto"/>
      <w:ind w:firstLine="482"/>
    </w:pPr>
    <w:rPr>
      <w:rFonts w:cs="宋体"/>
      <w:sz w:val="24"/>
      <w:szCs w:val="20"/>
    </w:rPr>
  </w:style>
  <w:style w:type="paragraph" w:customStyle="1" w:styleId="117">
    <w:name w:val="正文缩进1"/>
    <w:basedOn w:val="1"/>
    <w:semiHidden/>
    <w:qFormat/>
    <w:uiPriority w:val="0"/>
    <w:pPr>
      <w:ind w:firstLine="480"/>
    </w:pPr>
    <w:rPr>
      <w:rFonts w:cs="宋体"/>
      <w:sz w:val="24"/>
      <w:szCs w:val="20"/>
    </w:rPr>
  </w:style>
  <w:style w:type="paragraph" w:customStyle="1" w:styleId="118">
    <w:name w:val="样式5"/>
    <w:basedOn w:val="5"/>
    <w:qFormat/>
    <w:uiPriority w:val="0"/>
    <w:rPr>
      <w:rFonts w:ascii="宋体" w:hAnsi="宋体" w:eastAsia="宋体"/>
      <w:b w:val="0"/>
      <w:sz w:val="24"/>
    </w:rPr>
  </w:style>
  <w:style w:type="paragraph" w:customStyle="1" w:styleId="11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样式 标题 2 + 非加粗"/>
    <w:basedOn w:val="3"/>
    <w:qFormat/>
    <w:uiPriority w:val="0"/>
    <w:pPr>
      <w:keepLines w:val="0"/>
      <w:tabs>
        <w:tab w:val="left" w:pos="840"/>
      </w:tabs>
      <w:spacing w:before="0" w:after="0" w:line="360" w:lineRule="auto"/>
      <w:ind w:left="840" w:hanging="420"/>
    </w:pPr>
    <w:rPr>
      <w:rFonts w:ascii="宋体" w:hAnsi="宋体" w:eastAsia="宋体"/>
      <w:szCs w:val="24"/>
    </w:rPr>
  </w:style>
  <w:style w:type="paragraph" w:customStyle="1" w:styleId="121">
    <w:name w:val="内容文本"/>
    <w:basedOn w:val="96"/>
    <w:link w:val="122"/>
    <w:qFormat/>
    <w:uiPriority w:val="0"/>
    <w:pPr>
      <w:spacing w:line="360" w:lineRule="auto"/>
      <w:ind w:firstLine="200"/>
      <w:contextualSpacing/>
      <w:jc w:val="left"/>
    </w:pPr>
    <w:rPr>
      <w:rFonts w:ascii="宋体" w:hAnsi="宋体"/>
      <w:sz w:val="24"/>
      <w:lang w:eastAsia="en-US" w:bidi="en-US"/>
    </w:rPr>
  </w:style>
  <w:style w:type="character" w:customStyle="1" w:styleId="122">
    <w:name w:val="内容文本 Char"/>
    <w:link w:val="121"/>
    <w:qFormat/>
    <w:uiPriority w:val="0"/>
    <w:rPr>
      <w:rFonts w:ascii="宋体" w:hAnsi="宋体" w:eastAsia="宋体" w:cs="Times New Roman"/>
      <w:kern w:val="0"/>
      <w:sz w:val="24"/>
      <w:szCs w:val="24"/>
      <w:lang w:eastAsia="en-US" w:bidi="en-US"/>
    </w:rPr>
  </w:style>
  <w:style w:type="paragraph" w:customStyle="1" w:styleId="123">
    <w:name w:val="GP正文(无首行缩进)"/>
    <w:basedOn w:val="1"/>
    <w:qFormat/>
    <w:uiPriority w:val="0"/>
    <w:pPr>
      <w:spacing w:line="360" w:lineRule="auto"/>
      <w:ind w:firstLine="480" w:firstLineChars="200"/>
      <w:jc w:val="left"/>
    </w:pPr>
    <w:rPr>
      <w:rFonts w:hAnsi="宋体"/>
      <w:sz w:val="24"/>
    </w:rPr>
  </w:style>
  <w:style w:type="character" w:customStyle="1" w:styleId="124">
    <w:name w:val="标准正文 Char Char"/>
    <w:link w:val="125"/>
    <w:qFormat/>
    <w:uiPriority w:val="0"/>
    <w:rPr>
      <w:sz w:val="24"/>
    </w:rPr>
  </w:style>
  <w:style w:type="paragraph" w:customStyle="1" w:styleId="125">
    <w:name w:val="标准正文"/>
    <w:basedOn w:val="19"/>
    <w:link w:val="124"/>
    <w:qFormat/>
    <w:uiPriority w:val="0"/>
    <w:pPr>
      <w:spacing w:before="60" w:after="60" w:line="360" w:lineRule="auto"/>
      <w:ind w:left="0" w:leftChars="0" w:firstLine="482" w:firstLineChars="200"/>
    </w:pPr>
    <w:rPr>
      <w:rFonts w:ascii="Calibri" w:hAnsi="Calibri"/>
      <w:kern w:val="0"/>
      <w:sz w:val="24"/>
      <w:szCs w:val="20"/>
    </w:rPr>
  </w:style>
  <w:style w:type="paragraph" w:customStyle="1" w:styleId="126">
    <w:name w:val="*正文"/>
    <w:basedOn w:val="1"/>
    <w:link w:val="127"/>
    <w:qFormat/>
    <w:uiPriority w:val="0"/>
    <w:pPr>
      <w:spacing w:line="360" w:lineRule="auto"/>
      <w:ind w:firstLine="200" w:firstLineChars="200"/>
    </w:pPr>
    <w:rPr>
      <w:rFonts w:ascii="宋体" w:hAnsi="宋体"/>
      <w:kern w:val="0"/>
      <w:sz w:val="22"/>
    </w:rPr>
  </w:style>
  <w:style w:type="character" w:customStyle="1" w:styleId="127">
    <w:name w:val="*正文 Char"/>
    <w:link w:val="126"/>
    <w:qFormat/>
    <w:uiPriority w:val="0"/>
    <w:rPr>
      <w:rFonts w:ascii="宋体" w:hAnsi="宋体" w:eastAsia="宋体" w:cs="Times New Roman"/>
      <w:sz w:val="22"/>
      <w:szCs w:val="24"/>
    </w:rPr>
  </w:style>
  <w:style w:type="paragraph" w:customStyle="1" w:styleId="128">
    <w:name w:val="标题1"/>
    <w:basedOn w:val="1"/>
    <w:link w:val="129"/>
    <w:qFormat/>
    <w:uiPriority w:val="0"/>
    <w:pPr>
      <w:numPr>
        <w:ilvl w:val="0"/>
        <w:numId w:val="3"/>
      </w:numPr>
      <w:spacing w:line="360" w:lineRule="auto"/>
      <w:jc w:val="center"/>
      <w:outlineLvl w:val="0"/>
    </w:pPr>
    <w:rPr>
      <w:b/>
      <w:bCs/>
      <w:kern w:val="44"/>
      <w:sz w:val="44"/>
      <w:szCs w:val="44"/>
    </w:rPr>
  </w:style>
  <w:style w:type="character" w:customStyle="1" w:styleId="129">
    <w:name w:val="标题1 Char"/>
    <w:link w:val="128"/>
    <w:qFormat/>
    <w:uiPriority w:val="0"/>
    <w:rPr>
      <w:rFonts w:ascii="Times New Roman" w:hAnsi="Times New Roman" w:eastAsia="宋体" w:cs="Times New Roman"/>
      <w:b/>
      <w:bCs/>
      <w:kern w:val="44"/>
      <w:sz w:val="44"/>
      <w:szCs w:val="44"/>
    </w:rPr>
  </w:style>
  <w:style w:type="paragraph" w:customStyle="1" w:styleId="130">
    <w:name w:val="标题2"/>
    <w:link w:val="131"/>
    <w:qFormat/>
    <w:uiPriority w:val="0"/>
    <w:pPr>
      <w:numPr>
        <w:ilvl w:val="1"/>
        <w:numId w:val="3"/>
      </w:numPr>
      <w:outlineLvl w:val="1"/>
    </w:pPr>
    <w:rPr>
      <w:rFonts w:ascii="Times New Roman" w:hAnsi="Times New Roman" w:eastAsia="宋体" w:cs="Times New Roman"/>
      <w:b/>
      <w:bCs/>
      <w:kern w:val="44"/>
      <w:sz w:val="30"/>
      <w:szCs w:val="44"/>
      <w:lang w:val="en-US" w:eastAsia="zh-CN" w:bidi="ar-SA"/>
    </w:rPr>
  </w:style>
  <w:style w:type="character" w:customStyle="1" w:styleId="131">
    <w:name w:val="标题2 Char"/>
    <w:link w:val="130"/>
    <w:qFormat/>
    <w:uiPriority w:val="0"/>
    <w:rPr>
      <w:rFonts w:ascii="Times New Roman" w:hAnsi="Times New Roman"/>
      <w:b/>
      <w:bCs/>
      <w:kern w:val="44"/>
      <w:sz w:val="30"/>
      <w:szCs w:val="44"/>
      <w:lang w:bidi="ar-SA"/>
    </w:rPr>
  </w:style>
  <w:style w:type="paragraph" w:customStyle="1" w:styleId="132">
    <w:name w:val="标题3"/>
    <w:link w:val="133"/>
    <w:qFormat/>
    <w:uiPriority w:val="0"/>
    <w:pPr>
      <w:numPr>
        <w:ilvl w:val="2"/>
        <w:numId w:val="3"/>
      </w:numPr>
      <w:spacing w:line="360" w:lineRule="auto"/>
      <w:outlineLvl w:val="2"/>
    </w:pPr>
    <w:rPr>
      <w:rFonts w:ascii="Times New Roman" w:hAnsi="Times New Roman" w:eastAsia="宋体" w:cs="Times New Roman"/>
      <w:b/>
      <w:kern w:val="44"/>
      <w:sz w:val="28"/>
      <w:szCs w:val="44"/>
      <w:lang w:val="en-US" w:eastAsia="zh-CN" w:bidi="ar-SA"/>
    </w:rPr>
  </w:style>
  <w:style w:type="character" w:customStyle="1" w:styleId="133">
    <w:name w:val="标题3 Char"/>
    <w:link w:val="132"/>
    <w:qFormat/>
    <w:uiPriority w:val="0"/>
    <w:rPr>
      <w:rFonts w:ascii="Times New Roman" w:hAnsi="Times New Roman"/>
      <w:b/>
      <w:kern w:val="44"/>
      <w:sz w:val="28"/>
      <w:szCs w:val="44"/>
      <w:lang w:bidi="ar-SA"/>
    </w:rPr>
  </w:style>
  <w:style w:type="paragraph" w:customStyle="1" w:styleId="134">
    <w:name w:val="样式 标题 4H4Ref Heading 1rh1Heading sqlsect 1.2.3.4h4First S..."/>
    <w:basedOn w:val="5"/>
    <w:qFormat/>
    <w:uiPriority w:val="0"/>
    <w:pPr>
      <w:tabs>
        <w:tab w:val="left" w:pos="1680"/>
      </w:tabs>
      <w:spacing w:before="0" w:after="0" w:line="360" w:lineRule="auto"/>
      <w:ind w:left="1680" w:hanging="420"/>
      <w:jc w:val="left"/>
    </w:pPr>
    <w:rPr>
      <w:rFonts w:ascii="Tahoma" w:hAnsi="Tahoma" w:eastAsia="宋体" w:cs="宋体"/>
      <w:bCs w:val="0"/>
      <w:sz w:val="24"/>
      <w:szCs w:val="20"/>
    </w:rPr>
  </w:style>
  <w:style w:type="paragraph" w:customStyle="1" w:styleId="135">
    <w:name w:val="图例"/>
    <w:basedOn w:val="1"/>
    <w:link w:val="136"/>
    <w:qFormat/>
    <w:uiPriority w:val="0"/>
    <w:pPr>
      <w:numPr>
        <w:ilvl w:val="0"/>
        <w:numId w:val="4"/>
      </w:numPr>
      <w:jc w:val="center"/>
    </w:pPr>
    <w:rPr>
      <w:rFonts w:eastAsia="华文细黑"/>
      <w:kern w:val="0"/>
      <w:sz w:val="20"/>
    </w:rPr>
  </w:style>
  <w:style w:type="character" w:customStyle="1" w:styleId="136">
    <w:name w:val="图例 Char"/>
    <w:link w:val="135"/>
    <w:qFormat/>
    <w:uiPriority w:val="0"/>
    <w:rPr>
      <w:rFonts w:ascii="Times New Roman" w:hAnsi="Times New Roman" w:eastAsia="华文细黑" w:cs="Times New Roman"/>
      <w:szCs w:val="24"/>
    </w:rPr>
  </w:style>
  <w:style w:type="paragraph" w:customStyle="1" w:styleId="137">
    <w:name w:val="样式 首行缩进:  0 字符"/>
    <w:basedOn w:val="1"/>
    <w:qFormat/>
    <w:uiPriority w:val="0"/>
    <w:pPr>
      <w:spacing w:line="360" w:lineRule="auto"/>
      <w:ind w:firstLine="200" w:firstLineChars="200"/>
    </w:pPr>
    <w:rPr>
      <w:rFonts w:ascii="Verdana" w:hAnsi="Verdana" w:cs="宋体"/>
      <w:sz w:val="24"/>
      <w:szCs w:val="20"/>
    </w:rPr>
  </w:style>
  <w:style w:type="paragraph" w:customStyle="1" w:styleId="138">
    <w:name w:val="样式3"/>
    <w:basedOn w:val="1"/>
    <w:link w:val="139"/>
    <w:qFormat/>
    <w:uiPriority w:val="0"/>
    <w:pPr>
      <w:jc w:val="center"/>
    </w:pPr>
    <w:rPr>
      <w:rFonts w:eastAsia="华文细黑"/>
      <w:kern w:val="0"/>
      <w:sz w:val="20"/>
    </w:rPr>
  </w:style>
  <w:style w:type="character" w:customStyle="1" w:styleId="139">
    <w:name w:val="样式3 Char"/>
    <w:link w:val="138"/>
    <w:qFormat/>
    <w:uiPriority w:val="0"/>
    <w:rPr>
      <w:rFonts w:ascii="Times New Roman" w:hAnsi="Times New Roman" w:eastAsia="华文细黑" w:cs="Times New Roman"/>
      <w:szCs w:val="24"/>
    </w:rPr>
  </w:style>
  <w:style w:type="paragraph" w:customStyle="1" w:styleId="140">
    <w:name w:val="Z3"/>
    <w:basedOn w:val="1"/>
    <w:qFormat/>
    <w:uiPriority w:val="0"/>
    <w:pPr>
      <w:numPr>
        <w:ilvl w:val="2"/>
        <w:numId w:val="2"/>
      </w:numPr>
      <w:spacing w:before="360" w:after="180"/>
      <w:ind w:firstLine="0"/>
      <w:outlineLvl w:val="2"/>
    </w:pPr>
    <w:rPr>
      <w:rFonts w:ascii="Tahoma" w:hAnsi="Tahoma" w:eastAsia="幼圆"/>
      <w:caps/>
      <w:sz w:val="28"/>
      <w:szCs w:val="20"/>
    </w:rPr>
  </w:style>
  <w:style w:type="paragraph" w:customStyle="1" w:styleId="141">
    <w:name w:val="样式 样式 首行缩进:  2 字符 + 首行缩进:  2 字符1"/>
    <w:basedOn w:val="1"/>
    <w:qFormat/>
    <w:uiPriority w:val="0"/>
    <w:pPr>
      <w:numPr>
        <w:ilvl w:val="1"/>
        <w:numId w:val="2"/>
      </w:numPr>
      <w:spacing w:beforeLines="50" w:afterLines="50" w:line="520" w:lineRule="exact"/>
      <w:ind w:left="0" w:firstLine="560" w:firstLineChars="200"/>
    </w:pPr>
    <w:rPr>
      <w:rFonts w:ascii="黑体" w:eastAsia="仿宋_GB2312" w:cs="宋体"/>
      <w:sz w:val="28"/>
      <w:szCs w:val="20"/>
    </w:rPr>
  </w:style>
  <w:style w:type="paragraph" w:customStyle="1" w:styleId="142">
    <w:name w:val="GP正文(首行缩进)"/>
    <w:basedOn w:val="1"/>
    <w:qFormat/>
    <w:uiPriority w:val="0"/>
    <w:pPr>
      <w:spacing w:line="360" w:lineRule="auto"/>
      <w:ind w:firstLine="200" w:firstLineChars="200"/>
      <w:jc w:val="left"/>
    </w:pPr>
    <w:rPr>
      <w:sz w:val="24"/>
      <w:szCs w:val="21"/>
    </w:rPr>
  </w:style>
  <w:style w:type="paragraph" w:customStyle="1" w:styleId="143">
    <w:name w:val="标题一a"/>
    <w:basedOn w:val="1"/>
    <w:qFormat/>
    <w:uiPriority w:val="0"/>
    <w:pPr>
      <w:numPr>
        <w:ilvl w:val="0"/>
        <w:numId w:val="5"/>
      </w:numPr>
      <w:spacing w:line="360" w:lineRule="auto"/>
      <w:ind w:firstLine="200" w:firstLineChars="200"/>
    </w:pPr>
    <w:rPr>
      <w:sz w:val="24"/>
      <w:szCs w:val="22"/>
    </w:rPr>
  </w:style>
  <w:style w:type="paragraph" w:customStyle="1" w:styleId="144">
    <w:name w:val="编号，小四"/>
    <w:basedOn w:val="1"/>
    <w:link w:val="145"/>
    <w:qFormat/>
    <w:uiPriority w:val="0"/>
    <w:pPr>
      <w:numPr>
        <w:ilvl w:val="0"/>
        <w:numId w:val="6"/>
      </w:numPr>
      <w:spacing w:line="360" w:lineRule="auto"/>
    </w:pPr>
    <w:rPr>
      <w:rFonts w:ascii="Verdana" w:hAnsi="Verdana"/>
      <w:kern w:val="0"/>
      <w:sz w:val="24"/>
      <w:szCs w:val="20"/>
    </w:rPr>
  </w:style>
  <w:style w:type="character" w:customStyle="1" w:styleId="145">
    <w:name w:val="编号，小四 Char"/>
    <w:link w:val="144"/>
    <w:qFormat/>
    <w:uiPriority w:val="0"/>
    <w:rPr>
      <w:rFonts w:ascii="Verdana" w:hAnsi="Verdana" w:eastAsia="宋体" w:cs="Times New Roman"/>
      <w:sz w:val="24"/>
      <w:szCs w:val="20"/>
    </w:rPr>
  </w:style>
  <w:style w:type="paragraph" w:customStyle="1" w:styleId="146">
    <w:name w:val="编号，四号"/>
    <w:basedOn w:val="144"/>
    <w:qFormat/>
    <w:uiPriority w:val="0"/>
    <w:pPr>
      <w:numPr>
        <w:ilvl w:val="0"/>
        <w:numId w:val="7"/>
      </w:numPr>
      <w:ind w:left="0" w:firstLine="0"/>
    </w:pPr>
    <w:rPr>
      <w:sz w:val="28"/>
    </w:rPr>
  </w:style>
  <w:style w:type="table" w:customStyle="1" w:styleId="147">
    <w:name w:val="网格型1"/>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8">
    <w:name w:val="表格表头"/>
    <w:basedOn w:val="1"/>
    <w:qFormat/>
    <w:uiPriority w:val="0"/>
    <w:pPr>
      <w:spacing w:line="360" w:lineRule="auto"/>
      <w:jc w:val="center"/>
      <w:outlineLvl w:val="0"/>
    </w:pPr>
    <w:rPr>
      <w:rFonts w:ascii="宋体" w:hAnsi="宋体" w:eastAsia="黑体" w:cs="宋体"/>
      <w:sz w:val="24"/>
      <w:szCs w:val="21"/>
    </w:rPr>
  </w:style>
  <w:style w:type="paragraph" w:customStyle="1" w:styleId="149">
    <w:name w:val="表格正文"/>
    <w:basedOn w:val="1"/>
    <w:qFormat/>
    <w:uiPriority w:val="0"/>
    <w:pPr>
      <w:spacing w:line="360" w:lineRule="auto"/>
      <w:jc w:val="left"/>
    </w:pPr>
    <w:rPr>
      <w:rFonts w:ascii="Verdana" w:hAnsi="Verdana" w:cs="宋体"/>
      <w:szCs w:val="28"/>
    </w:rPr>
  </w:style>
  <w:style w:type="paragraph" w:customStyle="1" w:styleId="150">
    <w:name w:val="Default"/>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character" w:customStyle="1" w:styleId="151">
    <w:name w:val="已访问的超链接1"/>
    <w:unhideWhenUsed/>
    <w:qFormat/>
    <w:uiPriority w:val="0"/>
    <w:rPr>
      <w:color w:val="800080"/>
      <w:u w:val="single"/>
    </w:rPr>
  </w:style>
  <w:style w:type="paragraph" w:customStyle="1" w:styleId="15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5">
    <w:name w:val="xl6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xl6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xl66"/>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15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5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0">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61">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162">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63">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6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16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8">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69">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170">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4"/>
    </w:rPr>
  </w:style>
  <w:style w:type="paragraph" w:customStyle="1" w:styleId="17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7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 w:val="24"/>
    </w:rPr>
  </w:style>
  <w:style w:type="paragraph" w:customStyle="1" w:styleId="17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17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76">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17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4"/>
    </w:rPr>
  </w:style>
  <w:style w:type="paragraph" w:customStyle="1" w:styleId="17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7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8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8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18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8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18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18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b/>
      <w:bCs/>
      <w:kern w:val="0"/>
      <w:sz w:val="24"/>
    </w:rPr>
  </w:style>
  <w:style w:type="paragraph" w:customStyle="1" w:styleId="18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b/>
      <w:bCs/>
      <w:kern w:val="0"/>
      <w:sz w:val="24"/>
    </w:rPr>
  </w:style>
  <w:style w:type="paragraph" w:customStyle="1" w:styleId="18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b/>
      <w:bCs/>
      <w:kern w:val="0"/>
      <w:sz w:val="24"/>
    </w:rPr>
  </w:style>
  <w:style w:type="paragraph" w:customStyle="1" w:styleId="18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8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19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4"/>
    </w:rPr>
  </w:style>
  <w:style w:type="paragraph" w:customStyle="1" w:styleId="191">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92">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rPr>
  </w:style>
  <w:style w:type="paragraph" w:customStyle="1" w:styleId="193">
    <w:name w:val="xl10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rPr>
  </w:style>
  <w:style w:type="paragraph" w:customStyle="1" w:styleId="194">
    <w:name w:val="xl10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95">
    <w:name w:val="xl10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196">
    <w:name w:val="xl105"/>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197">
    <w:name w:val="xl10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198">
    <w:name w:val="表格样式居左"/>
    <w:link w:val="199"/>
    <w:qFormat/>
    <w:uiPriority w:val="0"/>
    <w:pPr>
      <w:adjustRightInd w:val="0"/>
      <w:snapToGrid w:val="0"/>
      <w:spacing w:line="360" w:lineRule="exact"/>
    </w:pPr>
    <w:rPr>
      <w:rFonts w:ascii="Times New Roman" w:hAnsi="Times New Roman" w:eastAsia="仿宋_GB2312" w:cs="Times New Roman"/>
      <w:bCs/>
      <w:color w:val="000000"/>
      <w:szCs w:val="44"/>
      <w:lang w:val="en-US" w:eastAsia="zh-CN" w:bidi="ar-SA"/>
    </w:rPr>
  </w:style>
  <w:style w:type="character" w:customStyle="1" w:styleId="199">
    <w:name w:val="表格样式居左 Char"/>
    <w:link w:val="198"/>
    <w:qFormat/>
    <w:uiPriority w:val="0"/>
    <w:rPr>
      <w:rFonts w:ascii="Times New Roman" w:hAnsi="Times New Roman" w:eastAsia="仿宋_GB2312"/>
      <w:bCs/>
      <w:color w:val="000000"/>
      <w:szCs w:val="44"/>
      <w:lang w:bidi="ar-SA"/>
    </w:rPr>
  </w:style>
  <w:style w:type="paragraph" w:customStyle="1" w:styleId="200">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01">
    <w:name w:val="1册标题1"/>
    <w:basedOn w:val="1"/>
    <w:next w:val="1"/>
    <w:qFormat/>
    <w:uiPriority w:val="0"/>
    <w:pPr>
      <w:spacing w:beforeLines="50" w:afterLines="50" w:line="300" w:lineRule="auto"/>
      <w:jc w:val="center"/>
      <w:outlineLvl w:val="0"/>
    </w:pPr>
    <w:rPr>
      <w:rFonts w:ascii="Arial" w:hAnsi="Arial" w:eastAsia="黑体"/>
      <w:b/>
      <w:bCs/>
      <w:sz w:val="48"/>
      <w:szCs w:val="20"/>
    </w:rPr>
  </w:style>
  <w:style w:type="paragraph" w:customStyle="1" w:styleId="202">
    <w:name w:val="样式41"/>
    <w:basedOn w:val="1"/>
    <w:qFormat/>
    <w:uiPriority w:val="0"/>
    <w:pPr>
      <w:tabs>
        <w:tab w:val="left" w:pos="945"/>
        <w:tab w:val="left" w:pos="1080"/>
      </w:tabs>
      <w:spacing w:line="360" w:lineRule="auto"/>
      <w:ind w:left="1080" w:hanging="720"/>
    </w:pPr>
    <w:rPr>
      <w:b/>
      <w:color w:val="000000"/>
      <w:sz w:val="24"/>
      <w:szCs w:val="20"/>
    </w:rPr>
  </w:style>
  <w:style w:type="paragraph" w:customStyle="1" w:styleId="20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204">
    <w:name w:val="自定义正文"/>
    <w:basedOn w:val="1"/>
    <w:qFormat/>
    <w:uiPriority w:val="0"/>
    <w:pPr>
      <w:spacing w:afterLines="50"/>
      <w:ind w:left="600" w:leftChars="600"/>
    </w:pPr>
  </w:style>
  <w:style w:type="paragraph" w:customStyle="1" w:styleId="205">
    <w:name w:val="Char Char Char Char Char"/>
    <w:basedOn w:val="1"/>
    <w:qFormat/>
    <w:uiPriority w:val="0"/>
    <w:rPr>
      <w:rFonts w:ascii="Tahoma" w:hAnsi="Tahoma"/>
      <w:sz w:val="24"/>
      <w:szCs w:val="20"/>
    </w:rPr>
  </w:style>
  <w:style w:type="paragraph" w:customStyle="1" w:styleId="20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07">
    <w:name w:val="Char Char"/>
    <w:basedOn w:val="1"/>
    <w:qFormat/>
    <w:uiPriority w:val="0"/>
    <w:rPr>
      <w:rFonts w:ascii="Tahoma" w:hAnsi="Tahoma"/>
      <w:sz w:val="24"/>
      <w:szCs w:val="20"/>
    </w:rPr>
  </w:style>
  <w:style w:type="paragraph" w:customStyle="1" w:styleId="208">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0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0">
    <w:name w:val="RFI text from 3rd Level"/>
    <w:basedOn w:val="1"/>
    <w:qFormat/>
    <w:uiPriority w:val="0"/>
    <w:pPr>
      <w:widowControl/>
      <w:numPr>
        <w:ilvl w:val="0"/>
        <w:numId w:val="8"/>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211">
    <w:name w:val="正文文字缩进项目"/>
    <w:basedOn w:val="19"/>
    <w:qFormat/>
    <w:uiPriority w:val="0"/>
    <w:pPr>
      <w:numPr>
        <w:ilvl w:val="1"/>
        <w:numId w:val="8"/>
      </w:numPr>
      <w:tabs>
        <w:tab w:val="left" w:pos="840"/>
        <w:tab w:val="clear" w:pos="1260"/>
      </w:tabs>
      <w:ind w:left="840" w:leftChars="0"/>
    </w:pPr>
    <w:rPr>
      <w:rFonts w:ascii="Tahoma" w:hAnsi="Tahoma"/>
      <w:sz w:val="22"/>
      <w:szCs w:val="20"/>
    </w:rPr>
  </w:style>
  <w:style w:type="character" w:customStyle="1" w:styleId="212">
    <w:name w:val="H4 Char2"/>
    <w:qFormat/>
    <w:uiPriority w:val="0"/>
    <w:rPr>
      <w:rFonts w:ascii="Arial" w:hAnsi="Arial" w:eastAsia="黑体"/>
      <w:b/>
      <w:bCs/>
      <w:kern w:val="2"/>
      <w:sz w:val="28"/>
      <w:szCs w:val="28"/>
      <w:lang w:val="en-US" w:eastAsia="zh-CN" w:bidi="ar-SA"/>
    </w:rPr>
  </w:style>
  <w:style w:type="character" w:customStyle="1" w:styleId="213">
    <w:name w:val="正文文字首行缩进 Char"/>
    <w:qFormat/>
    <w:uiPriority w:val="0"/>
    <w:rPr>
      <w:kern w:val="2"/>
      <w:sz w:val="21"/>
      <w:szCs w:val="24"/>
    </w:rPr>
  </w:style>
  <w:style w:type="character" w:customStyle="1" w:styleId="214">
    <w:name w:val="正文文本 Char1"/>
    <w:qFormat/>
    <w:uiPriority w:val="0"/>
    <w:rPr>
      <w:rFonts w:eastAsia="宋体"/>
      <w:b/>
      <w:bCs/>
      <w:kern w:val="2"/>
      <w:sz w:val="24"/>
      <w:szCs w:val="24"/>
      <w:lang w:val="en-US" w:eastAsia="zh-CN" w:bidi="ar-SA"/>
    </w:rPr>
  </w:style>
  <w:style w:type="character" w:customStyle="1" w:styleId="215">
    <w:name w:val="标题 3 Char Char"/>
    <w:qFormat/>
    <w:uiPriority w:val="0"/>
    <w:rPr>
      <w:rFonts w:eastAsia="宋体"/>
      <w:b/>
      <w:bCs/>
      <w:kern w:val="2"/>
      <w:sz w:val="32"/>
      <w:szCs w:val="32"/>
      <w:lang w:val="en-US" w:eastAsia="zh-CN" w:bidi="ar-SA"/>
    </w:rPr>
  </w:style>
  <w:style w:type="paragraph" w:customStyle="1" w:styleId="216">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17">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218">
    <w:name w:val="--规划正文"/>
    <w:basedOn w:val="1"/>
    <w:qFormat/>
    <w:uiPriority w:val="0"/>
    <w:pPr>
      <w:spacing w:line="360" w:lineRule="auto"/>
      <w:ind w:firstLine="200" w:firstLineChars="200"/>
    </w:pPr>
    <w:rPr>
      <w:szCs w:val="20"/>
    </w:rPr>
  </w:style>
  <w:style w:type="paragraph" w:customStyle="1" w:styleId="219">
    <w:name w:val="设计依据"/>
    <w:basedOn w:val="13"/>
    <w:qFormat/>
    <w:uiPriority w:val="0"/>
    <w:pPr>
      <w:numPr>
        <w:ilvl w:val="1"/>
        <w:numId w:val="9"/>
      </w:numPr>
      <w:tabs>
        <w:tab w:val="left" w:pos="1440"/>
        <w:tab w:val="clear" w:pos="840"/>
      </w:tabs>
      <w:adjustRightInd w:val="0"/>
      <w:spacing w:after="0" w:line="360" w:lineRule="auto"/>
      <w:ind w:left="1440"/>
      <w:textAlignment w:val="baseline"/>
    </w:pPr>
    <w:rPr>
      <w:rFonts w:ascii="宋体" w:hAnsi="宋体"/>
      <w:bCs/>
      <w:kern w:val="0"/>
      <w:sz w:val="28"/>
      <w:szCs w:val="18"/>
    </w:rPr>
  </w:style>
  <w:style w:type="paragraph" w:customStyle="1" w:styleId="220">
    <w:name w:val="方案要点"/>
    <w:basedOn w:val="1"/>
    <w:qFormat/>
    <w:uiPriority w:val="0"/>
    <w:pPr>
      <w:numPr>
        <w:ilvl w:val="0"/>
        <w:numId w:val="9"/>
      </w:numPr>
      <w:spacing w:line="360" w:lineRule="auto"/>
    </w:pPr>
    <w:rPr>
      <w:rFonts w:ascii="仿宋_GB2312" w:hAnsi="宋体" w:eastAsia="仿宋_GB2312"/>
      <w:color w:val="000000"/>
      <w:sz w:val="28"/>
      <w:szCs w:val="28"/>
    </w:rPr>
  </w:style>
  <w:style w:type="paragraph" w:customStyle="1" w:styleId="221">
    <w:name w:val="样式4"/>
    <w:basedOn w:val="1"/>
    <w:qFormat/>
    <w:uiPriority w:val="0"/>
    <w:pPr>
      <w:tabs>
        <w:tab w:val="left" w:pos="842"/>
      </w:tabs>
      <w:spacing w:line="360" w:lineRule="auto"/>
      <w:ind w:left="842" w:hanging="420"/>
    </w:pPr>
    <w:rPr>
      <w:sz w:val="24"/>
    </w:rPr>
  </w:style>
  <w:style w:type="paragraph" w:customStyle="1" w:styleId="222">
    <w:name w:val="文字"/>
    <w:basedOn w:val="1"/>
    <w:qFormat/>
    <w:uiPriority w:val="0"/>
    <w:pPr>
      <w:tabs>
        <w:tab w:val="left" w:pos="8520"/>
      </w:tabs>
      <w:spacing w:line="312" w:lineRule="auto"/>
      <w:ind w:right="-210" w:firstLine="556"/>
    </w:pPr>
    <w:rPr>
      <w:rFonts w:ascii="宋体"/>
      <w:sz w:val="28"/>
      <w:szCs w:val="20"/>
    </w:rPr>
  </w:style>
  <w:style w:type="paragraph" w:customStyle="1" w:styleId="223">
    <w:name w:val="--规划-表格-居左"/>
    <w:basedOn w:val="218"/>
    <w:qFormat/>
    <w:uiPriority w:val="0"/>
    <w:pPr>
      <w:spacing w:line="240" w:lineRule="auto"/>
      <w:ind w:firstLine="0" w:firstLineChars="0"/>
    </w:pPr>
    <w:rPr>
      <w:sz w:val="20"/>
    </w:rPr>
  </w:style>
  <w:style w:type="paragraph" w:customStyle="1" w:styleId="224">
    <w:name w:val="--规划-表格-居中"/>
    <w:basedOn w:val="218"/>
    <w:qFormat/>
    <w:uiPriority w:val="0"/>
    <w:pPr>
      <w:spacing w:line="240" w:lineRule="auto"/>
      <w:ind w:firstLine="0" w:firstLineChars="0"/>
      <w:jc w:val="center"/>
    </w:pPr>
    <w:rPr>
      <w:sz w:val="20"/>
    </w:rPr>
  </w:style>
  <w:style w:type="paragraph" w:customStyle="1" w:styleId="225">
    <w:name w:val="--编号内缩进"/>
    <w:basedOn w:val="1"/>
    <w:qFormat/>
    <w:uiPriority w:val="0"/>
    <w:pPr>
      <w:spacing w:line="360" w:lineRule="auto"/>
      <w:ind w:left="420" w:firstLine="200" w:firstLineChars="200"/>
    </w:pPr>
    <w:rPr>
      <w:szCs w:val="21"/>
    </w:rPr>
  </w:style>
  <w:style w:type="paragraph" w:customStyle="1" w:styleId="226">
    <w:name w:val="--规划-题注"/>
    <w:basedOn w:val="1"/>
    <w:next w:val="218"/>
    <w:qFormat/>
    <w:uiPriority w:val="0"/>
    <w:pPr>
      <w:spacing w:line="360" w:lineRule="auto"/>
      <w:jc w:val="center"/>
    </w:pPr>
    <w:rPr>
      <w:rFonts w:eastAsia="黑体"/>
    </w:rPr>
  </w:style>
  <w:style w:type="paragraph" w:customStyle="1" w:styleId="227">
    <w:name w:val="--规划-图和表"/>
    <w:next w:val="218"/>
    <w:qFormat/>
    <w:uiPriority w:val="0"/>
    <w:pPr>
      <w:jc w:val="center"/>
    </w:pPr>
    <w:rPr>
      <w:rFonts w:ascii="Times New Roman" w:hAnsi="Times New Roman" w:eastAsia="宋体" w:cs="Times New Roman"/>
      <w:kern w:val="2"/>
      <w:sz w:val="21"/>
      <w:lang w:val="en-US" w:eastAsia="zh-CN" w:bidi="ar-SA"/>
    </w:rPr>
  </w:style>
  <w:style w:type="paragraph" w:customStyle="1" w:styleId="228">
    <w:name w:val="--规划-小标题"/>
    <w:basedOn w:val="1"/>
    <w:next w:val="218"/>
    <w:qFormat/>
    <w:uiPriority w:val="0"/>
    <w:pPr>
      <w:keepNext/>
      <w:keepLines/>
      <w:spacing w:line="360" w:lineRule="auto"/>
      <w:outlineLvl w:val="4"/>
    </w:pPr>
    <w:rPr>
      <w:rFonts w:eastAsia="黑体"/>
    </w:rPr>
  </w:style>
  <w:style w:type="paragraph" w:customStyle="1" w:styleId="229">
    <w:name w:val="--规划正文 Char"/>
    <w:basedOn w:val="1"/>
    <w:qFormat/>
    <w:uiPriority w:val="0"/>
    <w:pPr>
      <w:spacing w:line="360" w:lineRule="auto"/>
      <w:ind w:firstLine="200" w:firstLineChars="200"/>
    </w:pPr>
    <w:rPr>
      <w:sz w:val="24"/>
    </w:rPr>
  </w:style>
  <w:style w:type="paragraph" w:customStyle="1" w:styleId="230">
    <w:name w:val="缺省文本"/>
    <w:basedOn w:val="1"/>
    <w:qFormat/>
    <w:uiPriority w:val="0"/>
    <w:pPr>
      <w:autoSpaceDE w:val="0"/>
      <w:autoSpaceDN w:val="0"/>
      <w:adjustRightInd w:val="0"/>
      <w:jc w:val="left"/>
    </w:pPr>
    <w:rPr>
      <w:kern w:val="0"/>
    </w:rPr>
  </w:style>
  <w:style w:type="paragraph" w:customStyle="1" w:styleId="231">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232">
    <w:name w:val="--规划正文 Char Char"/>
    <w:qFormat/>
    <w:uiPriority w:val="0"/>
    <w:rPr>
      <w:rFonts w:eastAsia="宋体"/>
      <w:kern w:val="2"/>
      <w:sz w:val="24"/>
      <w:szCs w:val="24"/>
      <w:lang w:val="en-US" w:eastAsia="zh-CN" w:bidi="ar-SA"/>
    </w:rPr>
  </w:style>
  <w:style w:type="character" w:customStyle="1" w:styleId="233">
    <w:name w:val="--规划正文 Char1"/>
    <w:qFormat/>
    <w:uiPriority w:val="0"/>
    <w:rPr>
      <w:rFonts w:eastAsia="宋体"/>
      <w:kern w:val="2"/>
      <w:sz w:val="21"/>
      <w:lang w:val="en-US" w:eastAsia="zh-CN" w:bidi="ar-SA"/>
    </w:rPr>
  </w:style>
  <w:style w:type="paragraph" w:customStyle="1" w:styleId="234">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235">
    <w:name w:val="列表项目"/>
    <w:basedOn w:val="1"/>
    <w:qFormat/>
    <w:uiPriority w:val="0"/>
    <w:pPr>
      <w:tabs>
        <w:tab w:val="left" w:pos="420"/>
        <w:tab w:val="left" w:pos="1080"/>
      </w:tabs>
      <w:spacing w:line="288" w:lineRule="auto"/>
      <w:ind w:left="1080" w:hanging="360"/>
    </w:pPr>
    <w:rPr>
      <w:sz w:val="24"/>
      <w:szCs w:val="20"/>
    </w:rPr>
  </w:style>
  <w:style w:type="character" w:customStyle="1" w:styleId="236">
    <w:name w:val="content1"/>
    <w:qFormat/>
    <w:uiPriority w:val="0"/>
    <w:rPr>
      <w:rFonts w:hint="default" w:ascii="??" w:hAnsi="??"/>
      <w:sz w:val="16"/>
      <w:szCs w:val="16"/>
      <w:u w:val="none"/>
    </w:rPr>
  </w:style>
  <w:style w:type="character" w:customStyle="1" w:styleId="237">
    <w:name w:val="unnamed4"/>
    <w:basedOn w:val="45"/>
    <w:qFormat/>
    <w:uiPriority w:val="0"/>
  </w:style>
  <w:style w:type="character" w:customStyle="1" w:styleId="238">
    <w:name w:val="font2"/>
    <w:basedOn w:val="45"/>
    <w:qFormat/>
    <w:uiPriority w:val="0"/>
  </w:style>
  <w:style w:type="character" w:customStyle="1" w:styleId="239">
    <w:name w:val="font41"/>
    <w:qFormat/>
    <w:uiPriority w:val="0"/>
    <w:rPr>
      <w:color w:val="000000"/>
      <w:sz w:val="18"/>
      <w:szCs w:val="18"/>
      <w:u w:val="none"/>
    </w:rPr>
  </w:style>
  <w:style w:type="paragraph" w:customStyle="1" w:styleId="240">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241">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242">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243">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244">
    <w:name w:val="mode"/>
    <w:basedOn w:val="45"/>
    <w:qFormat/>
    <w:uiPriority w:val="0"/>
  </w:style>
  <w:style w:type="character" w:customStyle="1" w:styleId="245">
    <w:name w:val="unnamed3"/>
    <w:basedOn w:val="45"/>
    <w:qFormat/>
    <w:uiPriority w:val="0"/>
  </w:style>
  <w:style w:type="paragraph" w:customStyle="1" w:styleId="246">
    <w:name w:val="8"/>
    <w:basedOn w:val="1"/>
    <w:next w:val="19"/>
    <w:qFormat/>
    <w:uiPriority w:val="0"/>
    <w:pPr>
      <w:spacing w:after="120"/>
      <w:ind w:left="420" w:leftChars="200"/>
    </w:pPr>
  </w:style>
  <w:style w:type="paragraph" w:customStyle="1" w:styleId="247">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248">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24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250">
    <w:name w:val="姜文清定义的正文"/>
    <w:basedOn w:val="1"/>
    <w:qFormat/>
    <w:uiPriority w:val="0"/>
    <w:pPr>
      <w:spacing w:line="240" w:lineRule="atLeast"/>
      <w:ind w:firstLine="567"/>
    </w:pPr>
    <w:rPr>
      <w:szCs w:val="20"/>
    </w:rPr>
  </w:style>
  <w:style w:type="paragraph" w:customStyle="1" w:styleId="251">
    <w:name w:val="CM2"/>
    <w:basedOn w:val="150"/>
    <w:next w:val="150"/>
    <w:qFormat/>
    <w:uiPriority w:val="0"/>
    <w:pPr>
      <w:spacing w:line="200" w:lineRule="atLeast"/>
    </w:pPr>
    <w:rPr>
      <w:rFonts w:ascii="Arial" w:hAnsi="Arial" w:cs="Times New Roman"/>
      <w:color w:val="auto"/>
    </w:rPr>
  </w:style>
  <w:style w:type="paragraph" w:customStyle="1" w:styleId="252">
    <w:name w:val="Normal Paragraph"/>
    <w:basedOn w:val="1"/>
    <w:qFormat/>
    <w:uiPriority w:val="0"/>
    <w:pPr>
      <w:widowControl/>
      <w:spacing w:before="120" w:line="360" w:lineRule="auto"/>
      <w:ind w:firstLine="425"/>
    </w:pPr>
    <w:rPr>
      <w:kern w:val="0"/>
      <w:sz w:val="24"/>
    </w:rPr>
  </w:style>
  <w:style w:type="character" w:customStyle="1" w:styleId="253">
    <w:name w:val="blue"/>
    <w:basedOn w:val="45"/>
    <w:qFormat/>
    <w:uiPriority w:val="0"/>
  </w:style>
  <w:style w:type="paragraph" w:customStyle="1" w:styleId="254">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255">
    <w:name w:val="font"/>
    <w:basedOn w:val="45"/>
    <w:qFormat/>
    <w:uiPriority w:val="0"/>
  </w:style>
  <w:style w:type="character" w:customStyle="1" w:styleId="256">
    <w:name w:val="font11"/>
    <w:qFormat/>
    <w:uiPriority w:val="0"/>
    <w:rPr>
      <w:rFonts w:hint="default" w:ascii="ˎ̥" w:hAnsi="ˎ̥"/>
    </w:rPr>
  </w:style>
  <w:style w:type="paragraph" w:customStyle="1" w:styleId="257">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258">
    <w:name w:val="proddescription"/>
    <w:basedOn w:val="45"/>
    <w:qFormat/>
    <w:uiPriority w:val="0"/>
  </w:style>
  <w:style w:type="character" w:customStyle="1" w:styleId="259">
    <w:name w:val="prodheadlines"/>
    <w:basedOn w:val="45"/>
    <w:qFormat/>
    <w:uiPriority w:val="0"/>
  </w:style>
  <w:style w:type="character" w:customStyle="1" w:styleId="260">
    <w:name w:val="text"/>
    <w:basedOn w:val="45"/>
    <w:qFormat/>
    <w:uiPriority w:val="0"/>
  </w:style>
  <w:style w:type="paragraph" w:customStyle="1" w:styleId="261">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262">
    <w:name w:val="z-窗体顶端1"/>
    <w:basedOn w:val="1"/>
    <w:next w:val="1"/>
    <w:link w:val="263"/>
    <w:qFormat/>
    <w:uiPriority w:val="0"/>
    <w:pPr>
      <w:widowControl/>
      <w:pBdr>
        <w:bottom w:val="single" w:color="auto" w:sz="6" w:space="1"/>
      </w:pBdr>
      <w:jc w:val="center"/>
    </w:pPr>
    <w:rPr>
      <w:rFonts w:ascii="Arial" w:hAnsi="Arial"/>
      <w:vanish/>
      <w:kern w:val="0"/>
      <w:sz w:val="16"/>
      <w:szCs w:val="16"/>
    </w:rPr>
  </w:style>
  <w:style w:type="character" w:customStyle="1" w:styleId="263">
    <w:name w:val="z-窗体顶端 Char"/>
    <w:link w:val="262"/>
    <w:qFormat/>
    <w:uiPriority w:val="0"/>
    <w:rPr>
      <w:rFonts w:ascii="Arial" w:hAnsi="Arial" w:eastAsia="宋体" w:cs="Times New Roman"/>
      <w:vanish/>
      <w:kern w:val="0"/>
      <w:sz w:val="16"/>
      <w:szCs w:val="16"/>
    </w:rPr>
  </w:style>
  <w:style w:type="paragraph" w:customStyle="1" w:styleId="264">
    <w:name w:val="z-窗体底端1"/>
    <w:basedOn w:val="1"/>
    <w:next w:val="1"/>
    <w:link w:val="265"/>
    <w:qFormat/>
    <w:uiPriority w:val="0"/>
    <w:pPr>
      <w:widowControl/>
      <w:pBdr>
        <w:top w:val="single" w:color="auto" w:sz="6" w:space="1"/>
      </w:pBdr>
      <w:jc w:val="center"/>
    </w:pPr>
    <w:rPr>
      <w:rFonts w:ascii="Arial" w:hAnsi="Arial"/>
      <w:vanish/>
      <w:kern w:val="0"/>
      <w:sz w:val="16"/>
      <w:szCs w:val="16"/>
    </w:rPr>
  </w:style>
  <w:style w:type="character" w:customStyle="1" w:styleId="265">
    <w:name w:val="z-窗体底端 Char"/>
    <w:link w:val="264"/>
    <w:qFormat/>
    <w:uiPriority w:val="0"/>
    <w:rPr>
      <w:rFonts w:ascii="Arial" w:hAnsi="Arial" w:eastAsia="宋体" w:cs="Times New Roman"/>
      <w:vanish/>
      <w:kern w:val="0"/>
      <w:sz w:val="16"/>
      <w:szCs w:val="16"/>
    </w:rPr>
  </w:style>
  <w:style w:type="paragraph" w:customStyle="1" w:styleId="26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26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268">
    <w:name w:val="段落正文"/>
    <w:basedOn w:val="22"/>
    <w:qFormat/>
    <w:uiPriority w:val="0"/>
    <w:pPr>
      <w:ind w:firstLine="560" w:firstLineChars="200"/>
    </w:pPr>
    <w:rPr>
      <w:sz w:val="28"/>
    </w:rPr>
  </w:style>
  <w:style w:type="character" w:customStyle="1" w:styleId="269">
    <w:name w:val="gray6"/>
    <w:basedOn w:val="45"/>
    <w:qFormat/>
    <w:uiPriority w:val="0"/>
  </w:style>
  <w:style w:type="character" w:customStyle="1" w:styleId="270">
    <w:name w:val="style9"/>
    <w:basedOn w:val="45"/>
    <w:qFormat/>
    <w:uiPriority w:val="0"/>
  </w:style>
  <w:style w:type="paragraph" w:customStyle="1" w:styleId="27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272">
    <w:name w:val="grame"/>
    <w:basedOn w:val="45"/>
    <w:qFormat/>
    <w:uiPriority w:val="0"/>
  </w:style>
  <w:style w:type="paragraph" w:customStyle="1" w:styleId="27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4">
    <w:name w:val="Char1"/>
    <w:basedOn w:val="1"/>
    <w:qFormat/>
    <w:uiPriority w:val="0"/>
    <w:pPr>
      <w:jc w:val="left"/>
    </w:pPr>
    <w:rPr>
      <w:rFonts w:ascii="Tahoma" w:hAnsi="Tahoma"/>
      <w:sz w:val="24"/>
      <w:szCs w:val="20"/>
    </w:rPr>
  </w:style>
  <w:style w:type="paragraph" w:customStyle="1" w:styleId="275">
    <w:name w:val="编号1"/>
    <w:basedOn w:val="1"/>
    <w:qFormat/>
    <w:uiPriority w:val="0"/>
    <w:pPr>
      <w:numPr>
        <w:ilvl w:val="0"/>
        <w:numId w:val="10"/>
      </w:numPr>
      <w:adjustRightInd w:val="0"/>
      <w:spacing w:line="300" w:lineRule="auto"/>
      <w:ind w:right="210"/>
      <w:textAlignment w:val="center"/>
    </w:pPr>
    <w:rPr>
      <w:rFonts w:ascii="宋体" w:hAnsi="宋体"/>
      <w:snapToGrid w:val="0"/>
      <w:spacing w:val="10"/>
      <w:kern w:val="24"/>
    </w:rPr>
  </w:style>
  <w:style w:type="paragraph" w:customStyle="1" w:styleId="27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27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7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80">
    <w:name w:val="表格字"/>
    <w:basedOn w:val="1"/>
    <w:qFormat/>
    <w:uiPriority w:val="0"/>
    <w:pPr>
      <w:adjustRightInd w:val="0"/>
      <w:jc w:val="center"/>
    </w:pPr>
    <w:rPr>
      <w:rFonts w:ascii="宋体"/>
      <w:sz w:val="24"/>
      <w:szCs w:val="20"/>
    </w:rPr>
  </w:style>
  <w:style w:type="character" w:customStyle="1" w:styleId="281">
    <w:name w:val="样式 小三 加粗"/>
    <w:qFormat/>
    <w:uiPriority w:val="0"/>
    <w:rPr>
      <w:rFonts w:eastAsia="宋体"/>
      <w:b/>
      <w:bCs/>
      <w:sz w:val="32"/>
    </w:rPr>
  </w:style>
  <w:style w:type="paragraph" w:customStyle="1" w:styleId="2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84">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285">
    <w:name w:val="info4"/>
    <w:basedOn w:val="45"/>
    <w:qFormat/>
    <w:uiPriority w:val="0"/>
  </w:style>
  <w:style w:type="paragraph" w:customStyle="1" w:styleId="286">
    <w:name w:val="缩进正文"/>
    <w:basedOn w:val="1"/>
    <w:link w:val="287"/>
    <w:qFormat/>
    <w:uiPriority w:val="0"/>
    <w:pPr>
      <w:ind w:firstLine="560" w:firstLineChars="200"/>
    </w:pPr>
    <w:rPr>
      <w:rFonts w:eastAsia="仿宋_GB2312"/>
      <w:kern w:val="0"/>
      <w:sz w:val="28"/>
      <w:szCs w:val="20"/>
    </w:rPr>
  </w:style>
  <w:style w:type="character" w:customStyle="1" w:styleId="287">
    <w:name w:val="缩进正文 Char"/>
    <w:link w:val="286"/>
    <w:qFormat/>
    <w:uiPriority w:val="0"/>
    <w:rPr>
      <w:rFonts w:ascii="Times New Roman" w:hAnsi="Times New Roman" w:eastAsia="仿宋_GB2312" w:cs="Times New Roman"/>
      <w:sz w:val="28"/>
      <w:szCs w:val="20"/>
    </w:rPr>
  </w:style>
  <w:style w:type="paragraph" w:styleId="288">
    <w:name w:val="List Paragraph"/>
    <w:basedOn w:val="1"/>
    <w:unhideWhenUsed/>
    <w:qFormat/>
    <w:uiPriority w:val="99"/>
    <w:pPr>
      <w:ind w:firstLine="420" w:firstLineChars="200"/>
    </w:pPr>
  </w:style>
  <w:style w:type="character" w:customStyle="1" w:styleId="289">
    <w:name w:val="正文缩进 Char1"/>
    <w:qFormat/>
    <w:uiPriority w:val="0"/>
    <w:rPr>
      <w:rFonts w:ascii="Times New Roman" w:hAnsi="Times New Roman"/>
      <w:szCs w:val="24"/>
    </w:rPr>
  </w:style>
  <w:style w:type="paragraph" w:customStyle="1" w:styleId="290">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291">
    <w:name w:val="彩色列表 - 强调文字颜色 111"/>
    <w:basedOn w:val="1"/>
    <w:qFormat/>
    <w:uiPriority w:val="0"/>
    <w:pPr>
      <w:ind w:firstLine="420" w:firstLineChars="200"/>
    </w:pPr>
  </w:style>
  <w:style w:type="paragraph" w:customStyle="1" w:styleId="292">
    <w:name w:val="正文 New New"/>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293">
    <w:name w:val="正文1"/>
    <w:basedOn w:val="1"/>
    <w:qFormat/>
    <w:uiPriority w:val="0"/>
    <w:pPr>
      <w:tabs>
        <w:tab w:val="left" w:pos="4"/>
      </w:tabs>
    </w:pPr>
    <w:rPr>
      <w:rFonts w:ascii="宋体" w:hAnsi="宋体"/>
      <w:sz w:val="18"/>
    </w:rPr>
  </w:style>
  <w:style w:type="paragraph" w:styleId="294">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ghan\Library\Containers\com.kingsoft.wpsoffice.mac\Data\H:\2022&#27169;&#26495;\&#32440;&#36136;\&#65288;2022.4&#20844;&#24320;&#25307;&#26631;-&#26381;&#21153;-&#32440;&#65289;&#28145;&#22323;&#24066;&#12289;&#21306;&#25919;&#24220;&#37319;&#36141;&#25307;&#26631;&#25991;&#20214;&#27169;&#26495;&#23450;&#31295;041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（2022.4公开招标-服务-纸）深圳市、区政府采购招标文件模板定稿0412.dot</Template>
  <Pages>96</Pages>
  <Words>7649</Words>
  <Characters>7886</Characters>
  <Lines>1</Lines>
  <Paragraphs>1</Paragraphs>
  <TotalTime>4</TotalTime>
  <ScaleCrop>false</ScaleCrop>
  <LinksUpToDate>false</LinksUpToDate>
  <CharactersWithSpaces>8048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2022-05-30T18:28:00Z</dcterms:created>
  <dc:creator>老谭酱香肘子</dc:creator>
  <cp:lastModifiedBy>丹</cp:lastModifiedBy>
  <dcterms:modified xsi:type="dcterms:W3CDTF">2025-12-04T10:16:01Z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33A65A0E43CB48A08309938F712EB3F7_13</vt:lpwstr>
  </property>
  <property fmtid="{D5CDD505-2E9C-101B-9397-08002B2CF9AE}" pid="4" name="KSOTemplateDocerSaveRecord">
    <vt:lpwstr>eyJoZGlkIjoiZDdiMjIyNjBiODY5MDBlMmI2YWMzMTc4ZjNmMzI5ZDciLCJ1c2VySWQiOiI2NjU5NzA2NjQifQ==</vt:lpwstr>
  </property>
</Properties>
</file>