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8F5E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sz w:val="44"/>
          <w:szCs w:val="44"/>
        </w:rPr>
      </w:pPr>
      <w:r>
        <w:rPr>
          <w:rFonts w:hint="eastAsia" w:ascii="宋体" w:hAnsi="宋体"/>
          <w:b/>
          <w:sz w:val="44"/>
          <w:szCs w:val="44"/>
        </w:rPr>
        <w:t>项目评分表</w:t>
      </w:r>
    </w:p>
    <w:p w14:paraId="15CF37A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Times New Roman" w:eastAsia="黑体" w:cs="Times New Roman"/>
          <w:sz w:val="28"/>
          <w:szCs w:val="28"/>
          <w:u w:val="single"/>
        </w:rPr>
      </w:pPr>
      <w:r>
        <w:rPr>
          <w:rFonts w:hint="eastAsia" w:ascii="黑体" w:hAnsi="Times New Roman" w:eastAsia="黑体" w:cs="Times New Roman"/>
          <w:sz w:val="28"/>
          <w:szCs w:val="28"/>
          <w:u w:val="single"/>
        </w:rPr>
        <w:t>项目名称：</w:t>
      </w:r>
      <w:r>
        <w:rPr>
          <w:rFonts w:hint="default" w:ascii="黑体" w:hAnsi="Times New Roman" w:eastAsia="黑体" w:cs="Times New Roman"/>
          <w:sz w:val="28"/>
          <w:szCs w:val="28"/>
          <w:u w:val="single"/>
        </w:rPr>
        <w:t>202</w:t>
      </w:r>
      <w:r>
        <w:rPr>
          <w:rFonts w:hint="eastAsia" w:ascii="黑体" w:hAnsi="Times New Roman" w:eastAsia="黑体" w:cs="Times New Roman"/>
          <w:sz w:val="28"/>
          <w:szCs w:val="28"/>
          <w:u w:val="single"/>
          <w:lang w:val="en-US" w:eastAsia="zh-CN"/>
        </w:rPr>
        <w:t>6</w:t>
      </w:r>
      <w:r>
        <w:rPr>
          <w:rFonts w:hint="eastAsia" w:ascii="黑体" w:hAnsi="Times New Roman" w:eastAsia="黑体" w:cs="Times New Roman"/>
          <w:sz w:val="28"/>
          <w:szCs w:val="28"/>
          <w:u w:val="single"/>
        </w:rPr>
        <w:t>深圳文博会艺术季</w:t>
      </w:r>
      <w:r>
        <w:rPr>
          <w:rFonts w:hint="eastAsia" w:ascii="黑体" w:hAnsi="Times New Roman" w:eastAsia="黑体" w:cs="Times New Roman"/>
          <w:sz w:val="28"/>
          <w:szCs w:val="28"/>
          <w:u w:val="single"/>
          <w:lang w:eastAsia="zh-CN"/>
        </w:rPr>
        <w:t>宣传</w:t>
      </w:r>
      <w:r>
        <w:rPr>
          <w:rFonts w:hint="eastAsia" w:ascii="黑体" w:hAnsi="Times New Roman" w:eastAsia="黑体" w:cs="Times New Roman"/>
          <w:sz w:val="28"/>
          <w:szCs w:val="28"/>
          <w:u w:val="single"/>
          <w:lang w:val="en-US" w:eastAsia="zh-CN"/>
        </w:rPr>
        <w:t>推广</w:t>
      </w:r>
      <w:r>
        <w:rPr>
          <w:rFonts w:hint="eastAsia" w:ascii="黑体" w:hAnsi="Times New Roman" w:eastAsia="黑体" w:cs="Times New Roman"/>
          <w:sz w:val="28"/>
          <w:szCs w:val="28"/>
          <w:u w:val="single"/>
        </w:rPr>
        <w:t>单位</w:t>
      </w:r>
    </w:p>
    <w:tbl>
      <w:tblPr>
        <w:tblStyle w:val="9"/>
        <w:tblpPr w:leftFromText="180" w:rightFromText="180" w:vertAnchor="text" w:horzAnchor="page" w:tblpX="755" w:tblpY="651"/>
        <w:tblOverlap w:val="never"/>
        <w:tblW w:w="1587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27"/>
        <w:gridCol w:w="823"/>
        <w:gridCol w:w="756"/>
        <w:gridCol w:w="758"/>
        <w:gridCol w:w="6872"/>
        <w:gridCol w:w="2141"/>
        <w:gridCol w:w="1812"/>
        <w:gridCol w:w="1983"/>
      </w:tblGrid>
      <w:tr w14:paraId="23EDABF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60" w:hRule="atLeast"/>
          <w:tblHeader/>
        </w:trPr>
        <w:tc>
          <w:tcPr>
            <w:tcW w:w="727" w:type="dxa"/>
            <w:tcBorders>
              <w:top w:val="single" w:color="auto" w:sz="8" w:space="0"/>
              <w:left w:val="single" w:color="auto" w:sz="8" w:space="0"/>
              <w:bottom w:val="single" w:color="auto" w:sz="4" w:space="0"/>
              <w:right w:val="single" w:color="auto" w:sz="8" w:space="0"/>
            </w:tcBorders>
            <w:noWrap w:val="0"/>
            <w:vAlign w:val="center"/>
          </w:tcPr>
          <w:p w14:paraId="1B4BDC67">
            <w:pPr>
              <w:spacing w:line="320" w:lineRule="exact"/>
              <w:jc w:val="center"/>
              <w:rPr>
                <w:rFonts w:hint="eastAsia" w:ascii="仿宋_GB2312" w:hAnsi="仿宋" w:eastAsia="仿宋_GB2312" w:cs="Times New Roman"/>
                <w:b/>
                <w:color w:val="000000"/>
                <w:sz w:val="24"/>
                <w:highlight w:val="none"/>
              </w:rPr>
            </w:pPr>
            <w:r>
              <w:rPr>
                <w:rFonts w:hint="eastAsia" w:ascii="仿宋_GB2312" w:hAnsi="仿宋" w:eastAsia="仿宋_GB2312" w:cs="Times New Roman"/>
                <w:b/>
                <w:color w:val="000000"/>
                <w:sz w:val="24"/>
                <w:highlight w:val="none"/>
              </w:rPr>
              <w:t>类别</w:t>
            </w:r>
          </w:p>
        </w:tc>
        <w:tc>
          <w:tcPr>
            <w:tcW w:w="823" w:type="dxa"/>
            <w:tcBorders>
              <w:top w:val="single" w:color="auto" w:sz="8" w:space="0"/>
              <w:left w:val="single" w:color="auto" w:sz="8" w:space="0"/>
              <w:right w:val="single" w:color="auto" w:sz="8" w:space="0"/>
            </w:tcBorders>
            <w:noWrap w:val="0"/>
            <w:vAlign w:val="center"/>
          </w:tcPr>
          <w:p w14:paraId="4D369E3A">
            <w:pPr>
              <w:spacing w:line="320" w:lineRule="exact"/>
              <w:jc w:val="center"/>
              <w:rPr>
                <w:rFonts w:hint="eastAsia" w:ascii="仿宋_GB2312" w:hAnsi="仿宋" w:eastAsia="仿宋_GB2312" w:cs="Times New Roman"/>
                <w:b/>
                <w:color w:val="000000"/>
                <w:sz w:val="24"/>
                <w:highlight w:val="none"/>
              </w:rPr>
            </w:pPr>
            <w:r>
              <w:rPr>
                <w:rFonts w:hint="eastAsia" w:ascii="仿宋_GB2312" w:hAnsi="仿宋" w:eastAsia="仿宋_GB2312" w:cs="Times New Roman"/>
                <w:b/>
                <w:color w:val="000000"/>
                <w:sz w:val="24"/>
                <w:highlight w:val="none"/>
              </w:rPr>
              <w:t>评分项目</w:t>
            </w:r>
          </w:p>
        </w:tc>
        <w:tc>
          <w:tcPr>
            <w:tcW w:w="756" w:type="dxa"/>
            <w:tcBorders>
              <w:top w:val="single" w:color="auto" w:sz="8" w:space="0"/>
              <w:left w:val="single" w:color="auto" w:sz="8" w:space="0"/>
              <w:right w:val="single" w:color="auto" w:sz="8" w:space="0"/>
            </w:tcBorders>
            <w:noWrap w:val="0"/>
            <w:vAlign w:val="center"/>
          </w:tcPr>
          <w:p w14:paraId="056D7D12">
            <w:pPr>
              <w:spacing w:line="320" w:lineRule="exact"/>
              <w:jc w:val="center"/>
              <w:rPr>
                <w:rFonts w:hint="eastAsia" w:ascii="仿宋_GB2312" w:hAnsi="仿宋" w:eastAsia="仿宋_GB2312" w:cs="Times New Roman"/>
                <w:b/>
                <w:color w:val="000000"/>
                <w:sz w:val="24"/>
                <w:highlight w:val="none"/>
              </w:rPr>
            </w:pPr>
            <w:r>
              <w:rPr>
                <w:rFonts w:hint="eastAsia" w:ascii="仿宋_GB2312" w:hAnsi="仿宋" w:eastAsia="仿宋_GB2312" w:cs="Times New Roman"/>
                <w:b/>
                <w:color w:val="000000"/>
                <w:sz w:val="24"/>
                <w:highlight w:val="none"/>
              </w:rPr>
              <w:t>权重</w:t>
            </w:r>
          </w:p>
        </w:tc>
        <w:tc>
          <w:tcPr>
            <w:tcW w:w="758" w:type="dxa"/>
            <w:tcBorders>
              <w:top w:val="single" w:color="auto" w:sz="8" w:space="0"/>
              <w:left w:val="single" w:color="auto" w:sz="8" w:space="0"/>
              <w:right w:val="single" w:color="auto" w:sz="8" w:space="0"/>
            </w:tcBorders>
            <w:noWrap w:val="0"/>
            <w:vAlign w:val="center"/>
          </w:tcPr>
          <w:p w14:paraId="2A483DD5">
            <w:pPr>
              <w:spacing w:line="320" w:lineRule="exact"/>
              <w:jc w:val="center"/>
              <w:rPr>
                <w:rFonts w:hint="eastAsia" w:ascii="仿宋_GB2312" w:hAnsi="仿宋" w:eastAsia="仿宋_GB2312" w:cs="Times New Roman"/>
                <w:b/>
                <w:color w:val="000000"/>
                <w:sz w:val="24"/>
                <w:highlight w:val="none"/>
              </w:rPr>
            </w:pPr>
            <w:r>
              <w:rPr>
                <w:rFonts w:hint="eastAsia" w:ascii="仿宋_GB2312" w:hAnsi="仿宋" w:eastAsia="仿宋_GB2312" w:cs="Times New Roman"/>
                <w:b/>
                <w:color w:val="000000"/>
                <w:sz w:val="24"/>
                <w:highlight w:val="none"/>
              </w:rPr>
              <w:t>分值</w:t>
            </w:r>
          </w:p>
        </w:tc>
        <w:tc>
          <w:tcPr>
            <w:tcW w:w="6872" w:type="dxa"/>
            <w:tcBorders>
              <w:top w:val="single" w:color="auto" w:sz="8" w:space="0"/>
              <w:left w:val="single" w:color="auto" w:sz="8" w:space="0"/>
              <w:right w:val="single" w:color="auto" w:sz="8" w:space="0"/>
            </w:tcBorders>
            <w:noWrap w:val="0"/>
            <w:vAlign w:val="center"/>
          </w:tcPr>
          <w:p w14:paraId="4D408B68">
            <w:pPr>
              <w:spacing w:line="320" w:lineRule="exact"/>
              <w:jc w:val="center"/>
              <w:rPr>
                <w:rFonts w:hint="eastAsia" w:ascii="仿宋_GB2312" w:hAnsi="仿宋" w:eastAsia="仿宋_GB2312" w:cs="Times New Roman"/>
                <w:b/>
                <w:color w:val="000000"/>
                <w:sz w:val="24"/>
                <w:highlight w:val="none"/>
              </w:rPr>
            </w:pPr>
            <w:r>
              <w:rPr>
                <w:rFonts w:hint="eastAsia" w:ascii="仿宋_GB2312" w:hAnsi="仿宋" w:eastAsia="仿宋_GB2312" w:cs="Times New Roman"/>
                <w:b/>
                <w:color w:val="000000"/>
                <w:sz w:val="24"/>
                <w:highlight w:val="none"/>
              </w:rPr>
              <w:t>评分参考及范围</w:t>
            </w:r>
          </w:p>
        </w:tc>
        <w:tc>
          <w:tcPr>
            <w:tcW w:w="2141" w:type="dxa"/>
            <w:tcBorders>
              <w:top w:val="single" w:color="auto" w:sz="8" w:space="0"/>
              <w:left w:val="single" w:color="auto" w:sz="8" w:space="0"/>
              <w:right w:val="single" w:color="auto" w:sz="8" w:space="0"/>
            </w:tcBorders>
            <w:noWrap w:val="0"/>
            <w:vAlign w:val="center"/>
          </w:tcPr>
          <w:p w14:paraId="1F3B8FEE">
            <w:pPr>
              <w:spacing w:line="320" w:lineRule="exact"/>
              <w:jc w:val="center"/>
              <w:rPr>
                <w:rFonts w:hint="eastAsia" w:ascii="仿宋_GB2312" w:hAnsi="仿宋" w:eastAsia="仿宋_GB2312" w:cs="Times New Roman"/>
                <w:b/>
                <w:color w:val="000000"/>
                <w:sz w:val="24"/>
                <w:highlight w:val="none"/>
              </w:rPr>
            </w:pPr>
            <w:r>
              <w:rPr>
                <w:rFonts w:hint="eastAsia" w:ascii="仿宋_GB2312" w:hAnsi="仿宋" w:eastAsia="仿宋_GB2312" w:cs="Times New Roman"/>
                <w:b/>
                <w:color w:val="000000"/>
                <w:sz w:val="24"/>
                <w:highlight w:val="none"/>
              </w:rPr>
              <w:t>得分</w:t>
            </w:r>
          </w:p>
        </w:tc>
        <w:tc>
          <w:tcPr>
            <w:tcW w:w="1812" w:type="dxa"/>
            <w:tcBorders>
              <w:top w:val="single" w:color="auto" w:sz="8" w:space="0"/>
              <w:left w:val="single" w:color="auto" w:sz="8" w:space="0"/>
              <w:right w:val="single" w:color="auto" w:sz="8" w:space="0"/>
            </w:tcBorders>
            <w:noWrap w:val="0"/>
            <w:vAlign w:val="center"/>
          </w:tcPr>
          <w:p w14:paraId="760CFBBF">
            <w:pPr>
              <w:spacing w:line="320" w:lineRule="exact"/>
              <w:jc w:val="center"/>
              <w:rPr>
                <w:rFonts w:hint="eastAsia" w:ascii="仿宋_GB2312" w:hAnsi="仿宋" w:eastAsia="仿宋_GB2312" w:cs="Times New Roman"/>
                <w:b/>
                <w:color w:val="000000"/>
                <w:sz w:val="24"/>
                <w:highlight w:val="none"/>
              </w:rPr>
            </w:pPr>
            <w:r>
              <w:rPr>
                <w:rFonts w:hint="eastAsia" w:ascii="仿宋_GB2312" w:hAnsi="仿宋" w:eastAsia="仿宋_GB2312" w:cs="Times New Roman"/>
                <w:b/>
                <w:color w:val="000000"/>
                <w:sz w:val="24"/>
                <w:highlight w:val="none"/>
              </w:rPr>
              <w:t>得分</w:t>
            </w:r>
          </w:p>
        </w:tc>
        <w:tc>
          <w:tcPr>
            <w:tcW w:w="1983" w:type="dxa"/>
            <w:tcBorders>
              <w:top w:val="single" w:color="auto" w:sz="8" w:space="0"/>
              <w:left w:val="single" w:color="auto" w:sz="8" w:space="0"/>
              <w:right w:val="single" w:color="auto" w:sz="8" w:space="0"/>
            </w:tcBorders>
            <w:noWrap w:val="0"/>
            <w:vAlign w:val="center"/>
          </w:tcPr>
          <w:p w14:paraId="65E6E155">
            <w:pPr>
              <w:spacing w:line="320" w:lineRule="exact"/>
              <w:jc w:val="center"/>
              <w:rPr>
                <w:rFonts w:hint="eastAsia" w:ascii="仿宋_GB2312" w:hAnsi="仿宋" w:eastAsia="仿宋_GB2312" w:cs="Times New Roman"/>
                <w:b/>
                <w:color w:val="000000"/>
                <w:sz w:val="24"/>
                <w:highlight w:val="none"/>
              </w:rPr>
            </w:pPr>
            <w:r>
              <w:rPr>
                <w:rFonts w:hint="eastAsia" w:ascii="仿宋_GB2312" w:hAnsi="仿宋" w:eastAsia="仿宋_GB2312" w:cs="Times New Roman"/>
                <w:b/>
                <w:color w:val="000000"/>
                <w:sz w:val="24"/>
                <w:highlight w:val="none"/>
              </w:rPr>
              <w:t>得分</w:t>
            </w:r>
          </w:p>
        </w:tc>
      </w:tr>
      <w:tr w14:paraId="3C61C04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66" w:hRule="atLeast"/>
          <w:tblHeader/>
        </w:trPr>
        <w:tc>
          <w:tcPr>
            <w:tcW w:w="727" w:type="dxa"/>
            <w:vMerge w:val="restart"/>
            <w:tcBorders>
              <w:top w:val="single" w:color="auto" w:sz="4" w:space="0"/>
              <w:left w:val="single" w:color="auto" w:sz="4" w:space="0"/>
              <w:bottom w:val="single" w:color="auto" w:sz="4" w:space="0"/>
              <w:right w:val="single" w:color="auto" w:sz="4" w:space="0"/>
            </w:tcBorders>
            <w:noWrap w:val="0"/>
            <w:vAlign w:val="center"/>
          </w:tcPr>
          <w:p w14:paraId="4820C702">
            <w:pPr>
              <w:jc w:val="center"/>
              <w:rPr>
                <w:rFonts w:ascii="仿宋_GB2312" w:hAnsi="仿宋" w:eastAsia="仿宋_GB2312"/>
                <w:color w:val="000000"/>
                <w:sz w:val="24"/>
                <w:highlight w:val="none"/>
              </w:rPr>
            </w:pPr>
            <w:r>
              <w:rPr>
                <w:rFonts w:hint="eastAsia" w:ascii="仿宋_GB2312" w:hAnsi="仿宋" w:eastAsia="仿宋_GB2312"/>
                <w:color w:val="000000"/>
                <w:sz w:val="24"/>
                <w:highlight w:val="none"/>
              </w:rPr>
              <w:t>价格</w:t>
            </w:r>
          </w:p>
        </w:tc>
        <w:tc>
          <w:tcPr>
            <w:tcW w:w="823" w:type="dxa"/>
            <w:vMerge w:val="restart"/>
            <w:tcBorders>
              <w:top w:val="single" w:color="auto" w:sz="8" w:space="0"/>
              <w:left w:val="single" w:color="auto" w:sz="4" w:space="0"/>
              <w:right w:val="single" w:color="auto" w:sz="8" w:space="0"/>
            </w:tcBorders>
            <w:noWrap w:val="0"/>
            <w:vAlign w:val="center"/>
          </w:tcPr>
          <w:p w14:paraId="7057BB18">
            <w:pPr>
              <w:widowControl/>
              <w:spacing w:line="320" w:lineRule="exact"/>
              <w:jc w:val="left"/>
              <w:rPr>
                <w:rFonts w:hint="eastAsia" w:ascii="仿宋_GB2312" w:hAnsi="仿宋" w:eastAsia="仿宋_GB2312"/>
                <w:color w:val="000000"/>
                <w:sz w:val="24"/>
                <w:szCs w:val="24"/>
                <w:highlight w:val="none"/>
                <w:lang w:bidi="th-TH"/>
              </w:rPr>
            </w:pPr>
            <w:r>
              <w:rPr>
                <w:rFonts w:hint="eastAsia" w:ascii="仿宋_GB2312" w:hAnsi="仿宋" w:eastAsia="仿宋_GB2312"/>
                <w:color w:val="000000"/>
                <w:sz w:val="24"/>
                <w:szCs w:val="24"/>
                <w:highlight w:val="none"/>
                <w:lang w:bidi="th-TH"/>
              </w:rPr>
              <w:t>投标总价</w:t>
            </w:r>
          </w:p>
        </w:tc>
        <w:tc>
          <w:tcPr>
            <w:tcW w:w="756" w:type="dxa"/>
            <w:vMerge w:val="restart"/>
            <w:tcBorders>
              <w:top w:val="single" w:color="auto" w:sz="8" w:space="0"/>
              <w:left w:val="single" w:color="auto" w:sz="8" w:space="0"/>
              <w:right w:val="single" w:color="auto" w:sz="8" w:space="0"/>
            </w:tcBorders>
            <w:noWrap w:val="0"/>
            <w:vAlign w:val="center"/>
          </w:tcPr>
          <w:p w14:paraId="13198A5C">
            <w:pPr>
              <w:widowControl/>
              <w:spacing w:line="320" w:lineRule="exact"/>
              <w:jc w:val="left"/>
              <w:rPr>
                <w:rFonts w:hint="eastAsia" w:ascii="仿宋_GB2312" w:hAnsi="仿宋" w:eastAsia="仿宋_GB2312"/>
                <w:color w:val="000000"/>
                <w:sz w:val="24"/>
                <w:szCs w:val="24"/>
                <w:highlight w:val="none"/>
                <w:lang w:bidi="th-TH"/>
              </w:rPr>
            </w:pPr>
            <w:r>
              <w:rPr>
                <w:rFonts w:hint="default" w:ascii="仿宋_GB2312" w:hAnsi="仿宋" w:eastAsia="仿宋_GB2312"/>
                <w:color w:val="000000"/>
                <w:sz w:val="24"/>
                <w:szCs w:val="24"/>
                <w:highlight w:val="none"/>
                <w:lang w:eastAsia="zh-CN" w:bidi="th-TH"/>
              </w:rPr>
              <w:t>2</w:t>
            </w:r>
            <w:r>
              <w:rPr>
                <w:rFonts w:hint="eastAsia" w:ascii="仿宋_GB2312" w:hAnsi="仿宋" w:eastAsia="仿宋_GB2312"/>
                <w:color w:val="000000"/>
                <w:sz w:val="24"/>
                <w:szCs w:val="24"/>
                <w:highlight w:val="none"/>
                <w:lang w:val="en-US" w:eastAsia="zh-CN" w:bidi="th-TH"/>
              </w:rPr>
              <w:t>0</w:t>
            </w:r>
            <w:r>
              <w:rPr>
                <w:rFonts w:hint="eastAsia" w:ascii="仿宋_GB2312" w:hAnsi="仿宋" w:eastAsia="仿宋_GB2312"/>
                <w:color w:val="000000"/>
                <w:sz w:val="24"/>
                <w:szCs w:val="24"/>
                <w:highlight w:val="none"/>
                <w:lang w:bidi="th-TH"/>
              </w:rPr>
              <w:t>%</w:t>
            </w:r>
          </w:p>
        </w:tc>
        <w:tc>
          <w:tcPr>
            <w:tcW w:w="758" w:type="dxa"/>
            <w:vMerge w:val="restart"/>
            <w:tcBorders>
              <w:top w:val="single" w:color="auto" w:sz="8" w:space="0"/>
              <w:left w:val="single" w:color="auto" w:sz="8" w:space="0"/>
              <w:right w:val="single" w:color="auto" w:sz="8" w:space="0"/>
            </w:tcBorders>
            <w:noWrap w:val="0"/>
            <w:vAlign w:val="center"/>
          </w:tcPr>
          <w:p w14:paraId="68DE58D7">
            <w:pPr>
              <w:widowControl/>
              <w:spacing w:line="320" w:lineRule="exact"/>
              <w:jc w:val="left"/>
              <w:rPr>
                <w:rFonts w:hint="eastAsia" w:ascii="仿宋_GB2312" w:hAnsi="仿宋" w:eastAsia="仿宋_GB2312"/>
                <w:color w:val="000000"/>
                <w:sz w:val="24"/>
                <w:szCs w:val="24"/>
                <w:highlight w:val="none"/>
                <w:lang w:bidi="th-TH"/>
              </w:rPr>
            </w:pPr>
            <w:r>
              <w:rPr>
                <w:rFonts w:hint="default" w:ascii="仿宋_GB2312" w:hAnsi="仿宋" w:eastAsia="仿宋_GB2312"/>
                <w:color w:val="000000"/>
                <w:sz w:val="24"/>
                <w:szCs w:val="24"/>
                <w:highlight w:val="none"/>
                <w:lang w:eastAsia="zh-CN" w:bidi="th-TH"/>
              </w:rPr>
              <w:t>2</w:t>
            </w:r>
            <w:r>
              <w:rPr>
                <w:rFonts w:hint="eastAsia" w:ascii="仿宋_GB2312" w:hAnsi="仿宋" w:eastAsia="仿宋_GB2312"/>
                <w:color w:val="000000"/>
                <w:sz w:val="24"/>
                <w:szCs w:val="24"/>
                <w:highlight w:val="none"/>
                <w:lang w:val="en-US" w:eastAsia="zh-CN" w:bidi="th-TH"/>
              </w:rPr>
              <w:t>0</w:t>
            </w:r>
            <w:r>
              <w:rPr>
                <w:rFonts w:hint="eastAsia" w:ascii="仿宋_GB2312" w:hAnsi="仿宋" w:eastAsia="仿宋_GB2312"/>
                <w:color w:val="000000"/>
                <w:sz w:val="24"/>
                <w:szCs w:val="24"/>
                <w:highlight w:val="none"/>
                <w:lang w:bidi="th-TH"/>
              </w:rPr>
              <w:t>分</w:t>
            </w:r>
          </w:p>
        </w:tc>
        <w:tc>
          <w:tcPr>
            <w:tcW w:w="6872" w:type="dxa"/>
            <w:vMerge w:val="restart"/>
            <w:tcBorders>
              <w:top w:val="single" w:color="auto" w:sz="8" w:space="0"/>
              <w:left w:val="single" w:color="auto" w:sz="8" w:space="0"/>
              <w:right w:val="single" w:color="auto" w:sz="8" w:space="0"/>
            </w:tcBorders>
            <w:noWrap w:val="0"/>
            <w:vAlign w:val="center"/>
          </w:tcPr>
          <w:p w14:paraId="2AE1B1A3">
            <w:pPr>
              <w:widowControl/>
              <w:spacing w:line="320" w:lineRule="exact"/>
              <w:jc w:val="left"/>
              <w:rPr>
                <w:rFonts w:hint="eastAsia" w:ascii="仿宋_GB2312" w:hAnsi="仿宋" w:eastAsia="仿宋_GB2312"/>
                <w:color w:val="000000"/>
                <w:sz w:val="24"/>
                <w:szCs w:val="24"/>
                <w:highlight w:val="none"/>
                <w:lang w:bidi="th-TH"/>
              </w:rPr>
            </w:pPr>
            <w:r>
              <w:rPr>
                <w:rFonts w:hint="eastAsia" w:ascii="仿宋_GB2312" w:hAnsi="仿宋" w:eastAsia="仿宋_GB2312"/>
                <w:color w:val="000000"/>
                <w:sz w:val="24"/>
                <w:szCs w:val="24"/>
                <w:highlight w:val="none"/>
                <w:lang w:bidi="th-TH"/>
              </w:rPr>
              <w:t>统一采用低价优先法计算，即满足招标文件要求且投标价格最低的投标报价为评标基准价，其价格分为满分。其他投标人的价格分统一按照下列公式计算：投标报价得分=（评标基准价/投标报价）×权重分值</w:t>
            </w:r>
          </w:p>
        </w:tc>
        <w:tc>
          <w:tcPr>
            <w:tcW w:w="2141" w:type="dxa"/>
            <w:tcBorders>
              <w:top w:val="single" w:color="auto" w:sz="8" w:space="0"/>
              <w:left w:val="single" w:color="auto" w:sz="8" w:space="0"/>
              <w:right w:val="single" w:color="auto" w:sz="8" w:space="0"/>
            </w:tcBorders>
            <w:noWrap w:val="0"/>
            <w:vAlign w:val="top"/>
          </w:tcPr>
          <w:p w14:paraId="62A2277A">
            <w:pPr>
              <w:spacing w:line="240" w:lineRule="exact"/>
              <w:jc w:val="left"/>
              <w:rPr>
                <w:rFonts w:hint="eastAsia" w:ascii="仿宋_GB2312" w:hAnsi="仿宋" w:eastAsia="仿宋_GB2312"/>
                <w:color w:val="000000"/>
                <w:sz w:val="24"/>
                <w:highlight w:val="none"/>
              </w:rPr>
            </w:pPr>
          </w:p>
          <w:p w14:paraId="381381E2">
            <w:pPr>
              <w:spacing w:line="240" w:lineRule="exact"/>
              <w:jc w:val="left"/>
              <w:rPr>
                <w:rFonts w:hint="eastAsia" w:ascii="仿宋_GB2312" w:hAnsi="仿宋" w:eastAsia="仿宋_GB2312"/>
                <w:color w:val="000000"/>
                <w:sz w:val="24"/>
                <w:highlight w:val="none"/>
                <w:lang w:eastAsia="zh-CN"/>
              </w:rPr>
            </w:pPr>
            <w:r>
              <w:rPr>
                <w:rFonts w:hint="eastAsia" w:ascii="仿宋_GB2312" w:hAnsi="仿宋" w:eastAsia="仿宋_GB2312"/>
                <w:color w:val="000000"/>
                <w:sz w:val="24"/>
                <w:highlight w:val="none"/>
                <w:lang w:eastAsia="zh-CN"/>
              </w:rPr>
              <w:t>投标单位：</w:t>
            </w:r>
          </w:p>
          <w:p w14:paraId="2BA1B488">
            <w:pPr>
              <w:spacing w:line="240" w:lineRule="exact"/>
              <w:jc w:val="left"/>
              <w:rPr>
                <w:rFonts w:hint="eastAsia" w:ascii="仿宋_GB2312" w:hAnsi="仿宋" w:eastAsia="仿宋_GB2312"/>
                <w:color w:val="000000"/>
                <w:sz w:val="24"/>
                <w:highlight w:val="none"/>
              </w:rPr>
            </w:pPr>
          </w:p>
          <w:p w14:paraId="21ED3CD6">
            <w:pPr>
              <w:spacing w:line="240" w:lineRule="exact"/>
              <w:jc w:val="left"/>
              <w:rPr>
                <w:rFonts w:hint="eastAsia" w:ascii="仿宋_GB2312" w:hAnsi="仿宋" w:eastAsia="仿宋_GB2312"/>
                <w:color w:val="000000"/>
                <w:sz w:val="24"/>
                <w:highlight w:val="none"/>
              </w:rPr>
            </w:pPr>
          </w:p>
          <w:p w14:paraId="218A8256">
            <w:pPr>
              <w:spacing w:line="240" w:lineRule="exact"/>
              <w:jc w:val="left"/>
              <w:rPr>
                <w:rFonts w:hint="eastAsia" w:ascii="仿宋_GB2312" w:hAnsi="仿宋" w:eastAsia="仿宋_GB2312"/>
                <w:color w:val="000000"/>
                <w:sz w:val="24"/>
                <w:highlight w:val="none"/>
              </w:rPr>
            </w:pPr>
          </w:p>
          <w:p w14:paraId="7534A9BC">
            <w:pPr>
              <w:spacing w:line="240" w:lineRule="exact"/>
              <w:jc w:val="left"/>
              <w:rPr>
                <w:rFonts w:ascii="仿宋_GB2312" w:hAnsi="仿宋" w:eastAsia="仿宋_GB2312"/>
                <w:color w:val="000000"/>
                <w:sz w:val="24"/>
                <w:highlight w:val="none"/>
              </w:rPr>
            </w:pPr>
            <w:r>
              <w:rPr>
                <w:rFonts w:hint="eastAsia" w:ascii="仿宋_GB2312" w:hAnsi="仿宋" w:eastAsia="仿宋_GB2312"/>
                <w:color w:val="000000"/>
                <w:sz w:val="24"/>
                <w:highlight w:val="none"/>
              </w:rPr>
              <w:t>报价（元）：</w:t>
            </w:r>
          </w:p>
        </w:tc>
        <w:tc>
          <w:tcPr>
            <w:tcW w:w="1812" w:type="dxa"/>
            <w:tcBorders>
              <w:top w:val="single" w:color="auto" w:sz="8" w:space="0"/>
              <w:left w:val="single" w:color="auto" w:sz="8" w:space="0"/>
              <w:right w:val="single" w:color="auto" w:sz="8" w:space="0"/>
            </w:tcBorders>
            <w:noWrap w:val="0"/>
            <w:vAlign w:val="top"/>
          </w:tcPr>
          <w:p w14:paraId="5D3C3DE5">
            <w:pPr>
              <w:spacing w:line="240" w:lineRule="exact"/>
              <w:jc w:val="left"/>
              <w:rPr>
                <w:rFonts w:hint="eastAsia" w:ascii="仿宋_GB2312" w:hAnsi="仿宋" w:eastAsia="仿宋_GB2312"/>
                <w:color w:val="000000"/>
                <w:sz w:val="24"/>
                <w:highlight w:val="none"/>
              </w:rPr>
            </w:pPr>
          </w:p>
          <w:p w14:paraId="11F4CA71">
            <w:pPr>
              <w:spacing w:line="240" w:lineRule="exact"/>
              <w:jc w:val="left"/>
              <w:rPr>
                <w:rFonts w:hint="eastAsia" w:ascii="仿宋_GB2312" w:hAnsi="仿宋" w:eastAsia="仿宋_GB2312"/>
                <w:color w:val="000000"/>
                <w:sz w:val="24"/>
                <w:highlight w:val="none"/>
                <w:lang w:eastAsia="zh-CN"/>
              </w:rPr>
            </w:pPr>
            <w:r>
              <w:rPr>
                <w:rFonts w:hint="eastAsia" w:ascii="仿宋_GB2312" w:hAnsi="仿宋" w:eastAsia="仿宋_GB2312"/>
                <w:color w:val="000000"/>
                <w:sz w:val="24"/>
                <w:highlight w:val="none"/>
                <w:lang w:eastAsia="zh-CN"/>
              </w:rPr>
              <w:t>投标单位：</w:t>
            </w:r>
          </w:p>
          <w:p w14:paraId="4F561CD6">
            <w:pPr>
              <w:spacing w:line="240" w:lineRule="exact"/>
              <w:jc w:val="left"/>
              <w:rPr>
                <w:rFonts w:hint="eastAsia" w:ascii="仿宋_GB2312" w:hAnsi="仿宋" w:eastAsia="仿宋_GB2312"/>
                <w:color w:val="000000"/>
                <w:sz w:val="24"/>
                <w:highlight w:val="none"/>
              </w:rPr>
            </w:pPr>
          </w:p>
          <w:p w14:paraId="31D69CC1">
            <w:pPr>
              <w:spacing w:line="240" w:lineRule="exact"/>
              <w:jc w:val="left"/>
              <w:rPr>
                <w:rFonts w:hint="eastAsia" w:ascii="仿宋_GB2312" w:hAnsi="仿宋" w:eastAsia="仿宋_GB2312"/>
                <w:color w:val="000000"/>
                <w:sz w:val="24"/>
                <w:highlight w:val="none"/>
              </w:rPr>
            </w:pPr>
          </w:p>
          <w:p w14:paraId="2ED8DDA6">
            <w:pPr>
              <w:spacing w:line="240" w:lineRule="exact"/>
              <w:jc w:val="left"/>
              <w:rPr>
                <w:rFonts w:hint="eastAsia" w:ascii="仿宋_GB2312" w:hAnsi="仿宋" w:eastAsia="仿宋_GB2312"/>
                <w:color w:val="000000"/>
                <w:sz w:val="24"/>
                <w:highlight w:val="none"/>
              </w:rPr>
            </w:pPr>
          </w:p>
          <w:p w14:paraId="411389B0">
            <w:pPr>
              <w:spacing w:line="240" w:lineRule="exact"/>
              <w:jc w:val="left"/>
              <w:rPr>
                <w:rFonts w:hint="eastAsia" w:ascii="仿宋_GB2312" w:hAnsi="仿宋" w:eastAsia="仿宋_GB2312"/>
                <w:color w:val="000000"/>
                <w:sz w:val="24"/>
                <w:highlight w:val="none"/>
              </w:rPr>
            </w:pPr>
            <w:r>
              <w:rPr>
                <w:rFonts w:hint="eastAsia" w:ascii="仿宋_GB2312" w:hAnsi="仿宋" w:eastAsia="仿宋_GB2312"/>
                <w:color w:val="000000"/>
                <w:sz w:val="24"/>
                <w:highlight w:val="none"/>
              </w:rPr>
              <w:t>报价（元）：</w:t>
            </w:r>
          </w:p>
        </w:tc>
        <w:tc>
          <w:tcPr>
            <w:tcW w:w="1983" w:type="dxa"/>
            <w:tcBorders>
              <w:top w:val="single" w:color="auto" w:sz="8" w:space="0"/>
              <w:left w:val="single" w:color="auto" w:sz="8" w:space="0"/>
              <w:right w:val="single" w:color="auto" w:sz="8" w:space="0"/>
            </w:tcBorders>
            <w:noWrap w:val="0"/>
            <w:vAlign w:val="top"/>
          </w:tcPr>
          <w:p w14:paraId="14A655E5">
            <w:pPr>
              <w:spacing w:line="240" w:lineRule="exact"/>
              <w:jc w:val="left"/>
              <w:rPr>
                <w:rFonts w:hint="eastAsia" w:ascii="仿宋_GB2312" w:hAnsi="仿宋" w:eastAsia="仿宋_GB2312"/>
                <w:color w:val="000000"/>
                <w:sz w:val="24"/>
                <w:highlight w:val="none"/>
              </w:rPr>
            </w:pPr>
          </w:p>
          <w:p w14:paraId="48BCABEC">
            <w:pPr>
              <w:spacing w:line="240" w:lineRule="exact"/>
              <w:jc w:val="left"/>
              <w:rPr>
                <w:rFonts w:hint="eastAsia" w:ascii="仿宋_GB2312" w:hAnsi="仿宋" w:eastAsia="仿宋_GB2312"/>
                <w:color w:val="000000"/>
                <w:sz w:val="24"/>
                <w:highlight w:val="none"/>
                <w:lang w:eastAsia="zh-CN"/>
              </w:rPr>
            </w:pPr>
            <w:r>
              <w:rPr>
                <w:rFonts w:hint="eastAsia" w:ascii="仿宋_GB2312" w:hAnsi="仿宋" w:eastAsia="仿宋_GB2312"/>
                <w:color w:val="000000"/>
                <w:sz w:val="24"/>
                <w:highlight w:val="none"/>
                <w:lang w:eastAsia="zh-CN"/>
              </w:rPr>
              <w:t>投标单位：</w:t>
            </w:r>
          </w:p>
          <w:p w14:paraId="7F84B356">
            <w:pPr>
              <w:spacing w:line="240" w:lineRule="exact"/>
              <w:jc w:val="left"/>
              <w:rPr>
                <w:rFonts w:hint="eastAsia" w:ascii="仿宋_GB2312" w:hAnsi="仿宋" w:eastAsia="仿宋_GB2312"/>
                <w:color w:val="000000"/>
                <w:sz w:val="24"/>
                <w:highlight w:val="none"/>
              </w:rPr>
            </w:pPr>
          </w:p>
          <w:p w14:paraId="55119458">
            <w:pPr>
              <w:spacing w:line="240" w:lineRule="exact"/>
              <w:jc w:val="left"/>
              <w:rPr>
                <w:rFonts w:hint="eastAsia" w:ascii="仿宋_GB2312" w:hAnsi="仿宋" w:eastAsia="仿宋_GB2312"/>
                <w:color w:val="000000"/>
                <w:sz w:val="24"/>
                <w:highlight w:val="none"/>
              </w:rPr>
            </w:pPr>
          </w:p>
          <w:p w14:paraId="2D69C334">
            <w:pPr>
              <w:spacing w:line="240" w:lineRule="exact"/>
              <w:jc w:val="left"/>
              <w:rPr>
                <w:rFonts w:hint="eastAsia" w:ascii="仿宋_GB2312" w:hAnsi="仿宋" w:eastAsia="仿宋_GB2312"/>
                <w:color w:val="000000"/>
                <w:sz w:val="24"/>
                <w:highlight w:val="none"/>
              </w:rPr>
            </w:pPr>
          </w:p>
          <w:p w14:paraId="627863EA">
            <w:pPr>
              <w:spacing w:line="240" w:lineRule="exact"/>
              <w:jc w:val="left"/>
              <w:rPr>
                <w:rFonts w:hint="eastAsia" w:ascii="仿宋_GB2312" w:hAnsi="仿宋" w:eastAsia="仿宋_GB2312"/>
                <w:color w:val="000000"/>
                <w:sz w:val="24"/>
                <w:highlight w:val="none"/>
              </w:rPr>
            </w:pPr>
            <w:r>
              <w:rPr>
                <w:rFonts w:hint="eastAsia" w:ascii="仿宋_GB2312" w:hAnsi="仿宋" w:eastAsia="仿宋_GB2312"/>
                <w:color w:val="000000"/>
                <w:sz w:val="24"/>
                <w:highlight w:val="none"/>
              </w:rPr>
              <w:t>报价（元）：</w:t>
            </w:r>
          </w:p>
        </w:tc>
      </w:tr>
      <w:tr w14:paraId="4551880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21" w:hRule="atLeast"/>
          <w:tblHeader/>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6A884AC7">
            <w:pPr>
              <w:jc w:val="center"/>
              <w:rPr>
                <w:rFonts w:ascii="仿宋_GB2312" w:hAnsi="仿宋" w:eastAsia="仿宋_GB2312"/>
                <w:color w:val="000000"/>
                <w:sz w:val="24"/>
                <w:highlight w:val="none"/>
              </w:rPr>
            </w:pPr>
          </w:p>
        </w:tc>
        <w:tc>
          <w:tcPr>
            <w:tcW w:w="823" w:type="dxa"/>
            <w:vMerge w:val="continue"/>
            <w:tcBorders>
              <w:left w:val="single" w:color="auto" w:sz="4" w:space="0"/>
              <w:right w:val="single" w:color="auto" w:sz="8" w:space="0"/>
            </w:tcBorders>
            <w:noWrap w:val="0"/>
            <w:vAlign w:val="center"/>
          </w:tcPr>
          <w:p w14:paraId="3CED8FC1">
            <w:pPr>
              <w:widowControl/>
              <w:spacing w:line="320" w:lineRule="exact"/>
              <w:jc w:val="left"/>
              <w:rPr>
                <w:rFonts w:hint="eastAsia" w:ascii="仿宋_GB2312" w:hAnsi="仿宋" w:eastAsia="仿宋_GB2312"/>
                <w:color w:val="000000"/>
                <w:sz w:val="24"/>
                <w:szCs w:val="24"/>
                <w:highlight w:val="none"/>
                <w:lang w:bidi="th-TH"/>
              </w:rPr>
            </w:pPr>
          </w:p>
        </w:tc>
        <w:tc>
          <w:tcPr>
            <w:tcW w:w="756" w:type="dxa"/>
            <w:vMerge w:val="continue"/>
            <w:tcBorders>
              <w:left w:val="single" w:color="auto" w:sz="8" w:space="0"/>
              <w:right w:val="single" w:color="auto" w:sz="8" w:space="0"/>
            </w:tcBorders>
            <w:noWrap w:val="0"/>
            <w:vAlign w:val="center"/>
          </w:tcPr>
          <w:p w14:paraId="79BF3131">
            <w:pPr>
              <w:widowControl/>
              <w:spacing w:line="320" w:lineRule="exact"/>
              <w:jc w:val="left"/>
              <w:rPr>
                <w:rFonts w:hint="eastAsia" w:ascii="仿宋_GB2312" w:hAnsi="仿宋" w:eastAsia="仿宋_GB2312"/>
                <w:color w:val="000000"/>
                <w:sz w:val="24"/>
                <w:szCs w:val="24"/>
                <w:highlight w:val="none"/>
                <w:lang w:bidi="th-TH"/>
              </w:rPr>
            </w:pPr>
          </w:p>
        </w:tc>
        <w:tc>
          <w:tcPr>
            <w:tcW w:w="758" w:type="dxa"/>
            <w:vMerge w:val="continue"/>
            <w:tcBorders>
              <w:left w:val="single" w:color="auto" w:sz="8" w:space="0"/>
              <w:right w:val="single" w:color="auto" w:sz="8" w:space="0"/>
            </w:tcBorders>
            <w:noWrap w:val="0"/>
            <w:vAlign w:val="center"/>
          </w:tcPr>
          <w:p w14:paraId="73B143FC">
            <w:pPr>
              <w:widowControl/>
              <w:spacing w:line="320" w:lineRule="exact"/>
              <w:jc w:val="left"/>
              <w:rPr>
                <w:rFonts w:hint="eastAsia" w:ascii="仿宋_GB2312" w:hAnsi="仿宋" w:eastAsia="仿宋_GB2312"/>
                <w:color w:val="000000"/>
                <w:sz w:val="24"/>
                <w:szCs w:val="24"/>
                <w:highlight w:val="none"/>
                <w:lang w:bidi="th-TH"/>
              </w:rPr>
            </w:pPr>
          </w:p>
        </w:tc>
        <w:tc>
          <w:tcPr>
            <w:tcW w:w="6872" w:type="dxa"/>
            <w:vMerge w:val="continue"/>
            <w:tcBorders>
              <w:left w:val="single" w:color="auto" w:sz="8" w:space="0"/>
              <w:right w:val="single" w:color="auto" w:sz="8" w:space="0"/>
            </w:tcBorders>
            <w:noWrap w:val="0"/>
            <w:vAlign w:val="center"/>
          </w:tcPr>
          <w:p w14:paraId="1F87B040">
            <w:pPr>
              <w:widowControl/>
              <w:spacing w:line="320" w:lineRule="exact"/>
              <w:jc w:val="left"/>
              <w:rPr>
                <w:rFonts w:hint="eastAsia" w:ascii="仿宋_GB2312" w:hAnsi="仿宋" w:eastAsia="仿宋_GB2312"/>
                <w:color w:val="000000"/>
                <w:sz w:val="24"/>
                <w:szCs w:val="24"/>
                <w:highlight w:val="none"/>
                <w:lang w:bidi="th-TH"/>
              </w:rPr>
            </w:pPr>
          </w:p>
        </w:tc>
        <w:tc>
          <w:tcPr>
            <w:tcW w:w="2141" w:type="dxa"/>
            <w:tcBorders>
              <w:top w:val="single" w:color="auto" w:sz="8" w:space="0"/>
              <w:left w:val="single" w:color="auto" w:sz="8" w:space="0"/>
              <w:right w:val="single" w:color="auto" w:sz="8" w:space="0"/>
            </w:tcBorders>
            <w:noWrap w:val="0"/>
            <w:vAlign w:val="top"/>
          </w:tcPr>
          <w:p w14:paraId="38CF4363">
            <w:pPr>
              <w:spacing w:line="240" w:lineRule="exact"/>
              <w:jc w:val="center"/>
              <w:rPr>
                <w:rFonts w:ascii="仿宋_GB2312" w:hAnsi="仿宋" w:eastAsia="仿宋_GB2312"/>
                <w:color w:val="000000"/>
                <w:sz w:val="24"/>
                <w:highlight w:val="none"/>
              </w:rPr>
            </w:pPr>
          </w:p>
        </w:tc>
        <w:tc>
          <w:tcPr>
            <w:tcW w:w="1812" w:type="dxa"/>
            <w:tcBorders>
              <w:top w:val="single" w:color="auto" w:sz="8" w:space="0"/>
              <w:left w:val="single" w:color="auto" w:sz="8" w:space="0"/>
              <w:right w:val="single" w:color="auto" w:sz="8" w:space="0"/>
            </w:tcBorders>
            <w:noWrap w:val="0"/>
            <w:vAlign w:val="top"/>
          </w:tcPr>
          <w:p w14:paraId="338CF370">
            <w:pPr>
              <w:spacing w:line="240" w:lineRule="exact"/>
              <w:jc w:val="center"/>
              <w:rPr>
                <w:rFonts w:ascii="仿宋_GB2312" w:hAnsi="仿宋" w:eastAsia="仿宋_GB2312"/>
                <w:color w:val="000000"/>
                <w:sz w:val="24"/>
                <w:highlight w:val="none"/>
              </w:rPr>
            </w:pPr>
          </w:p>
        </w:tc>
        <w:tc>
          <w:tcPr>
            <w:tcW w:w="1983" w:type="dxa"/>
            <w:tcBorders>
              <w:top w:val="single" w:color="auto" w:sz="8" w:space="0"/>
              <w:left w:val="single" w:color="auto" w:sz="8" w:space="0"/>
              <w:right w:val="single" w:color="auto" w:sz="8" w:space="0"/>
            </w:tcBorders>
            <w:noWrap w:val="0"/>
            <w:vAlign w:val="top"/>
          </w:tcPr>
          <w:p w14:paraId="3E695ADF">
            <w:pPr>
              <w:spacing w:line="240" w:lineRule="exact"/>
              <w:jc w:val="center"/>
              <w:rPr>
                <w:rFonts w:ascii="仿宋_GB2312" w:hAnsi="仿宋" w:eastAsia="仿宋_GB2312"/>
                <w:color w:val="000000"/>
                <w:sz w:val="24"/>
                <w:highlight w:val="none"/>
              </w:rPr>
            </w:pPr>
          </w:p>
        </w:tc>
      </w:tr>
      <w:tr w14:paraId="7D3A7FC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659" w:hRule="atLeast"/>
          <w:tblHeader/>
        </w:trPr>
        <w:tc>
          <w:tcPr>
            <w:tcW w:w="727" w:type="dxa"/>
            <w:tcBorders>
              <w:top w:val="single" w:color="auto" w:sz="4" w:space="0"/>
              <w:left w:val="single" w:color="auto" w:sz="4" w:space="0"/>
              <w:bottom w:val="single" w:color="auto" w:sz="4" w:space="0"/>
              <w:right w:val="single" w:color="auto" w:sz="4" w:space="0"/>
            </w:tcBorders>
            <w:noWrap w:val="0"/>
            <w:vAlign w:val="center"/>
          </w:tcPr>
          <w:p w14:paraId="61C08C78">
            <w:pPr>
              <w:jc w:val="center"/>
              <w:rPr>
                <w:rFonts w:hint="eastAsia" w:ascii="仿宋_GB2312" w:hAnsi="仿宋" w:eastAsia="仿宋_GB2312" w:cs="Times New Roman"/>
                <w:color w:val="000000"/>
                <w:sz w:val="24"/>
                <w:highlight w:val="none"/>
              </w:rPr>
            </w:pPr>
          </w:p>
          <w:p w14:paraId="430D4E6F">
            <w:pPr>
              <w:jc w:val="center"/>
              <w:rPr>
                <w:rFonts w:hint="eastAsia" w:ascii="仿宋_GB2312" w:hAnsi="仿宋" w:eastAsia="仿宋_GB2312" w:cs="Times New Roman"/>
                <w:color w:val="000000"/>
                <w:sz w:val="24"/>
                <w:highlight w:val="none"/>
                <w:lang w:val="en-US" w:eastAsia="zh-CN"/>
              </w:rPr>
            </w:pPr>
            <w:r>
              <w:rPr>
                <w:rFonts w:hint="eastAsia" w:ascii="仿宋_GB2312" w:hAnsi="仿宋" w:eastAsia="仿宋_GB2312" w:cs="Times New Roman"/>
                <w:color w:val="000000"/>
                <w:sz w:val="24"/>
                <w:highlight w:val="none"/>
                <w:lang w:val="en-US" w:eastAsia="zh-CN"/>
              </w:rPr>
              <w:t>综合</w:t>
            </w:r>
          </w:p>
        </w:tc>
        <w:tc>
          <w:tcPr>
            <w:tcW w:w="823" w:type="dxa"/>
            <w:tcBorders>
              <w:top w:val="single" w:color="auto" w:sz="6" w:space="0"/>
              <w:left w:val="single" w:color="auto" w:sz="4" w:space="0"/>
              <w:bottom w:val="single" w:color="auto" w:sz="6" w:space="0"/>
              <w:right w:val="single" w:color="auto" w:sz="6" w:space="0"/>
            </w:tcBorders>
            <w:noWrap w:val="0"/>
            <w:vAlign w:val="center"/>
          </w:tcPr>
          <w:p w14:paraId="4EDE4C04">
            <w:pPr>
              <w:spacing w:line="360" w:lineRule="exact"/>
              <w:jc w:val="center"/>
              <w:rPr>
                <w:rFonts w:hint="eastAsia" w:ascii="仿宋_GB2312" w:hAnsi="仿宋" w:eastAsia="仿宋_GB2312" w:cs="Times New Roman"/>
                <w:color w:val="000000"/>
                <w:sz w:val="24"/>
                <w:szCs w:val="24"/>
                <w:highlight w:val="none"/>
                <w:lang w:bidi="th-TH"/>
              </w:rPr>
            </w:pPr>
            <w:r>
              <w:rPr>
                <w:rFonts w:hint="eastAsia" w:ascii="仿宋_GB2312" w:hAnsi="仿宋" w:eastAsia="仿宋_GB2312"/>
                <w:color w:val="000000"/>
                <w:sz w:val="24"/>
                <w:highlight w:val="none"/>
                <w:lang w:eastAsia="zh-CN"/>
              </w:rPr>
              <w:t>项目</w:t>
            </w:r>
            <w:r>
              <w:rPr>
                <w:rFonts w:hint="eastAsia" w:ascii="仿宋_GB2312" w:hAnsi="仿宋" w:eastAsia="仿宋_GB2312"/>
                <w:color w:val="000000"/>
                <w:sz w:val="24"/>
                <w:highlight w:val="none"/>
              </w:rPr>
              <w:t>小组人员情况</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34EC88FA">
            <w:pPr>
              <w:spacing w:line="360" w:lineRule="exact"/>
              <w:jc w:val="center"/>
              <w:rPr>
                <w:rFonts w:hint="eastAsia" w:ascii="仿宋_GB2312" w:hAnsi="仿宋" w:eastAsia="仿宋_GB2312" w:cs="Times New Roman"/>
                <w:color w:val="000000"/>
                <w:sz w:val="24"/>
                <w:szCs w:val="24"/>
                <w:highlight w:val="none"/>
                <w:lang w:bidi="th-TH"/>
              </w:rPr>
            </w:pPr>
            <w:r>
              <w:rPr>
                <w:rFonts w:hint="eastAsia" w:ascii="仿宋_GB2312" w:hAnsi="仿宋" w:eastAsia="仿宋_GB2312"/>
                <w:color w:val="000000"/>
                <w:sz w:val="24"/>
                <w:highlight w:val="none"/>
                <w:lang w:val="en-US" w:eastAsia="zh-CN"/>
              </w:rPr>
              <w:t>20</w:t>
            </w:r>
            <w:r>
              <w:rPr>
                <w:rFonts w:hint="eastAsia" w:ascii="仿宋_GB2312" w:hAnsi="仿宋" w:eastAsia="仿宋_GB2312"/>
                <w:color w:val="000000"/>
                <w:sz w:val="24"/>
                <w:highlight w:val="none"/>
              </w:rPr>
              <w:t>%</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6166F92E">
            <w:pPr>
              <w:widowControl/>
              <w:spacing w:line="320" w:lineRule="exact"/>
              <w:jc w:val="left"/>
              <w:rPr>
                <w:rFonts w:hint="eastAsia" w:ascii="仿宋_GB2312" w:hAnsi="仿宋" w:eastAsia="仿宋_GB2312" w:cs="Times New Roman"/>
                <w:color w:val="000000"/>
                <w:sz w:val="24"/>
                <w:szCs w:val="24"/>
                <w:highlight w:val="none"/>
                <w:lang w:bidi="th-TH"/>
              </w:rPr>
            </w:pPr>
            <w:r>
              <w:rPr>
                <w:rFonts w:hint="eastAsia" w:ascii="仿宋_GB2312" w:hAnsi="仿宋" w:eastAsia="仿宋_GB2312"/>
                <w:color w:val="000000"/>
                <w:sz w:val="24"/>
                <w:szCs w:val="24"/>
                <w:highlight w:val="none"/>
                <w:lang w:val="en-US" w:eastAsia="zh-CN" w:bidi="th-TH"/>
              </w:rPr>
              <w:t>20</w:t>
            </w:r>
            <w:r>
              <w:rPr>
                <w:rFonts w:hint="eastAsia" w:ascii="仿宋_GB2312" w:hAnsi="仿宋" w:eastAsia="仿宋_GB2312"/>
                <w:color w:val="000000"/>
                <w:sz w:val="24"/>
                <w:szCs w:val="24"/>
                <w:highlight w:val="none"/>
                <w:lang w:bidi="th-TH"/>
              </w:rPr>
              <w:t>分</w:t>
            </w:r>
          </w:p>
        </w:tc>
        <w:tc>
          <w:tcPr>
            <w:tcW w:w="6872" w:type="dxa"/>
            <w:tcBorders>
              <w:top w:val="single" w:color="auto" w:sz="6" w:space="0"/>
              <w:left w:val="single" w:color="auto" w:sz="6" w:space="0"/>
              <w:bottom w:val="single" w:color="auto" w:sz="6" w:space="0"/>
              <w:right w:val="single" w:color="auto" w:sz="8" w:space="0"/>
            </w:tcBorders>
            <w:noWrap w:val="0"/>
            <w:vAlign w:val="center"/>
          </w:tcPr>
          <w:p w14:paraId="3AD26B25">
            <w:pPr>
              <w:widowControl/>
              <w:spacing w:line="320" w:lineRule="exact"/>
              <w:jc w:val="left"/>
              <w:rPr>
                <w:rFonts w:hint="eastAsia" w:ascii="仿宋_GB2312" w:hAnsi="仿宋" w:eastAsia="仿宋_GB2312"/>
                <w:color w:val="000000"/>
                <w:sz w:val="24"/>
                <w:szCs w:val="24"/>
                <w:highlight w:val="none"/>
                <w:lang w:val="en-US" w:eastAsia="zh-CN" w:bidi="th-TH"/>
              </w:rPr>
            </w:pPr>
            <w:r>
              <w:rPr>
                <w:rFonts w:hint="eastAsia" w:ascii="仿宋_GB2312" w:hAnsi="仿宋" w:eastAsia="仿宋_GB2312"/>
                <w:color w:val="000000"/>
                <w:sz w:val="24"/>
                <w:szCs w:val="24"/>
                <w:highlight w:val="none"/>
                <w:lang w:eastAsia="zh-CN" w:bidi="th-TH"/>
              </w:rPr>
              <w:t>按以下要求计算得分：</w:t>
            </w:r>
          </w:p>
          <w:p w14:paraId="33E66000">
            <w:pPr>
              <w:widowControl/>
              <w:spacing w:line="320" w:lineRule="exact"/>
              <w:jc w:val="left"/>
              <w:rPr>
                <w:rFonts w:hint="eastAsia" w:ascii="仿宋_GB2312" w:hAnsi="仿宋" w:eastAsia="仿宋_GB2312" w:cs="Times New Roman"/>
                <w:color w:val="000000"/>
                <w:sz w:val="24"/>
                <w:szCs w:val="24"/>
                <w:highlight w:val="none"/>
                <w:lang w:val="en-US" w:eastAsia="zh-CN" w:bidi="th-TH"/>
              </w:rPr>
            </w:pPr>
            <w:r>
              <w:rPr>
                <w:rFonts w:hint="eastAsia" w:ascii="仿宋_GB2312" w:hAnsi="仿宋" w:eastAsia="仿宋_GB2312"/>
                <w:color w:val="000000"/>
                <w:sz w:val="24"/>
                <w:szCs w:val="24"/>
                <w:highlight w:val="none"/>
                <w:lang w:val="en-US" w:eastAsia="zh-CN" w:bidi="th-TH"/>
              </w:rPr>
              <w:t>（1）项</w:t>
            </w:r>
            <w:r>
              <w:rPr>
                <w:rFonts w:hint="eastAsia" w:ascii="仿宋_GB2312" w:hAnsi="仿宋" w:eastAsia="仿宋_GB2312" w:cs="Times New Roman"/>
                <w:color w:val="000000"/>
                <w:sz w:val="24"/>
                <w:szCs w:val="24"/>
                <w:highlight w:val="none"/>
                <w:lang w:val="en-US" w:eastAsia="zh-CN" w:bidi="th-TH"/>
              </w:rPr>
              <w:t>目负责人</w:t>
            </w:r>
            <w:r>
              <w:rPr>
                <w:rFonts w:hint="eastAsia" w:ascii="仿宋_GB2312" w:hAnsi="仿宋" w:eastAsia="仿宋_GB2312"/>
                <w:sz w:val="24"/>
                <w:lang w:bidi="th-TH"/>
              </w:rPr>
              <w:t>需为投标人自有员工</w:t>
            </w:r>
            <w:r>
              <w:rPr>
                <w:rFonts w:hint="eastAsia" w:ascii="仿宋_GB2312" w:hAnsi="仿宋" w:eastAsia="仿宋_GB2312"/>
                <w:sz w:val="24"/>
                <w:lang w:eastAsia="zh-CN" w:bidi="th-TH"/>
              </w:rPr>
              <w:t>，</w:t>
            </w:r>
            <w:bookmarkStart w:id="0" w:name="_GoBack"/>
            <w:bookmarkEnd w:id="0"/>
            <w:r>
              <w:rPr>
                <w:rFonts w:hint="eastAsia" w:ascii="仿宋_GB2312" w:hAnsi="仿宋" w:eastAsia="仿宋_GB2312" w:cs="Times New Roman"/>
                <w:color w:val="000000"/>
                <w:sz w:val="24"/>
                <w:szCs w:val="24"/>
                <w:highlight w:val="none"/>
                <w:lang w:val="en-US" w:eastAsia="zh-CN" w:bidi="th-TH"/>
              </w:rPr>
              <w:t>需全程参与，具有汉语言文学或新闻传播类专业本科或以上学历或新闻传播类专业资质（采编资格证、记者证等行业专业资质），具备大型活动宣传推广</w:t>
            </w:r>
            <w:r>
              <w:rPr>
                <w:rFonts w:hint="default" w:ascii="仿宋_GB2312" w:hAnsi="仿宋" w:eastAsia="仿宋_GB2312" w:cs="Times New Roman"/>
                <w:color w:val="000000"/>
                <w:sz w:val="24"/>
                <w:szCs w:val="24"/>
                <w:highlight w:val="none"/>
                <w:lang w:val="en-US" w:eastAsia="zh-CN" w:bidi="th-TH"/>
              </w:rPr>
              <w:t>等工作经验</w:t>
            </w:r>
            <w:r>
              <w:rPr>
                <w:rFonts w:hint="eastAsia" w:ascii="仿宋_GB2312" w:hAnsi="仿宋" w:eastAsia="仿宋_GB2312" w:cs="Times New Roman"/>
                <w:color w:val="000000"/>
                <w:sz w:val="24"/>
                <w:szCs w:val="24"/>
                <w:highlight w:val="none"/>
                <w:lang w:val="en-US" w:eastAsia="zh-CN" w:bidi="th-TH"/>
              </w:rPr>
              <w:t>，得10分；</w:t>
            </w:r>
          </w:p>
          <w:p w14:paraId="1C8E96C5">
            <w:pPr>
              <w:widowControl/>
              <w:spacing w:line="320" w:lineRule="exact"/>
              <w:jc w:val="left"/>
              <w:rPr>
                <w:rFonts w:hint="default" w:ascii="仿宋_GB2312" w:hAnsi="仿宋" w:eastAsia="仿宋_GB2312" w:cs="Times New Roman"/>
                <w:color w:val="000000"/>
                <w:sz w:val="24"/>
                <w:szCs w:val="24"/>
                <w:highlight w:val="none"/>
                <w:lang w:val="en-US" w:eastAsia="zh-CN" w:bidi="th-TH"/>
              </w:rPr>
            </w:pPr>
            <w:r>
              <w:rPr>
                <w:rFonts w:hint="eastAsia" w:ascii="仿宋_GB2312" w:hAnsi="仿宋" w:eastAsia="仿宋_GB2312" w:cs="Times New Roman"/>
                <w:color w:val="000000"/>
                <w:sz w:val="24"/>
                <w:szCs w:val="24"/>
                <w:highlight w:val="none"/>
                <w:lang w:val="en-US" w:eastAsia="zh-CN" w:bidi="th-TH"/>
              </w:rPr>
              <w:t>（2）投标人拟安排的项目团队成员必须不少于</w:t>
            </w:r>
            <w:r>
              <w:rPr>
                <w:rFonts w:hint="default" w:ascii="仿宋_GB2312" w:hAnsi="仿宋" w:eastAsia="仿宋_GB2312" w:cs="Times New Roman"/>
                <w:color w:val="000000"/>
                <w:sz w:val="24"/>
                <w:szCs w:val="24"/>
                <w:highlight w:val="none"/>
                <w:lang w:val="en-US" w:eastAsia="zh-CN" w:bidi="th-TH"/>
              </w:rPr>
              <w:t>5</w:t>
            </w:r>
            <w:r>
              <w:rPr>
                <w:rFonts w:hint="eastAsia" w:ascii="仿宋_GB2312" w:hAnsi="仿宋" w:eastAsia="仿宋_GB2312" w:cs="Times New Roman"/>
                <w:color w:val="000000"/>
                <w:sz w:val="24"/>
                <w:szCs w:val="24"/>
                <w:highlight w:val="none"/>
                <w:lang w:val="en-US" w:eastAsia="zh-CN" w:bidi="th-TH"/>
              </w:rPr>
              <w:t>人，团队成员需为投标人自有员工，符合要求的，得5分；团队成员中，5名及以上具有本科或以上学历的，每人得1分，最高5分。</w:t>
            </w:r>
          </w:p>
        </w:tc>
        <w:tc>
          <w:tcPr>
            <w:tcW w:w="2141" w:type="dxa"/>
            <w:tcBorders>
              <w:top w:val="single" w:color="auto" w:sz="6" w:space="0"/>
              <w:left w:val="single" w:color="auto" w:sz="6" w:space="0"/>
              <w:bottom w:val="single" w:color="auto" w:sz="6" w:space="0"/>
              <w:right w:val="single" w:color="auto" w:sz="8" w:space="0"/>
            </w:tcBorders>
            <w:noWrap w:val="0"/>
            <w:vAlign w:val="center"/>
          </w:tcPr>
          <w:p w14:paraId="07D87705">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仿宋" w:eastAsia="仿宋_GB2312"/>
                <w:color w:val="000000"/>
                <w:sz w:val="24"/>
                <w:highlight w:val="none"/>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27EB45C5">
            <w:pPr>
              <w:widowControl/>
              <w:spacing w:line="440" w:lineRule="exact"/>
              <w:jc w:val="left"/>
              <w:rPr>
                <w:rFonts w:ascii="仿宋_GB2312" w:hAnsi="仿宋" w:eastAsia="仿宋_GB2312"/>
                <w:color w:val="000000"/>
                <w:sz w:val="24"/>
                <w:highlight w:val="none"/>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6DF98CC0">
            <w:pPr>
              <w:widowControl/>
              <w:spacing w:line="440" w:lineRule="exact"/>
              <w:jc w:val="left"/>
              <w:rPr>
                <w:rFonts w:ascii="仿宋_GB2312" w:hAnsi="仿宋" w:eastAsia="仿宋_GB2312"/>
                <w:color w:val="000000"/>
                <w:sz w:val="24"/>
                <w:highlight w:val="none"/>
              </w:rPr>
            </w:pPr>
          </w:p>
        </w:tc>
      </w:tr>
      <w:tr w14:paraId="5506DC9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40" w:hRule="atLeast"/>
          <w:tblHeader/>
        </w:trPr>
        <w:tc>
          <w:tcPr>
            <w:tcW w:w="727" w:type="dxa"/>
            <w:tcBorders>
              <w:top w:val="single" w:color="auto" w:sz="4" w:space="0"/>
              <w:left w:val="single" w:color="auto" w:sz="4" w:space="0"/>
              <w:bottom w:val="single" w:color="auto" w:sz="4" w:space="0"/>
              <w:right w:val="single" w:color="auto" w:sz="4" w:space="0"/>
            </w:tcBorders>
            <w:noWrap w:val="0"/>
            <w:vAlign w:val="center"/>
          </w:tcPr>
          <w:p w14:paraId="10DC469A">
            <w:pPr>
              <w:spacing w:line="320" w:lineRule="exact"/>
              <w:jc w:val="center"/>
              <w:rPr>
                <w:rFonts w:hint="eastAsia" w:ascii="仿宋_GB2312" w:hAnsi="仿宋" w:eastAsia="仿宋_GB2312" w:cs="Times New Roman"/>
                <w:b/>
                <w:color w:val="000000"/>
                <w:sz w:val="24"/>
                <w:highlight w:val="none"/>
                <w:lang w:eastAsia="zh-CN"/>
              </w:rPr>
            </w:pPr>
            <w:r>
              <w:rPr>
                <w:rFonts w:hint="eastAsia" w:ascii="仿宋_GB2312" w:hAnsi="仿宋" w:eastAsia="仿宋_GB2312" w:cs="Times New Roman"/>
                <w:b/>
                <w:color w:val="000000"/>
                <w:sz w:val="24"/>
                <w:highlight w:val="none"/>
                <w:lang w:eastAsia="zh-CN"/>
              </w:rPr>
              <w:t>类别</w:t>
            </w:r>
          </w:p>
        </w:tc>
        <w:tc>
          <w:tcPr>
            <w:tcW w:w="823" w:type="dxa"/>
            <w:tcBorders>
              <w:top w:val="single" w:color="auto" w:sz="6" w:space="0"/>
              <w:left w:val="single" w:color="auto" w:sz="4" w:space="0"/>
              <w:bottom w:val="single" w:color="auto" w:sz="6" w:space="0"/>
              <w:right w:val="single" w:color="auto" w:sz="6" w:space="0"/>
            </w:tcBorders>
            <w:noWrap w:val="0"/>
            <w:vAlign w:val="center"/>
          </w:tcPr>
          <w:p w14:paraId="0C7101D1">
            <w:pPr>
              <w:spacing w:line="320" w:lineRule="exact"/>
              <w:jc w:val="center"/>
              <w:rPr>
                <w:rFonts w:hint="eastAsia" w:ascii="仿宋_GB2312" w:hAnsi="仿宋" w:eastAsia="仿宋_GB2312" w:cs="Times New Roman"/>
                <w:b/>
                <w:color w:val="000000"/>
                <w:sz w:val="24"/>
                <w:highlight w:val="none"/>
                <w:lang w:val="en-US" w:eastAsia="zh-CN"/>
              </w:rPr>
            </w:pPr>
            <w:r>
              <w:rPr>
                <w:rFonts w:hint="eastAsia" w:ascii="仿宋_GB2312" w:hAnsi="仿宋" w:eastAsia="仿宋_GB2312" w:cs="Times New Roman"/>
                <w:b/>
                <w:color w:val="000000"/>
                <w:sz w:val="24"/>
                <w:highlight w:val="none"/>
              </w:rPr>
              <w:t>评分项目</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099AE66F">
            <w:pPr>
              <w:spacing w:line="320" w:lineRule="exact"/>
              <w:jc w:val="center"/>
              <w:rPr>
                <w:rFonts w:hint="eastAsia" w:ascii="仿宋_GB2312" w:hAnsi="仿宋" w:eastAsia="仿宋_GB2312" w:cs="Times New Roman"/>
                <w:b/>
                <w:color w:val="000000"/>
                <w:sz w:val="24"/>
                <w:highlight w:val="none"/>
                <w:lang w:val="en-US" w:eastAsia="zh-CN"/>
              </w:rPr>
            </w:pPr>
            <w:r>
              <w:rPr>
                <w:rFonts w:hint="eastAsia" w:ascii="仿宋_GB2312" w:hAnsi="仿宋" w:eastAsia="仿宋_GB2312" w:cs="Times New Roman"/>
                <w:b/>
                <w:color w:val="000000"/>
                <w:sz w:val="24"/>
                <w:highlight w:val="none"/>
              </w:rPr>
              <w:t>权重</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1761112E">
            <w:pPr>
              <w:spacing w:line="320" w:lineRule="exact"/>
              <w:jc w:val="center"/>
              <w:rPr>
                <w:rFonts w:hint="eastAsia" w:ascii="仿宋_GB2312" w:hAnsi="仿宋" w:eastAsia="仿宋_GB2312" w:cs="Times New Roman"/>
                <w:b/>
                <w:color w:val="000000"/>
                <w:sz w:val="24"/>
                <w:highlight w:val="none"/>
                <w:lang w:val="en-US" w:eastAsia="zh-CN"/>
              </w:rPr>
            </w:pPr>
            <w:r>
              <w:rPr>
                <w:rFonts w:hint="eastAsia" w:ascii="仿宋_GB2312" w:hAnsi="仿宋" w:eastAsia="仿宋_GB2312" w:cs="Times New Roman"/>
                <w:b/>
                <w:color w:val="000000"/>
                <w:sz w:val="24"/>
                <w:highlight w:val="none"/>
              </w:rPr>
              <w:t>分值</w:t>
            </w:r>
          </w:p>
        </w:tc>
        <w:tc>
          <w:tcPr>
            <w:tcW w:w="6872" w:type="dxa"/>
            <w:tcBorders>
              <w:top w:val="single" w:color="auto" w:sz="6" w:space="0"/>
              <w:left w:val="single" w:color="auto" w:sz="6" w:space="0"/>
              <w:bottom w:val="single" w:color="auto" w:sz="6" w:space="0"/>
              <w:right w:val="single" w:color="auto" w:sz="8" w:space="0"/>
            </w:tcBorders>
            <w:noWrap w:val="0"/>
            <w:vAlign w:val="center"/>
          </w:tcPr>
          <w:p w14:paraId="18CAE863">
            <w:pPr>
              <w:spacing w:line="320" w:lineRule="exact"/>
              <w:jc w:val="center"/>
              <w:rPr>
                <w:rFonts w:hint="eastAsia" w:ascii="仿宋_GB2312" w:hAnsi="仿宋" w:eastAsia="仿宋_GB2312" w:cs="Times New Roman"/>
                <w:b/>
                <w:color w:val="000000"/>
                <w:sz w:val="24"/>
                <w:highlight w:val="none"/>
              </w:rPr>
            </w:pPr>
            <w:r>
              <w:rPr>
                <w:rFonts w:hint="eastAsia" w:ascii="仿宋_GB2312" w:hAnsi="仿宋" w:eastAsia="仿宋_GB2312" w:cs="Times New Roman"/>
                <w:b/>
                <w:color w:val="000000"/>
                <w:sz w:val="24"/>
                <w:highlight w:val="none"/>
              </w:rPr>
              <w:t>评分参考及范围</w:t>
            </w:r>
          </w:p>
        </w:tc>
        <w:tc>
          <w:tcPr>
            <w:tcW w:w="2141" w:type="dxa"/>
            <w:tcBorders>
              <w:top w:val="single" w:color="auto" w:sz="6" w:space="0"/>
              <w:left w:val="single" w:color="auto" w:sz="6" w:space="0"/>
              <w:bottom w:val="single" w:color="auto" w:sz="6" w:space="0"/>
              <w:right w:val="single" w:color="auto" w:sz="8" w:space="0"/>
            </w:tcBorders>
            <w:noWrap w:val="0"/>
            <w:vAlign w:val="center"/>
          </w:tcPr>
          <w:p w14:paraId="28F24861">
            <w:pPr>
              <w:spacing w:line="320" w:lineRule="exact"/>
              <w:jc w:val="center"/>
              <w:rPr>
                <w:rFonts w:hint="eastAsia" w:ascii="仿宋_GB2312" w:hAnsi="仿宋" w:eastAsia="仿宋_GB2312" w:cs="Times New Roman"/>
                <w:b/>
                <w:color w:val="000000"/>
                <w:sz w:val="24"/>
                <w:highlight w:val="none"/>
              </w:rPr>
            </w:pPr>
            <w:r>
              <w:rPr>
                <w:rFonts w:hint="eastAsia" w:ascii="仿宋_GB2312" w:hAnsi="仿宋" w:eastAsia="仿宋_GB2312" w:cs="Times New Roman"/>
                <w:b/>
                <w:color w:val="000000"/>
                <w:sz w:val="24"/>
                <w:highlight w:val="none"/>
              </w:rPr>
              <w:t>得分</w:t>
            </w:r>
          </w:p>
        </w:tc>
        <w:tc>
          <w:tcPr>
            <w:tcW w:w="1812" w:type="dxa"/>
            <w:tcBorders>
              <w:top w:val="single" w:color="auto" w:sz="6" w:space="0"/>
              <w:left w:val="single" w:color="auto" w:sz="6" w:space="0"/>
              <w:bottom w:val="single" w:color="auto" w:sz="6" w:space="0"/>
              <w:right w:val="single" w:color="auto" w:sz="8" w:space="0"/>
            </w:tcBorders>
            <w:noWrap w:val="0"/>
            <w:vAlign w:val="center"/>
          </w:tcPr>
          <w:p w14:paraId="7CCEE537">
            <w:pPr>
              <w:spacing w:line="320" w:lineRule="exact"/>
              <w:jc w:val="center"/>
              <w:rPr>
                <w:rFonts w:hint="eastAsia" w:ascii="仿宋_GB2312" w:hAnsi="仿宋" w:eastAsia="仿宋_GB2312" w:cs="Times New Roman"/>
                <w:b/>
                <w:color w:val="000000"/>
                <w:sz w:val="24"/>
                <w:highlight w:val="none"/>
              </w:rPr>
            </w:pPr>
            <w:r>
              <w:rPr>
                <w:rFonts w:hint="eastAsia" w:ascii="仿宋_GB2312" w:hAnsi="仿宋" w:eastAsia="仿宋_GB2312" w:cs="Times New Roman"/>
                <w:b/>
                <w:color w:val="000000"/>
                <w:sz w:val="24"/>
                <w:highlight w:val="none"/>
              </w:rPr>
              <w:t>得分</w:t>
            </w:r>
          </w:p>
        </w:tc>
        <w:tc>
          <w:tcPr>
            <w:tcW w:w="1983" w:type="dxa"/>
            <w:tcBorders>
              <w:top w:val="single" w:color="auto" w:sz="6" w:space="0"/>
              <w:left w:val="single" w:color="auto" w:sz="6" w:space="0"/>
              <w:bottom w:val="single" w:color="auto" w:sz="6" w:space="0"/>
              <w:right w:val="single" w:color="auto" w:sz="8" w:space="0"/>
            </w:tcBorders>
            <w:noWrap w:val="0"/>
            <w:vAlign w:val="center"/>
          </w:tcPr>
          <w:p w14:paraId="50E1AF04">
            <w:pPr>
              <w:spacing w:line="320" w:lineRule="exact"/>
              <w:jc w:val="center"/>
              <w:rPr>
                <w:rFonts w:hint="eastAsia" w:ascii="仿宋_GB2312" w:hAnsi="仿宋" w:eastAsia="仿宋_GB2312" w:cs="Times New Roman"/>
                <w:b/>
                <w:color w:val="000000"/>
                <w:sz w:val="24"/>
                <w:highlight w:val="none"/>
              </w:rPr>
            </w:pPr>
            <w:r>
              <w:rPr>
                <w:rFonts w:hint="eastAsia" w:ascii="仿宋_GB2312" w:hAnsi="仿宋" w:eastAsia="仿宋_GB2312" w:cs="Times New Roman"/>
                <w:b/>
                <w:color w:val="000000"/>
                <w:sz w:val="24"/>
                <w:highlight w:val="none"/>
              </w:rPr>
              <w:t>得分</w:t>
            </w:r>
          </w:p>
        </w:tc>
      </w:tr>
      <w:tr w14:paraId="19E8C5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69" w:hRule="atLeast"/>
          <w:tblHeader/>
        </w:trPr>
        <w:tc>
          <w:tcPr>
            <w:tcW w:w="727" w:type="dxa"/>
            <w:vMerge w:val="restart"/>
            <w:tcBorders>
              <w:top w:val="single" w:color="auto" w:sz="4" w:space="0"/>
              <w:left w:val="single" w:color="auto" w:sz="4" w:space="0"/>
              <w:right w:val="single" w:color="auto" w:sz="4" w:space="0"/>
            </w:tcBorders>
            <w:noWrap w:val="0"/>
            <w:vAlign w:val="center"/>
          </w:tcPr>
          <w:p w14:paraId="565FBAC4">
            <w:pPr>
              <w:widowControl/>
              <w:jc w:val="left"/>
              <w:rPr>
                <w:rFonts w:hint="eastAsia" w:ascii="仿宋_GB2312" w:hAnsi="仿宋" w:eastAsia="仿宋_GB2312"/>
                <w:color w:val="000000"/>
                <w:sz w:val="24"/>
                <w:highlight w:val="none"/>
                <w:lang w:eastAsia="zh-CN"/>
              </w:rPr>
            </w:pPr>
            <w:r>
              <w:rPr>
                <w:rFonts w:hint="eastAsia" w:ascii="仿宋_GB2312" w:hAnsi="仿宋" w:eastAsia="仿宋_GB2312"/>
                <w:color w:val="000000"/>
                <w:sz w:val="24"/>
                <w:highlight w:val="none"/>
                <w:lang w:eastAsia="zh-CN"/>
              </w:rPr>
              <w:t>综合</w:t>
            </w:r>
          </w:p>
        </w:tc>
        <w:tc>
          <w:tcPr>
            <w:tcW w:w="823" w:type="dxa"/>
            <w:tcBorders>
              <w:top w:val="single" w:color="auto" w:sz="6" w:space="0"/>
              <w:left w:val="single" w:color="auto" w:sz="4" w:space="0"/>
              <w:bottom w:val="single" w:color="auto" w:sz="6" w:space="0"/>
              <w:right w:val="single" w:color="auto" w:sz="6" w:space="0"/>
            </w:tcBorders>
            <w:noWrap w:val="0"/>
            <w:vAlign w:val="center"/>
          </w:tcPr>
          <w:p w14:paraId="71471E84">
            <w:pPr>
              <w:widowControl/>
              <w:spacing w:line="320" w:lineRule="exact"/>
              <w:jc w:val="left"/>
              <w:rPr>
                <w:rFonts w:hint="eastAsia" w:ascii="仿宋_GB2312" w:hAnsi="仿宋" w:eastAsia="仿宋_GB2312"/>
                <w:color w:val="000000"/>
                <w:sz w:val="24"/>
                <w:szCs w:val="24"/>
                <w:highlight w:val="none"/>
                <w:lang w:bidi="th-TH"/>
              </w:rPr>
            </w:pPr>
            <w:r>
              <w:rPr>
                <w:rFonts w:hint="eastAsia" w:ascii="仿宋_GB2312" w:hAnsi="仿宋" w:eastAsia="仿宋_GB2312"/>
                <w:color w:val="000000"/>
                <w:sz w:val="24"/>
                <w:szCs w:val="24"/>
                <w:highlight w:val="none"/>
                <w:lang w:val="en-US" w:eastAsia="zh-CN" w:bidi="th-TH"/>
              </w:rPr>
              <w:t>活动</w:t>
            </w:r>
            <w:r>
              <w:rPr>
                <w:rFonts w:hint="eastAsia" w:ascii="仿宋_GB2312" w:hAnsi="仿宋" w:eastAsia="仿宋_GB2312"/>
                <w:color w:val="000000"/>
                <w:sz w:val="24"/>
                <w:szCs w:val="24"/>
                <w:highlight w:val="none"/>
                <w:lang w:bidi="th-TH"/>
              </w:rPr>
              <w:t>方案</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03CA50B1">
            <w:pPr>
              <w:widowControl/>
              <w:spacing w:line="320" w:lineRule="exact"/>
              <w:jc w:val="left"/>
              <w:rPr>
                <w:rFonts w:hint="eastAsia" w:ascii="仿宋_GB2312" w:hAnsi="仿宋" w:eastAsia="仿宋_GB2312"/>
                <w:color w:val="000000"/>
                <w:sz w:val="24"/>
                <w:szCs w:val="24"/>
                <w:highlight w:val="none"/>
                <w:lang w:bidi="th-TH"/>
              </w:rPr>
            </w:pPr>
            <w:r>
              <w:rPr>
                <w:rFonts w:hint="eastAsia" w:ascii="仿宋_GB2312" w:hAnsi="仿宋" w:eastAsia="仿宋_GB2312"/>
                <w:color w:val="000000"/>
                <w:sz w:val="24"/>
                <w:szCs w:val="24"/>
                <w:highlight w:val="none"/>
                <w:lang w:val="en-US" w:eastAsia="zh-CN" w:bidi="th-TH"/>
              </w:rPr>
              <w:t>3</w:t>
            </w:r>
            <w:r>
              <w:rPr>
                <w:rFonts w:hint="eastAsia" w:ascii="仿宋_GB2312" w:hAnsi="仿宋" w:eastAsia="仿宋_GB2312"/>
                <w:color w:val="000000"/>
                <w:sz w:val="24"/>
                <w:szCs w:val="24"/>
                <w:highlight w:val="none"/>
                <w:lang w:bidi="th-TH"/>
              </w:rPr>
              <w:t>5%</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3F5A1022">
            <w:pPr>
              <w:widowControl/>
              <w:spacing w:line="320" w:lineRule="exact"/>
              <w:jc w:val="left"/>
              <w:rPr>
                <w:rFonts w:hint="eastAsia" w:ascii="仿宋_GB2312" w:hAnsi="仿宋" w:eastAsia="仿宋_GB2312"/>
                <w:color w:val="000000"/>
                <w:sz w:val="24"/>
                <w:szCs w:val="24"/>
                <w:highlight w:val="none"/>
                <w:lang w:bidi="th-TH"/>
              </w:rPr>
            </w:pPr>
            <w:r>
              <w:rPr>
                <w:rFonts w:hint="eastAsia" w:ascii="仿宋_GB2312" w:hAnsi="仿宋" w:eastAsia="仿宋_GB2312"/>
                <w:color w:val="000000"/>
                <w:sz w:val="24"/>
                <w:szCs w:val="24"/>
                <w:highlight w:val="none"/>
                <w:lang w:val="en-US" w:eastAsia="zh-CN" w:bidi="th-TH"/>
              </w:rPr>
              <w:t>3</w:t>
            </w:r>
            <w:r>
              <w:rPr>
                <w:rFonts w:hint="eastAsia" w:ascii="仿宋_GB2312" w:hAnsi="仿宋" w:eastAsia="仿宋_GB2312"/>
                <w:color w:val="000000"/>
                <w:sz w:val="24"/>
                <w:szCs w:val="24"/>
                <w:highlight w:val="none"/>
                <w:lang w:bidi="th-TH"/>
              </w:rPr>
              <w:t>5分</w:t>
            </w:r>
          </w:p>
        </w:tc>
        <w:tc>
          <w:tcPr>
            <w:tcW w:w="6872" w:type="dxa"/>
            <w:tcBorders>
              <w:top w:val="single" w:color="auto" w:sz="6" w:space="0"/>
              <w:left w:val="single" w:color="auto" w:sz="6" w:space="0"/>
              <w:bottom w:val="single" w:color="auto" w:sz="6" w:space="0"/>
              <w:right w:val="single" w:color="auto" w:sz="8" w:space="0"/>
            </w:tcBorders>
            <w:noWrap w:val="0"/>
            <w:vAlign w:val="center"/>
          </w:tcPr>
          <w:p w14:paraId="7B2C69CE">
            <w:pPr>
              <w:widowControl/>
              <w:spacing w:line="320" w:lineRule="exact"/>
              <w:jc w:val="left"/>
              <w:rPr>
                <w:rFonts w:hint="eastAsia" w:ascii="仿宋_GB2312" w:hAnsi="仿宋" w:eastAsia="仿宋_GB2312" w:cs="Times New Roman"/>
                <w:color w:val="000000"/>
                <w:sz w:val="24"/>
                <w:szCs w:val="24"/>
                <w:highlight w:val="none"/>
                <w:lang w:bidi="th-TH"/>
              </w:rPr>
            </w:pPr>
            <w:r>
              <w:rPr>
                <w:rFonts w:hint="eastAsia" w:ascii="仿宋_GB2312" w:hAnsi="仿宋" w:eastAsia="仿宋_GB2312" w:cs="Times New Roman"/>
                <w:color w:val="000000"/>
                <w:sz w:val="24"/>
                <w:szCs w:val="24"/>
                <w:highlight w:val="none"/>
                <w:lang w:bidi="th-TH"/>
              </w:rPr>
              <w:t>根据投标方提供的活动方案进行评分，</w:t>
            </w:r>
            <w:r>
              <w:rPr>
                <w:rFonts w:hint="eastAsia" w:ascii="仿宋_GB2312" w:hAnsi="仿宋" w:eastAsia="仿宋_GB2312" w:cs="Times New Roman"/>
                <w:color w:val="000000"/>
                <w:sz w:val="24"/>
                <w:szCs w:val="24"/>
                <w:highlight w:val="none"/>
                <w:lang w:val="en-US" w:eastAsia="zh-CN" w:bidi="th-TH"/>
              </w:rPr>
              <w:t>围绕文博会艺术季宣传推广</w:t>
            </w:r>
            <w:r>
              <w:rPr>
                <w:rFonts w:hint="eastAsia" w:ascii="仿宋_GB2312" w:hAnsi="仿宋" w:eastAsia="仿宋_GB2312" w:cs="Times New Roman"/>
                <w:color w:val="000000"/>
                <w:sz w:val="24"/>
                <w:szCs w:val="24"/>
                <w:highlight w:val="none"/>
                <w:lang w:bidi="th-TH"/>
              </w:rPr>
              <w:t>主题，</w:t>
            </w:r>
            <w:r>
              <w:rPr>
                <w:rFonts w:hint="eastAsia" w:ascii="仿宋_GB2312" w:hAnsi="仿宋" w:eastAsia="仿宋_GB2312" w:cs="Times New Roman"/>
                <w:color w:val="000000"/>
                <w:sz w:val="24"/>
                <w:szCs w:val="24"/>
                <w:highlight w:val="none"/>
                <w:lang w:eastAsia="zh-CN" w:bidi="th-TH"/>
              </w:rPr>
              <w:t>聚焦深港文化融合、亚太文明互鉴和文旅融合主题，</w:t>
            </w:r>
            <w:r>
              <w:rPr>
                <w:rFonts w:hint="eastAsia" w:ascii="仿宋_GB2312" w:hAnsi="仿宋" w:eastAsia="仿宋_GB2312" w:cs="Times New Roman"/>
                <w:color w:val="000000"/>
                <w:sz w:val="24"/>
                <w:szCs w:val="24"/>
                <w:highlight w:val="none"/>
                <w:lang w:val="en-US" w:eastAsia="zh-CN" w:bidi="th-TH"/>
              </w:rPr>
              <w:t>涵盖宣传策划、文案撰写、宣传片制作分发、全媒体平台宣传等服务内容，</w:t>
            </w:r>
            <w:r>
              <w:rPr>
                <w:rFonts w:hint="eastAsia" w:ascii="仿宋_GB2312" w:hAnsi="仿宋" w:eastAsia="仿宋_GB2312" w:cs="Times New Roman"/>
                <w:color w:val="000000"/>
                <w:sz w:val="24"/>
                <w:szCs w:val="24"/>
                <w:highlight w:val="none"/>
                <w:lang w:bidi="th-TH"/>
              </w:rPr>
              <w:t>主旨立意深刻新颖，兼具艺术性和</w:t>
            </w:r>
            <w:r>
              <w:rPr>
                <w:rFonts w:hint="eastAsia" w:ascii="仿宋_GB2312" w:hAnsi="仿宋" w:eastAsia="仿宋_GB2312" w:cs="Times New Roman"/>
                <w:color w:val="000000"/>
                <w:sz w:val="24"/>
                <w:szCs w:val="24"/>
                <w:highlight w:val="none"/>
                <w:lang w:val="en-US" w:eastAsia="zh-CN" w:bidi="th-TH"/>
              </w:rPr>
              <w:t>宣传效果</w:t>
            </w:r>
            <w:r>
              <w:rPr>
                <w:rFonts w:hint="eastAsia" w:ascii="仿宋_GB2312" w:hAnsi="仿宋" w:eastAsia="仿宋_GB2312" w:cs="Times New Roman"/>
                <w:color w:val="000000"/>
                <w:sz w:val="24"/>
                <w:szCs w:val="24"/>
                <w:highlight w:val="none"/>
                <w:lang w:bidi="th-TH"/>
              </w:rPr>
              <w:t>。</w:t>
            </w:r>
          </w:p>
          <w:p w14:paraId="20B2373C">
            <w:pPr>
              <w:widowControl/>
              <w:spacing w:line="320" w:lineRule="exact"/>
              <w:jc w:val="left"/>
              <w:rPr>
                <w:rFonts w:hint="eastAsia" w:ascii="仿宋_GB2312" w:hAnsi="仿宋" w:eastAsia="仿宋_GB2312" w:cs="Times New Roman"/>
                <w:color w:val="000000"/>
                <w:sz w:val="24"/>
                <w:szCs w:val="24"/>
                <w:highlight w:val="none"/>
                <w:lang w:bidi="th-TH"/>
              </w:rPr>
            </w:pPr>
            <w:r>
              <w:rPr>
                <w:rFonts w:hint="eastAsia" w:ascii="仿宋_GB2312" w:hAnsi="仿宋" w:eastAsia="仿宋_GB2312" w:cs="Times New Roman"/>
                <w:color w:val="000000"/>
                <w:sz w:val="24"/>
                <w:szCs w:val="24"/>
                <w:highlight w:val="none"/>
                <w:lang w:bidi="th-TH"/>
              </w:rPr>
              <w:t>（1）方案内容全面具体，表达清晰；</w:t>
            </w:r>
          </w:p>
          <w:p w14:paraId="5725EEDD">
            <w:pPr>
              <w:widowControl/>
              <w:spacing w:line="320" w:lineRule="exact"/>
              <w:jc w:val="left"/>
              <w:rPr>
                <w:rFonts w:hint="eastAsia" w:ascii="仿宋_GB2312" w:hAnsi="仿宋" w:eastAsia="仿宋_GB2312" w:cs="Times New Roman"/>
                <w:color w:val="000000"/>
                <w:sz w:val="24"/>
                <w:szCs w:val="24"/>
                <w:highlight w:val="none"/>
                <w:lang w:bidi="th-TH"/>
              </w:rPr>
            </w:pPr>
            <w:r>
              <w:rPr>
                <w:rFonts w:hint="eastAsia" w:ascii="仿宋_GB2312" w:hAnsi="仿宋" w:eastAsia="仿宋_GB2312" w:cs="Times New Roman"/>
                <w:color w:val="000000"/>
                <w:sz w:val="24"/>
                <w:szCs w:val="24"/>
                <w:highlight w:val="none"/>
                <w:lang w:bidi="th-TH"/>
              </w:rPr>
              <w:t>（2）方案内容完整、严谨、针对性强；</w:t>
            </w:r>
          </w:p>
          <w:p w14:paraId="1F9021F2">
            <w:pPr>
              <w:widowControl/>
              <w:spacing w:line="320" w:lineRule="exact"/>
              <w:jc w:val="left"/>
              <w:rPr>
                <w:rFonts w:hint="eastAsia" w:ascii="仿宋_GB2312" w:hAnsi="仿宋" w:eastAsia="仿宋_GB2312" w:cs="Times New Roman"/>
                <w:color w:val="000000"/>
                <w:sz w:val="24"/>
                <w:szCs w:val="24"/>
                <w:highlight w:val="none"/>
                <w:lang w:eastAsia="zh-CN" w:bidi="th-TH"/>
              </w:rPr>
            </w:pPr>
            <w:r>
              <w:rPr>
                <w:rFonts w:hint="eastAsia" w:ascii="仿宋_GB2312" w:hAnsi="仿宋" w:eastAsia="仿宋_GB2312" w:cs="Times New Roman"/>
                <w:color w:val="000000"/>
                <w:sz w:val="24"/>
                <w:szCs w:val="24"/>
                <w:highlight w:val="none"/>
                <w:lang w:bidi="th-TH"/>
              </w:rPr>
              <w:t>（3）方案内容先进，科学合理、可操作性强</w:t>
            </w:r>
            <w:r>
              <w:rPr>
                <w:rFonts w:hint="eastAsia" w:ascii="仿宋_GB2312" w:hAnsi="仿宋" w:eastAsia="仿宋_GB2312" w:cs="Times New Roman"/>
                <w:color w:val="000000"/>
                <w:sz w:val="24"/>
                <w:szCs w:val="24"/>
                <w:highlight w:val="none"/>
                <w:lang w:eastAsia="zh-CN" w:bidi="th-TH"/>
              </w:rPr>
              <w:t>。</w:t>
            </w:r>
          </w:p>
          <w:p w14:paraId="5A66CE07">
            <w:pPr>
              <w:widowControl/>
              <w:spacing w:line="320" w:lineRule="exact"/>
              <w:jc w:val="left"/>
              <w:rPr>
                <w:rFonts w:hint="eastAsia" w:ascii="仿宋_GB2312" w:hAnsi="仿宋" w:eastAsia="仿宋_GB2312"/>
                <w:color w:val="000000"/>
                <w:sz w:val="24"/>
                <w:szCs w:val="24"/>
                <w:highlight w:val="none"/>
                <w:lang w:bidi="th-TH"/>
              </w:rPr>
            </w:pPr>
            <w:r>
              <w:rPr>
                <w:rFonts w:hint="eastAsia" w:ascii="仿宋_GB2312" w:hAnsi="仿宋" w:eastAsia="仿宋_GB2312"/>
                <w:color w:val="000000"/>
                <w:sz w:val="24"/>
                <w:szCs w:val="24"/>
                <w:highlight w:val="none"/>
                <w:lang w:bidi="th-TH"/>
              </w:rPr>
              <w:t>满足以上</w:t>
            </w:r>
            <w:r>
              <w:rPr>
                <w:rFonts w:hint="eastAsia" w:ascii="仿宋_GB2312" w:hAnsi="仿宋" w:eastAsia="仿宋_GB2312"/>
                <w:color w:val="000000"/>
                <w:sz w:val="24"/>
                <w:szCs w:val="24"/>
                <w:highlight w:val="none"/>
                <w:lang w:val="en-US" w:eastAsia="zh-CN" w:bidi="th-TH"/>
              </w:rPr>
              <w:t>三</w:t>
            </w:r>
            <w:r>
              <w:rPr>
                <w:rFonts w:hint="eastAsia" w:ascii="仿宋_GB2312" w:hAnsi="仿宋" w:eastAsia="仿宋_GB2312"/>
                <w:color w:val="000000"/>
                <w:sz w:val="24"/>
                <w:szCs w:val="24"/>
                <w:highlight w:val="none"/>
                <w:lang w:bidi="th-TH"/>
              </w:rPr>
              <w:t>项要求</w:t>
            </w:r>
            <w:r>
              <w:rPr>
                <w:rFonts w:hint="eastAsia" w:ascii="仿宋_GB2312" w:hAnsi="仿宋" w:eastAsia="仿宋_GB2312"/>
                <w:color w:val="000000"/>
                <w:sz w:val="24"/>
                <w:szCs w:val="24"/>
                <w:highlight w:val="none"/>
                <w:lang w:eastAsia="zh-CN" w:bidi="th-TH"/>
              </w:rPr>
              <w:t>，</w:t>
            </w:r>
            <w:r>
              <w:rPr>
                <w:rFonts w:hint="eastAsia" w:ascii="仿宋_GB2312" w:hAnsi="仿宋" w:eastAsia="仿宋_GB2312"/>
                <w:color w:val="000000"/>
                <w:sz w:val="24"/>
                <w:szCs w:val="24"/>
                <w:highlight w:val="none"/>
                <w:lang w:bidi="th-TH"/>
              </w:rPr>
              <w:t>安排合理、详尽、可操作性强为优：</w:t>
            </w:r>
            <w:r>
              <w:rPr>
                <w:rFonts w:hint="eastAsia" w:ascii="仿宋_GB2312" w:hAnsi="仿宋" w:eastAsia="仿宋_GB2312"/>
                <w:color w:val="000000"/>
                <w:sz w:val="24"/>
                <w:szCs w:val="24"/>
                <w:highlight w:val="none"/>
                <w:lang w:val="en-US" w:eastAsia="zh-CN" w:bidi="th-TH"/>
              </w:rPr>
              <w:t>22-35</w:t>
            </w:r>
            <w:r>
              <w:rPr>
                <w:rFonts w:hint="eastAsia" w:ascii="仿宋_GB2312" w:hAnsi="仿宋" w:eastAsia="仿宋_GB2312"/>
                <w:color w:val="000000"/>
                <w:sz w:val="24"/>
                <w:szCs w:val="24"/>
                <w:highlight w:val="none"/>
                <w:lang w:bidi="th-TH"/>
              </w:rPr>
              <w:t>分；</w:t>
            </w:r>
          </w:p>
          <w:p w14:paraId="2BD94D06">
            <w:pPr>
              <w:widowControl/>
              <w:spacing w:line="320" w:lineRule="exact"/>
              <w:jc w:val="left"/>
              <w:rPr>
                <w:rFonts w:hint="eastAsia" w:ascii="仿宋_GB2312" w:hAnsi="仿宋" w:eastAsia="仿宋_GB2312"/>
                <w:color w:val="000000"/>
                <w:sz w:val="24"/>
                <w:szCs w:val="24"/>
                <w:highlight w:val="none"/>
                <w:lang w:bidi="th-TH"/>
              </w:rPr>
            </w:pPr>
            <w:r>
              <w:rPr>
                <w:rFonts w:hint="eastAsia" w:ascii="仿宋_GB2312" w:hAnsi="仿宋" w:eastAsia="仿宋_GB2312"/>
                <w:color w:val="000000"/>
                <w:sz w:val="24"/>
                <w:szCs w:val="24"/>
                <w:highlight w:val="none"/>
                <w:lang w:bidi="th-TH"/>
              </w:rPr>
              <w:t>满足以上</w:t>
            </w:r>
            <w:r>
              <w:rPr>
                <w:rFonts w:hint="eastAsia" w:ascii="仿宋_GB2312" w:hAnsi="仿宋" w:eastAsia="仿宋_GB2312"/>
                <w:color w:val="000000"/>
                <w:sz w:val="24"/>
                <w:szCs w:val="24"/>
                <w:highlight w:val="none"/>
                <w:lang w:val="en-US" w:eastAsia="zh-CN" w:bidi="th-TH"/>
              </w:rPr>
              <w:t>二</w:t>
            </w:r>
            <w:r>
              <w:rPr>
                <w:rFonts w:hint="eastAsia" w:ascii="仿宋_GB2312" w:hAnsi="仿宋" w:eastAsia="仿宋_GB2312"/>
                <w:color w:val="000000"/>
                <w:sz w:val="24"/>
                <w:szCs w:val="24"/>
                <w:highlight w:val="none"/>
                <w:lang w:bidi="th-TH"/>
              </w:rPr>
              <w:t>项要求</w:t>
            </w:r>
            <w:r>
              <w:rPr>
                <w:rFonts w:hint="eastAsia" w:ascii="仿宋_GB2312" w:hAnsi="仿宋" w:eastAsia="仿宋_GB2312"/>
                <w:color w:val="000000"/>
                <w:sz w:val="24"/>
                <w:szCs w:val="24"/>
                <w:highlight w:val="none"/>
                <w:lang w:eastAsia="zh-CN" w:bidi="th-TH"/>
              </w:rPr>
              <w:t>，</w:t>
            </w:r>
            <w:r>
              <w:rPr>
                <w:rFonts w:hint="eastAsia" w:ascii="仿宋_GB2312" w:hAnsi="仿宋" w:eastAsia="仿宋_GB2312"/>
                <w:color w:val="000000"/>
                <w:sz w:val="24"/>
                <w:szCs w:val="24"/>
                <w:highlight w:val="none"/>
                <w:lang w:bidi="th-TH"/>
              </w:rPr>
              <w:t>安排</w:t>
            </w:r>
            <w:r>
              <w:rPr>
                <w:rFonts w:hint="eastAsia" w:ascii="仿宋_GB2312" w:hAnsi="仿宋" w:eastAsia="仿宋_GB2312"/>
                <w:color w:val="000000"/>
                <w:sz w:val="24"/>
                <w:szCs w:val="24"/>
                <w:highlight w:val="none"/>
                <w:lang w:eastAsia="zh-CN" w:bidi="th-TH"/>
              </w:rPr>
              <w:t>较好</w:t>
            </w:r>
            <w:r>
              <w:rPr>
                <w:rFonts w:hint="eastAsia" w:ascii="仿宋_GB2312" w:hAnsi="仿宋" w:eastAsia="仿宋_GB2312"/>
                <w:color w:val="000000"/>
                <w:sz w:val="24"/>
                <w:szCs w:val="24"/>
                <w:highlight w:val="none"/>
                <w:lang w:bidi="th-TH"/>
              </w:rPr>
              <w:t>、可操作性</w:t>
            </w:r>
            <w:r>
              <w:rPr>
                <w:rFonts w:hint="eastAsia" w:ascii="仿宋_GB2312" w:hAnsi="仿宋" w:eastAsia="仿宋_GB2312"/>
                <w:color w:val="000000"/>
                <w:sz w:val="24"/>
                <w:szCs w:val="24"/>
                <w:highlight w:val="none"/>
                <w:lang w:eastAsia="zh-CN" w:bidi="th-TH"/>
              </w:rPr>
              <w:t>良好</w:t>
            </w:r>
            <w:r>
              <w:rPr>
                <w:rFonts w:hint="eastAsia" w:ascii="仿宋_GB2312" w:hAnsi="仿宋" w:eastAsia="仿宋_GB2312"/>
                <w:color w:val="000000"/>
                <w:sz w:val="24"/>
                <w:szCs w:val="24"/>
                <w:highlight w:val="none"/>
                <w:lang w:bidi="th-TH"/>
              </w:rPr>
              <w:t>为良：</w:t>
            </w:r>
            <w:r>
              <w:rPr>
                <w:rFonts w:hint="eastAsia" w:ascii="仿宋_GB2312" w:hAnsi="仿宋" w:eastAsia="仿宋_GB2312"/>
                <w:color w:val="000000"/>
                <w:sz w:val="24"/>
                <w:szCs w:val="24"/>
                <w:highlight w:val="none"/>
                <w:lang w:val="en-US" w:eastAsia="zh-CN" w:bidi="th-TH"/>
              </w:rPr>
              <w:t>11</w:t>
            </w:r>
            <w:r>
              <w:rPr>
                <w:rFonts w:hint="eastAsia" w:ascii="仿宋_GB2312" w:hAnsi="仿宋" w:eastAsia="仿宋_GB2312"/>
                <w:color w:val="000000"/>
                <w:sz w:val="24"/>
                <w:szCs w:val="24"/>
                <w:highlight w:val="none"/>
                <w:lang w:bidi="th-TH"/>
              </w:rPr>
              <w:t>-</w:t>
            </w:r>
            <w:r>
              <w:rPr>
                <w:rFonts w:hint="eastAsia" w:ascii="仿宋_GB2312" w:hAnsi="仿宋" w:eastAsia="仿宋_GB2312"/>
                <w:color w:val="000000"/>
                <w:sz w:val="24"/>
                <w:szCs w:val="24"/>
                <w:highlight w:val="none"/>
                <w:lang w:val="en-US" w:eastAsia="zh-CN" w:bidi="th-TH"/>
              </w:rPr>
              <w:t>21</w:t>
            </w:r>
            <w:r>
              <w:rPr>
                <w:rFonts w:hint="eastAsia" w:ascii="仿宋_GB2312" w:hAnsi="仿宋" w:eastAsia="仿宋_GB2312"/>
                <w:color w:val="000000"/>
                <w:sz w:val="24"/>
                <w:szCs w:val="24"/>
                <w:highlight w:val="none"/>
                <w:lang w:bidi="th-TH"/>
              </w:rPr>
              <w:t>分；</w:t>
            </w:r>
          </w:p>
          <w:p w14:paraId="43DDC2C6">
            <w:pPr>
              <w:widowControl/>
              <w:spacing w:line="320" w:lineRule="exact"/>
              <w:jc w:val="left"/>
              <w:rPr>
                <w:rFonts w:hint="eastAsia" w:ascii="仿宋_GB2312" w:hAnsi="仿宋" w:eastAsia="仿宋_GB2312"/>
                <w:color w:val="000000"/>
                <w:sz w:val="24"/>
                <w:szCs w:val="24"/>
                <w:highlight w:val="none"/>
                <w:lang w:eastAsia="zh-CN" w:bidi="th-TH"/>
              </w:rPr>
            </w:pPr>
            <w:r>
              <w:rPr>
                <w:rFonts w:hint="eastAsia" w:ascii="仿宋_GB2312" w:hAnsi="仿宋" w:eastAsia="仿宋_GB2312"/>
                <w:color w:val="000000"/>
                <w:sz w:val="24"/>
                <w:szCs w:val="24"/>
                <w:highlight w:val="none"/>
                <w:lang w:bidi="th-TH"/>
              </w:rPr>
              <w:t>满足以上</w:t>
            </w:r>
            <w:r>
              <w:rPr>
                <w:rFonts w:hint="eastAsia" w:ascii="仿宋_GB2312" w:hAnsi="仿宋" w:eastAsia="仿宋_GB2312"/>
                <w:color w:val="000000"/>
                <w:sz w:val="24"/>
                <w:szCs w:val="24"/>
                <w:highlight w:val="none"/>
                <w:lang w:val="en-US" w:eastAsia="zh-CN" w:bidi="th-TH"/>
              </w:rPr>
              <w:t>一</w:t>
            </w:r>
            <w:r>
              <w:rPr>
                <w:rFonts w:hint="eastAsia" w:ascii="仿宋_GB2312" w:hAnsi="仿宋" w:eastAsia="仿宋_GB2312"/>
                <w:color w:val="000000"/>
                <w:sz w:val="24"/>
                <w:szCs w:val="24"/>
                <w:highlight w:val="none"/>
                <w:lang w:bidi="th-TH"/>
              </w:rPr>
              <w:t>项要求</w:t>
            </w:r>
            <w:r>
              <w:rPr>
                <w:rFonts w:hint="eastAsia" w:ascii="仿宋_GB2312" w:hAnsi="仿宋" w:eastAsia="仿宋_GB2312"/>
                <w:color w:val="000000"/>
                <w:sz w:val="24"/>
                <w:szCs w:val="24"/>
                <w:highlight w:val="none"/>
                <w:lang w:eastAsia="zh-CN" w:bidi="th-TH"/>
              </w:rPr>
              <w:t>或其他情况，</w:t>
            </w:r>
            <w:r>
              <w:rPr>
                <w:rFonts w:hint="eastAsia" w:ascii="仿宋_GB2312" w:hAnsi="仿宋" w:eastAsia="仿宋_GB2312"/>
                <w:color w:val="000000"/>
                <w:sz w:val="24"/>
                <w:szCs w:val="24"/>
                <w:highlight w:val="none"/>
                <w:lang w:bidi="th-TH"/>
              </w:rPr>
              <w:t>安排不合理、可操作性</w:t>
            </w:r>
            <w:r>
              <w:rPr>
                <w:rFonts w:hint="eastAsia" w:ascii="仿宋_GB2312" w:hAnsi="仿宋" w:eastAsia="仿宋_GB2312"/>
                <w:color w:val="000000"/>
                <w:sz w:val="24"/>
                <w:szCs w:val="24"/>
                <w:highlight w:val="none"/>
                <w:lang w:eastAsia="zh-CN" w:bidi="th-TH"/>
              </w:rPr>
              <w:t>不佳</w:t>
            </w:r>
            <w:r>
              <w:rPr>
                <w:rFonts w:hint="eastAsia" w:ascii="仿宋_GB2312" w:hAnsi="仿宋" w:eastAsia="仿宋_GB2312"/>
                <w:color w:val="000000"/>
                <w:sz w:val="24"/>
                <w:szCs w:val="24"/>
                <w:highlight w:val="none"/>
                <w:lang w:bidi="th-TH"/>
              </w:rPr>
              <w:t>为差：0-</w:t>
            </w:r>
            <w:r>
              <w:rPr>
                <w:rFonts w:hint="eastAsia" w:ascii="仿宋_GB2312" w:hAnsi="仿宋" w:eastAsia="仿宋_GB2312"/>
                <w:color w:val="000000"/>
                <w:sz w:val="24"/>
                <w:szCs w:val="24"/>
                <w:highlight w:val="none"/>
                <w:lang w:val="en-US" w:eastAsia="zh-CN" w:bidi="th-TH"/>
              </w:rPr>
              <w:t>10</w:t>
            </w:r>
            <w:r>
              <w:rPr>
                <w:rFonts w:hint="eastAsia" w:ascii="仿宋_GB2312" w:hAnsi="仿宋" w:eastAsia="仿宋_GB2312"/>
                <w:color w:val="000000"/>
                <w:sz w:val="24"/>
                <w:szCs w:val="24"/>
                <w:highlight w:val="none"/>
                <w:lang w:bidi="th-TH"/>
              </w:rPr>
              <w:t>分</w:t>
            </w:r>
            <w:r>
              <w:rPr>
                <w:rFonts w:hint="eastAsia" w:ascii="仿宋_GB2312" w:hAnsi="仿宋" w:eastAsia="仿宋_GB2312"/>
                <w:color w:val="000000"/>
                <w:sz w:val="24"/>
                <w:szCs w:val="24"/>
                <w:highlight w:val="none"/>
                <w:lang w:eastAsia="zh-CN" w:bidi="th-TH"/>
              </w:rPr>
              <w:t>。</w:t>
            </w:r>
          </w:p>
        </w:tc>
        <w:tc>
          <w:tcPr>
            <w:tcW w:w="2141" w:type="dxa"/>
            <w:tcBorders>
              <w:top w:val="single" w:color="auto" w:sz="6" w:space="0"/>
              <w:left w:val="single" w:color="auto" w:sz="6" w:space="0"/>
              <w:bottom w:val="single" w:color="auto" w:sz="6" w:space="0"/>
              <w:right w:val="single" w:color="auto" w:sz="8" w:space="0"/>
            </w:tcBorders>
            <w:noWrap w:val="0"/>
            <w:vAlign w:val="top"/>
          </w:tcPr>
          <w:p w14:paraId="29A83097">
            <w:pPr>
              <w:widowControl/>
              <w:spacing w:line="440" w:lineRule="exact"/>
              <w:jc w:val="left"/>
              <w:rPr>
                <w:rFonts w:ascii="仿宋_GB2312" w:hAnsi="仿宋" w:eastAsia="仿宋_GB2312"/>
                <w:color w:val="000000"/>
                <w:sz w:val="24"/>
                <w:highlight w:val="none"/>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37FEE290">
            <w:pPr>
              <w:widowControl/>
              <w:spacing w:line="440" w:lineRule="exact"/>
              <w:jc w:val="left"/>
              <w:rPr>
                <w:rFonts w:ascii="仿宋_GB2312" w:hAnsi="仿宋" w:eastAsia="仿宋_GB2312"/>
                <w:color w:val="000000"/>
                <w:sz w:val="24"/>
                <w:highlight w:val="none"/>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378C593D">
            <w:pPr>
              <w:widowControl/>
              <w:spacing w:line="440" w:lineRule="exact"/>
              <w:jc w:val="left"/>
              <w:rPr>
                <w:rFonts w:ascii="仿宋_GB2312" w:hAnsi="仿宋" w:eastAsia="仿宋_GB2312"/>
                <w:color w:val="000000"/>
                <w:sz w:val="24"/>
                <w:highlight w:val="none"/>
              </w:rPr>
            </w:pPr>
          </w:p>
        </w:tc>
      </w:tr>
      <w:tr w14:paraId="043A9AD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69" w:hRule="atLeast"/>
          <w:tblHeader/>
        </w:trPr>
        <w:tc>
          <w:tcPr>
            <w:tcW w:w="727" w:type="dxa"/>
            <w:vMerge w:val="continue"/>
            <w:tcBorders>
              <w:left w:val="single" w:color="auto" w:sz="4" w:space="0"/>
              <w:right w:val="single" w:color="auto" w:sz="4" w:space="0"/>
            </w:tcBorders>
            <w:noWrap w:val="0"/>
            <w:vAlign w:val="center"/>
          </w:tcPr>
          <w:p w14:paraId="3FA39E1B">
            <w:pPr>
              <w:widowControl/>
              <w:jc w:val="left"/>
              <w:rPr>
                <w:rFonts w:hint="eastAsia" w:ascii="仿宋_GB2312" w:hAnsi="仿宋" w:eastAsia="仿宋_GB2312"/>
                <w:color w:val="000000"/>
                <w:sz w:val="24"/>
                <w:highlight w:val="none"/>
                <w:lang w:eastAsia="zh-CN"/>
              </w:rPr>
            </w:pPr>
          </w:p>
        </w:tc>
        <w:tc>
          <w:tcPr>
            <w:tcW w:w="823" w:type="dxa"/>
            <w:tcBorders>
              <w:top w:val="single" w:color="auto" w:sz="6" w:space="0"/>
              <w:left w:val="single" w:color="auto" w:sz="4" w:space="0"/>
              <w:bottom w:val="single" w:color="auto" w:sz="6" w:space="0"/>
              <w:right w:val="single" w:color="auto" w:sz="6" w:space="0"/>
            </w:tcBorders>
            <w:noWrap w:val="0"/>
            <w:vAlign w:val="center"/>
          </w:tcPr>
          <w:p w14:paraId="3080287C">
            <w:pPr>
              <w:widowControl/>
              <w:spacing w:line="320" w:lineRule="exact"/>
              <w:jc w:val="left"/>
              <w:rPr>
                <w:rFonts w:hint="eastAsia" w:ascii="仿宋_GB2312" w:hAnsi="仿宋" w:eastAsia="仿宋_GB2312"/>
                <w:color w:val="000000"/>
                <w:sz w:val="24"/>
                <w:szCs w:val="24"/>
                <w:highlight w:val="none"/>
                <w:lang w:bidi="th-TH"/>
              </w:rPr>
            </w:pPr>
            <w:r>
              <w:rPr>
                <w:rFonts w:hint="eastAsia" w:ascii="仿宋_GB2312" w:hAnsi="仿宋" w:eastAsia="仿宋_GB2312"/>
                <w:color w:val="000000"/>
                <w:sz w:val="24"/>
                <w:szCs w:val="24"/>
                <w:highlight w:val="none"/>
                <w:lang w:bidi="th-TH"/>
              </w:rPr>
              <w:t>经验</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379A1EF1">
            <w:pPr>
              <w:widowControl/>
              <w:spacing w:line="320" w:lineRule="exact"/>
              <w:jc w:val="left"/>
              <w:rPr>
                <w:rFonts w:hint="eastAsia" w:ascii="仿宋_GB2312" w:hAnsi="仿宋" w:eastAsia="仿宋_GB2312"/>
                <w:color w:val="000000"/>
                <w:sz w:val="24"/>
                <w:szCs w:val="24"/>
                <w:highlight w:val="none"/>
                <w:lang w:val="en-US" w:eastAsia="zh-CN" w:bidi="th-TH"/>
              </w:rPr>
            </w:pPr>
            <w:r>
              <w:rPr>
                <w:rFonts w:hint="eastAsia" w:ascii="仿宋_GB2312" w:hAnsi="仿宋" w:eastAsia="仿宋_GB2312"/>
                <w:color w:val="000000"/>
                <w:sz w:val="24"/>
                <w:szCs w:val="24"/>
                <w:highlight w:val="none"/>
                <w:lang w:val="en-US" w:eastAsia="zh-CN" w:bidi="th-TH"/>
              </w:rPr>
              <w:t>20</w:t>
            </w:r>
            <w:r>
              <w:rPr>
                <w:rFonts w:hint="eastAsia" w:ascii="仿宋_GB2312" w:hAnsi="仿宋" w:eastAsia="仿宋_GB2312"/>
                <w:color w:val="000000"/>
                <w:sz w:val="24"/>
                <w:szCs w:val="24"/>
                <w:highlight w:val="none"/>
                <w:lang w:bidi="th-TH"/>
              </w:rPr>
              <w:t>%</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02C8FD24">
            <w:pPr>
              <w:widowControl/>
              <w:spacing w:line="320" w:lineRule="exact"/>
              <w:jc w:val="left"/>
              <w:rPr>
                <w:rFonts w:hint="eastAsia" w:ascii="仿宋_GB2312" w:hAnsi="仿宋" w:eastAsia="仿宋_GB2312"/>
                <w:color w:val="000000"/>
                <w:sz w:val="24"/>
                <w:szCs w:val="24"/>
                <w:highlight w:val="none"/>
                <w:lang w:val="en-US" w:eastAsia="zh-CN" w:bidi="th-TH"/>
              </w:rPr>
            </w:pPr>
            <w:r>
              <w:rPr>
                <w:rFonts w:hint="eastAsia" w:ascii="仿宋_GB2312" w:hAnsi="仿宋" w:eastAsia="仿宋_GB2312"/>
                <w:color w:val="000000"/>
                <w:sz w:val="24"/>
                <w:szCs w:val="24"/>
                <w:highlight w:val="none"/>
                <w:lang w:val="en-US" w:eastAsia="zh-CN" w:bidi="th-TH"/>
              </w:rPr>
              <w:t>20</w:t>
            </w:r>
            <w:r>
              <w:rPr>
                <w:rFonts w:hint="eastAsia" w:ascii="仿宋_GB2312" w:hAnsi="仿宋" w:eastAsia="仿宋_GB2312"/>
                <w:color w:val="000000"/>
                <w:sz w:val="24"/>
                <w:szCs w:val="24"/>
                <w:highlight w:val="none"/>
                <w:lang w:bidi="th-TH"/>
              </w:rPr>
              <w:t>分</w:t>
            </w:r>
          </w:p>
        </w:tc>
        <w:tc>
          <w:tcPr>
            <w:tcW w:w="6872" w:type="dxa"/>
            <w:tcBorders>
              <w:top w:val="single" w:color="auto" w:sz="6" w:space="0"/>
              <w:left w:val="single" w:color="auto" w:sz="6" w:space="0"/>
              <w:bottom w:val="single" w:color="auto" w:sz="6" w:space="0"/>
              <w:right w:val="single" w:color="auto" w:sz="8" w:space="0"/>
            </w:tcBorders>
            <w:noWrap w:val="0"/>
            <w:vAlign w:val="center"/>
          </w:tcPr>
          <w:p w14:paraId="3117628F">
            <w:pPr>
              <w:widowControl/>
              <w:spacing w:line="320" w:lineRule="exact"/>
              <w:jc w:val="left"/>
              <w:rPr>
                <w:rFonts w:hint="default" w:ascii="仿宋_GB2312" w:hAnsi="仿宋" w:eastAsia="仿宋_GB2312"/>
                <w:color w:val="000000"/>
                <w:sz w:val="24"/>
                <w:szCs w:val="24"/>
                <w:highlight w:val="none"/>
                <w:lang w:val="en-US" w:eastAsia="zh-CN" w:bidi="th-TH"/>
              </w:rPr>
            </w:pPr>
            <w:r>
              <w:rPr>
                <w:rFonts w:hint="eastAsia" w:ascii="仿宋_GB2312" w:hAnsi="仿宋" w:eastAsia="仿宋_GB2312"/>
                <w:color w:val="000000"/>
                <w:sz w:val="24"/>
                <w:szCs w:val="24"/>
                <w:highlight w:val="none"/>
                <w:lang w:bidi="th-TH"/>
              </w:rPr>
              <w:t>近三年承办过</w:t>
            </w:r>
            <w:r>
              <w:rPr>
                <w:rFonts w:hint="eastAsia" w:ascii="仿宋_GB2312" w:hAnsi="仿宋" w:eastAsia="仿宋_GB2312"/>
                <w:color w:val="000000"/>
                <w:sz w:val="24"/>
                <w:szCs w:val="24"/>
                <w:highlight w:val="none"/>
                <w:lang w:val="en-US" w:eastAsia="zh-CN" w:bidi="th-TH"/>
              </w:rPr>
              <w:t>文化艺术类重大活动、项目宣传推广工作</w:t>
            </w:r>
            <w:r>
              <w:rPr>
                <w:rFonts w:hint="eastAsia" w:ascii="仿宋_GB2312" w:hAnsi="仿宋" w:eastAsia="仿宋_GB2312"/>
                <w:color w:val="000000"/>
                <w:sz w:val="24"/>
                <w:szCs w:val="24"/>
                <w:highlight w:val="none"/>
                <w:lang w:bidi="th-TH"/>
              </w:rPr>
              <w:t>，提供具体</w:t>
            </w:r>
            <w:r>
              <w:rPr>
                <w:rFonts w:hint="eastAsia" w:ascii="仿宋_GB2312" w:hAnsi="仿宋" w:eastAsia="仿宋_GB2312"/>
                <w:color w:val="000000"/>
                <w:sz w:val="24"/>
                <w:szCs w:val="24"/>
                <w:highlight w:val="none"/>
                <w:lang w:val="en-US" w:eastAsia="zh-CN" w:bidi="th-TH"/>
              </w:rPr>
              <w:t>项目</w:t>
            </w:r>
            <w:r>
              <w:rPr>
                <w:rFonts w:hint="eastAsia" w:ascii="仿宋_GB2312" w:hAnsi="仿宋" w:eastAsia="仿宋_GB2312"/>
                <w:color w:val="000000"/>
                <w:sz w:val="24"/>
                <w:szCs w:val="24"/>
                <w:highlight w:val="none"/>
                <w:lang w:bidi="th-TH"/>
              </w:rPr>
              <w:t>实例数</w:t>
            </w:r>
            <w:r>
              <w:rPr>
                <w:rFonts w:hint="eastAsia" w:ascii="仿宋_GB2312" w:hAnsi="仿宋" w:eastAsia="仿宋_GB2312"/>
                <w:color w:val="000000"/>
                <w:sz w:val="24"/>
                <w:szCs w:val="24"/>
                <w:highlight w:val="none"/>
                <w:lang w:eastAsia="zh-CN" w:bidi="th-TH"/>
              </w:rPr>
              <w:t>，</w:t>
            </w:r>
            <w:r>
              <w:rPr>
                <w:rFonts w:hint="eastAsia" w:ascii="仿宋_GB2312" w:hAnsi="仿宋" w:eastAsia="仿宋_GB2312"/>
                <w:color w:val="000000"/>
                <w:sz w:val="24"/>
                <w:szCs w:val="24"/>
                <w:highlight w:val="none"/>
                <w:lang w:bidi="th-TH"/>
              </w:rPr>
              <w:t>每项</w:t>
            </w:r>
            <w:r>
              <w:rPr>
                <w:rFonts w:hint="eastAsia" w:ascii="仿宋_GB2312" w:hAnsi="仿宋" w:eastAsia="仿宋_GB2312"/>
                <w:color w:val="000000"/>
                <w:sz w:val="24"/>
                <w:szCs w:val="24"/>
                <w:highlight w:val="none"/>
                <w:lang w:val="en-US" w:eastAsia="zh-CN" w:bidi="th-TH"/>
              </w:rPr>
              <w:t>6</w:t>
            </w:r>
            <w:r>
              <w:rPr>
                <w:rFonts w:hint="eastAsia" w:ascii="仿宋_GB2312" w:hAnsi="仿宋" w:eastAsia="仿宋_GB2312"/>
                <w:color w:val="000000"/>
                <w:sz w:val="24"/>
                <w:szCs w:val="24"/>
                <w:highlight w:val="none"/>
                <w:lang w:bidi="th-TH"/>
              </w:rPr>
              <w:t>分，最高得</w:t>
            </w:r>
            <w:r>
              <w:rPr>
                <w:rFonts w:hint="eastAsia" w:ascii="仿宋_GB2312" w:hAnsi="仿宋" w:eastAsia="仿宋_GB2312"/>
                <w:color w:val="000000"/>
                <w:sz w:val="24"/>
                <w:szCs w:val="24"/>
                <w:highlight w:val="none"/>
                <w:lang w:val="en-US" w:eastAsia="zh-CN" w:bidi="th-TH"/>
              </w:rPr>
              <w:t>12</w:t>
            </w:r>
            <w:r>
              <w:rPr>
                <w:rFonts w:hint="eastAsia" w:ascii="仿宋_GB2312" w:hAnsi="仿宋" w:eastAsia="仿宋_GB2312"/>
                <w:color w:val="000000"/>
                <w:sz w:val="24"/>
                <w:szCs w:val="24"/>
                <w:highlight w:val="none"/>
                <w:lang w:bidi="th-TH"/>
              </w:rPr>
              <w:t>分</w:t>
            </w:r>
            <w:r>
              <w:rPr>
                <w:rFonts w:hint="eastAsia" w:ascii="仿宋_GB2312" w:hAnsi="仿宋" w:eastAsia="仿宋_GB2312"/>
                <w:color w:val="000000"/>
                <w:sz w:val="24"/>
                <w:szCs w:val="24"/>
                <w:highlight w:val="none"/>
                <w:lang w:eastAsia="zh-CN" w:bidi="th-TH"/>
              </w:rPr>
              <w:t>；</w:t>
            </w:r>
            <w:r>
              <w:rPr>
                <w:rFonts w:hint="eastAsia" w:ascii="仿宋_GB2312" w:hAnsi="仿宋" w:eastAsia="仿宋_GB2312"/>
                <w:color w:val="000000"/>
                <w:sz w:val="24"/>
                <w:szCs w:val="24"/>
                <w:highlight w:val="none"/>
                <w:lang w:bidi="th-TH"/>
              </w:rPr>
              <w:t>近三年承办过政府</w:t>
            </w:r>
            <w:r>
              <w:rPr>
                <w:rFonts w:hint="eastAsia" w:ascii="仿宋_GB2312" w:hAnsi="仿宋" w:eastAsia="仿宋_GB2312"/>
                <w:color w:val="000000"/>
                <w:sz w:val="24"/>
                <w:szCs w:val="24"/>
                <w:highlight w:val="none"/>
                <w:lang w:eastAsia="zh-CN" w:bidi="th-TH"/>
              </w:rPr>
              <w:t>、</w:t>
            </w:r>
            <w:r>
              <w:rPr>
                <w:rFonts w:hint="eastAsia" w:ascii="仿宋_GB2312" w:hAnsi="仿宋" w:eastAsia="仿宋_GB2312"/>
                <w:color w:val="000000"/>
                <w:sz w:val="24"/>
                <w:szCs w:val="24"/>
                <w:highlight w:val="none"/>
                <w:lang w:val="en-US" w:eastAsia="zh-CN" w:bidi="th-TH"/>
              </w:rPr>
              <w:t>事业单位或文化艺术类专业行业机构</w:t>
            </w:r>
            <w:r>
              <w:rPr>
                <w:rFonts w:hint="eastAsia" w:ascii="仿宋_GB2312" w:hAnsi="仿宋" w:eastAsia="仿宋_GB2312"/>
                <w:color w:val="000000"/>
                <w:sz w:val="24"/>
                <w:szCs w:val="24"/>
                <w:highlight w:val="none"/>
                <w:lang w:bidi="th-TH"/>
              </w:rPr>
              <w:t>的</w:t>
            </w:r>
            <w:r>
              <w:rPr>
                <w:rFonts w:hint="eastAsia" w:ascii="仿宋_GB2312" w:hAnsi="仿宋" w:eastAsia="仿宋_GB2312"/>
                <w:color w:val="000000"/>
                <w:sz w:val="24"/>
                <w:szCs w:val="24"/>
                <w:highlight w:val="none"/>
                <w:lang w:val="en-US" w:eastAsia="zh-CN" w:bidi="th-TH"/>
              </w:rPr>
              <w:t>新媒体运营</w:t>
            </w:r>
            <w:r>
              <w:rPr>
                <w:rFonts w:hint="eastAsia" w:ascii="仿宋_GB2312" w:hAnsi="仿宋" w:eastAsia="仿宋_GB2312"/>
                <w:color w:val="000000"/>
                <w:sz w:val="24"/>
                <w:szCs w:val="24"/>
                <w:highlight w:val="none"/>
                <w:lang w:bidi="th-TH"/>
              </w:rPr>
              <w:t>项目，提供具体</w:t>
            </w:r>
            <w:r>
              <w:rPr>
                <w:rFonts w:hint="eastAsia" w:ascii="仿宋_GB2312" w:hAnsi="仿宋" w:eastAsia="仿宋_GB2312"/>
                <w:color w:val="000000"/>
                <w:sz w:val="24"/>
                <w:szCs w:val="24"/>
                <w:highlight w:val="none"/>
                <w:lang w:val="en-US" w:eastAsia="zh-CN" w:bidi="th-TH"/>
              </w:rPr>
              <w:t>项目</w:t>
            </w:r>
            <w:r>
              <w:rPr>
                <w:rFonts w:hint="eastAsia" w:ascii="仿宋_GB2312" w:hAnsi="仿宋" w:eastAsia="仿宋_GB2312"/>
                <w:color w:val="000000"/>
                <w:sz w:val="24"/>
                <w:szCs w:val="24"/>
                <w:highlight w:val="none"/>
                <w:lang w:bidi="th-TH"/>
              </w:rPr>
              <w:t>实例数</w:t>
            </w:r>
            <w:r>
              <w:rPr>
                <w:rFonts w:hint="eastAsia" w:ascii="仿宋_GB2312" w:hAnsi="仿宋" w:eastAsia="仿宋_GB2312"/>
                <w:color w:val="000000"/>
                <w:sz w:val="24"/>
                <w:szCs w:val="24"/>
                <w:highlight w:val="none"/>
                <w:lang w:eastAsia="zh-CN" w:bidi="th-TH"/>
              </w:rPr>
              <w:t>，</w:t>
            </w:r>
            <w:r>
              <w:rPr>
                <w:rFonts w:hint="eastAsia" w:ascii="仿宋_GB2312" w:hAnsi="仿宋" w:eastAsia="仿宋_GB2312"/>
                <w:color w:val="000000"/>
                <w:sz w:val="24"/>
                <w:szCs w:val="24"/>
                <w:highlight w:val="none"/>
                <w:lang w:bidi="th-TH"/>
              </w:rPr>
              <w:t>每项</w:t>
            </w:r>
            <w:r>
              <w:rPr>
                <w:rFonts w:hint="eastAsia" w:ascii="仿宋_GB2312" w:hAnsi="仿宋" w:eastAsia="仿宋_GB2312"/>
                <w:color w:val="000000"/>
                <w:sz w:val="24"/>
                <w:szCs w:val="24"/>
                <w:highlight w:val="none"/>
                <w:lang w:val="en-US" w:eastAsia="zh-CN" w:bidi="th-TH"/>
              </w:rPr>
              <w:t>4</w:t>
            </w:r>
            <w:r>
              <w:rPr>
                <w:rFonts w:hint="eastAsia" w:ascii="仿宋_GB2312" w:hAnsi="仿宋" w:eastAsia="仿宋_GB2312"/>
                <w:color w:val="000000"/>
                <w:sz w:val="24"/>
                <w:szCs w:val="24"/>
                <w:highlight w:val="none"/>
                <w:lang w:bidi="th-TH"/>
              </w:rPr>
              <w:t>分，最高得</w:t>
            </w:r>
            <w:r>
              <w:rPr>
                <w:rFonts w:hint="eastAsia" w:ascii="仿宋_GB2312" w:hAnsi="仿宋" w:eastAsia="仿宋_GB2312"/>
                <w:color w:val="000000"/>
                <w:sz w:val="24"/>
                <w:szCs w:val="24"/>
                <w:highlight w:val="none"/>
                <w:lang w:val="en-US" w:eastAsia="zh-CN" w:bidi="th-TH"/>
              </w:rPr>
              <w:t>8</w:t>
            </w:r>
            <w:r>
              <w:rPr>
                <w:rFonts w:hint="eastAsia" w:ascii="仿宋_GB2312" w:hAnsi="仿宋" w:eastAsia="仿宋_GB2312"/>
                <w:color w:val="000000"/>
                <w:sz w:val="24"/>
                <w:szCs w:val="24"/>
                <w:highlight w:val="none"/>
                <w:lang w:bidi="th-TH"/>
              </w:rPr>
              <w:t>分</w:t>
            </w:r>
            <w:r>
              <w:rPr>
                <w:rFonts w:hint="eastAsia" w:ascii="仿宋_GB2312" w:hAnsi="仿宋" w:eastAsia="仿宋_GB2312"/>
                <w:color w:val="000000"/>
                <w:sz w:val="24"/>
                <w:szCs w:val="24"/>
                <w:highlight w:val="none"/>
                <w:lang w:val="en-US" w:eastAsia="zh-CN" w:bidi="th-TH"/>
              </w:rPr>
              <w:t>。</w:t>
            </w:r>
          </w:p>
          <w:p w14:paraId="5E793014">
            <w:pPr>
              <w:widowControl/>
              <w:spacing w:line="320" w:lineRule="exact"/>
              <w:jc w:val="left"/>
              <w:rPr>
                <w:rFonts w:hint="eastAsia" w:ascii="仿宋_GB2312" w:hAnsi="仿宋" w:eastAsia="仿宋_GB2312"/>
                <w:color w:val="000000"/>
                <w:sz w:val="24"/>
                <w:szCs w:val="24"/>
                <w:highlight w:val="none"/>
                <w:lang w:bidi="th-TH"/>
              </w:rPr>
            </w:pPr>
            <w:r>
              <w:rPr>
                <w:rFonts w:hint="eastAsia" w:ascii="仿宋_GB2312" w:hAnsi="仿宋" w:eastAsia="仿宋_GB2312"/>
                <w:color w:val="000000"/>
                <w:sz w:val="24"/>
                <w:szCs w:val="24"/>
                <w:highlight w:val="none"/>
                <w:lang w:eastAsia="zh-CN" w:bidi="th-TH"/>
              </w:rPr>
              <w:t>（</w:t>
            </w:r>
            <w:r>
              <w:rPr>
                <w:rFonts w:hint="eastAsia" w:ascii="仿宋_GB2312" w:hAnsi="仿宋" w:eastAsia="仿宋_GB2312"/>
                <w:color w:val="000000"/>
                <w:sz w:val="24"/>
                <w:szCs w:val="24"/>
                <w:highlight w:val="none"/>
                <w:lang w:bidi="th-TH"/>
              </w:rPr>
              <w:t>要求提供合同关键信息</w:t>
            </w:r>
            <w:r>
              <w:rPr>
                <w:rFonts w:hint="eastAsia" w:ascii="仿宋_GB2312" w:hAnsi="仿宋" w:eastAsia="仿宋_GB2312"/>
                <w:color w:val="000000"/>
                <w:sz w:val="24"/>
                <w:szCs w:val="24"/>
                <w:highlight w:val="none"/>
                <w:lang w:eastAsia="zh-CN" w:bidi="th-TH"/>
              </w:rPr>
              <w:t>或</w:t>
            </w:r>
            <w:r>
              <w:rPr>
                <w:rFonts w:hint="eastAsia" w:ascii="仿宋_GB2312" w:hAnsi="仿宋" w:eastAsia="仿宋_GB2312"/>
                <w:color w:val="000000"/>
                <w:sz w:val="24"/>
                <w:szCs w:val="24"/>
                <w:highlight w:val="none"/>
                <w:lang w:bidi="th-TH"/>
              </w:rPr>
              <w:t>项目履约</w:t>
            </w:r>
            <w:r>
              <w:rPr>
                <w:rFonts w:hint="eastAsia" w:ascii="仿宋_GB2312" w:hAnsi="仿宋" w:eastAsia="仿宋_GB2312"/>
                <w:color w:val="000000"/>
                <w:sz w:val="24"/>
                <w:szCs w:val="24"/>
                <w:highlight w:val="none"/>
                <w:lang w:val="en-US" w:eastAsia="zh-CN" w:bidi="th-TH"/>
              </w:rPr>
              <w:t>/</w:t>
            </w:r>
            <w:r>
              <w:rPr>
                <w:rFonts w:hint="eastAsia" w:ascii="仿宋_GB2312" w:hAnsi="仿宋" w:eastAsia="仿宋_GB2312"/>
                <w:color w:val="000000"/>
                <w:sz w:val="24"/>
                <w:szCs w:val="24"/>
                <w:highlight w:val="none"/>
                <w:lang w:bidi="th-TH"/>
              </w:rPr>
              <w:t>验收合格评价证明文件作为得分依据</w:t>
            </w:r>
            <w:r>
              <w:rPr>
                <w:rFonts w:hint="eastAsia" w:ascii="仿宋_GB2312" w:hAnsi="仿宋" w:eastAsia="仿宋_GB2312"/>
                <w:color w:val="000000"/>
                <w:sz w:val="24"/>
                <w:szCs w:val="24"/>
                <w:highlight w:val="none"/>
                <w:lang w:eastAsia="zh-CN" w:bidi="th-TH"/>
              </w:rPr>
              <w:t>，</w:t>
            </w:r>
            <w:r>
              <w:rPr>
                <w:rFonts w:hint="eastAsia" w:ascii="仿宋_GB2312" w:hAnsi="仿宋" w:eastAsia="仿宋_GB2312"/>
                <w:color w:val="000000"/>
                <w:sz w:val="24"/>
                <w:szCs w:val="24"/>
                <w:highlight w:val="none"/>
                <w:lang w:bidi="th-TH"/>
              </w:rPr>
              <w:t>以上资料均要求提供扫描件，原件备查。评分中出现无证明资料或专家无法凭所提供资料判断是否得分的情况，一律作不得分处理。</w:t>
            </w:r>
            <w:r>
              <w:rPr>
                <w:rFonts w:hint="eastAsia" w:ascii="仿宋_GB2312" w:hAnsi="仿宋" w:eastAsia="仿宋_GB2312"/>
                <w:color w:val="000000"/>
                <w:sz w:val="24"/>
                <w:szCs w:val="24"/>
                <w:highlight w:val="none"/>
                <w:lang w:eastAsia="zh-CN" w:bidi="th-TH"/>
              </w:rPr>
              <w:t>）</w:t>
            </w:r>
          </w:p>
        </w:tc>
        <w:tc>
          <w:tcPr>
            <w:tcW w:w="2141" w:type="dxa"/>
            <w:tcBorders>
              <w:top w:val="single" w:color="auto" w:sz="6" w:space="0"/>
              <w:left w:val="single" w:color="auto" w:sz="6" w:space="0"/>
              <w:bottom w:val="single" w:color="auto" w:sz="6" w:space="0"/>
              <w:right w:val="single" w:color="auto" w:sz="8" w:space="0"/>
            </w:tcBorders>
            <w:noWrap w:val="0"/>
            <w:vAlign w:val="top"/>
          </w:tcPr>
          <w:p w14:paraId="793776C8">
            <w:pPr>
              <w:widowControl/>
              <w:spacing w:line="440" w:lineRule="exact"/>
              <w:jc w:val="left"/>
              <w:rPr>
                <w:rFonts w:ascii="仿宋_GB2312" w:hAnsi="仿宋" w:eastAsia="仿宋_GB2312"/>
                <w:color w:val="000000"/>
                <w:sz w:val="24"/>
                <w:highlight w:val="none"/>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668DCE40">
            <w:pPr>
              <w:widowControl/>
              <w:spacing w:line="440" w:lineRule="exact"/>
              <w:jc w:val="left"/>
              <w:rPr>
                <w:rFonts w:ascii="仿宋_GB2312" w:hAnsi="仿宋" w:eastAsia="仿宋_GB2312"/>
                <w:color w:val="000000"/>
                <w:sz w:val="24"/>
                <w:highlight w:val="none"/>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53F8BA2E">
            <w:pPr>
              <w:widowControl/>
              <w:spacing w:line="440" w:lineRule="exact"/>
              <w:jc w:val="left"/>
              <w:rPr>
                <w:rFonts w:ascii="仿宋_GB2312" w:hAnsi="仿宋" w:eastAsia="仿宋_GB2312"/>
                <w:color w:val="000000"/>
                <w:sz w:val="24"/>
                <w:highlight w:val="none"/>
              </w:rPr>
            </w:pPr>
          </w:p>
        </w:tc>
      </w:tr>
      <w:tr w14:paraId="41DC818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315" w:hRule="atLeast"/>
          <w:tblHeader/>
        </w:trPr>
        <w:tc>
          <w:tcPr>
            <w:tcW w:w="727" w:type="dxa"/>
            <w:vMerge w:val="continue"/>
            <w:tcBorders>
              <w:left w:val="single" w:color="auto" w:sz="4" w:space="0"/>
              <w:bottom w:val="single" w:color="auto" w:sz="4" w:space="0"/>
              <w:right w:val="single" w:color="auto" w:sz="4" w:space="0"/>
            </w:tcBorders>
            <w:noWrap w:val="0"/>
            <w:vAlign w:val="center"/>
          </w:tcPr>
          <w:p w14:paraId="6EE595C4">
            <w:pPr>
              <w:widowControl/>
              <w:jc w:val="left"/>
              <w:rPr>
                <w:rFonts w:ascii="仿宋_GB2312" w:hAnsi="仿宋" w:eastAsia="仿宋_GB2312"/>
                <w:color w:val="000000"/>
                <w:sz w:val="24"/>
                <w:highlight w:val="none"/>
              </w:rPr>
            </w:pPr>
          </w:p>
        </w:tc>
        <w:tc>
          <w:tcPr>
            <w:tcW w:w="823" w:type="dxa"/>
            <w:tcBorders>
              <w:top w:val="single" w:color="auto" w:sz="6" w:space="0"/>
              <w:left w:val="single" w:color="auto" w:sz="4" w:space="0"/>
              <w:bottom w:val="single" w:color="auto" w:sz="6" w:space="0"/>
              <w:right w:val="single" w:color="auto" w:sz="6" w:space="0"/>
            </w:tcBorders>
            <w:noWrap w:val="0"/>
            <w:vAlign w:val="center"/>
          </w:tcPr>
          <w:p w14:paraId="435A6B12">
            <w:pPr>
              <w:spacing w:line="360" w:lineRule="exact"/>
              <w:jc w:val="center"/>
              <w:rPr>
                <w:rFonts w:ascii="仿宋_GB2312" w:hAnsi="仿宋" w:eastAsia="仿宋_GB2312"/>
                <w:color w:val="000000"/>
                <w:sz w:val="24"/>
                <w:highlight w:val="none"/>
              </w:rPr>
            </w:pPr>
            <w:r>
              <w:rPr>
                <w:rFonts w:hint="eastAsia" w:ascii="仿宋_GB2312" w:hAnsi="仿宋" w:eastAsia="仿宋_GB2312"/>
                <w:color w:val="000000"/>
                <w:sz w:val="24"/>
                <w:highlight w:val="none"/>
              </w:rPr>
              <w:t>违约承诺</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7395053F">
            <w:pPr>
              <w:spacing w:line="360" w:lineRule="exact"/>
              <w:jc w:val="center"/>
              <w:rPr>
                <w:rFonts w:ascii="仿宋_GB2312" w:hAnsi="仿宋" w:eastAsia="仿宋_GB2312"/>
                <w:color w:val="000000"/>
                <w:sz w:val="24"/>
                <w:highlight w:val="none"/>
              </w:rPr>
            </w:pPr>
            <w:r>
              <w:rPr>
                <w:rFonts w:hint="eastAsia" w:ascii="仿宋_GB2312" w:hAnsi="仿宋" w:eastAsia="仿宋_GB2312"/>
                <w:color w:val="000000"/>
                <w:sz w:val="24"/>
                <w:highlight w:val="none"/>
              </w:rPr>
              <w:t>5%</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3B31F8CB">
            <w:pPr>
              <w:widowControl/>
              <w:spacing w:line="360" w:lineRule="exact"/>
              <w:jc w:val="center"/>
              <w:rPr>
                <w:rFonts w:ascii="仿宋_GB2312" w:hAnsi="仿宋" w:eastAsia="仿宋_GB2312"/>
                <w:color w:val="000000"/>
                <w:sz w:val="24"/>
                <w:highlight w:val="none"/>
              </w:rPr>
            </w:pPr>
            <w:r>
              <w:rPr>
                <w:rFonts w:hint="eastAsia" w:ascii="仿宋_GB2312" w:hAnsi="仿宋" w:eastAsia="仿宋_GB2312"/>
                <w:color w:val="000000"/>
                <w:sz w:val="24"/>
                <w:highlight w:val="none"/>
              </w:rPr>
              <w:t>5分</w:t>
            </w:r>
          </w:p>
        </w:tc>
        <w:tc>
          <w:tcPr>
            <w:tcW w:w="6872" w:type="dxa"/>
            <w:tcBorders>
              <w:top w:val="single" w:color="auto" w:sz="6" w:space="0"/>
              <w:left w:val="single" w:color="auto" w:sz="6" w:space="0"/>
              <w:bottom w:val="single" w:color="auto" w:sz="6" w:space="0"/>
              <w:right w:val="single" w:color="auto" w:sz="8" w:space="0"/>
            </w:tcBorders>
            <w:noWrap w:val="0"/>
            <w:vAlign w:val="center"/>
          </w:tcPr>
          <w:p w14:paraId="35138539">
            <w:pPr>
              <w:widowControl/>
              <w:spacing w:line="320" w:lineRule="exact"/>
              <w:jc w:val="left"/>
              <w:rPr>
                <w:rFonts w:ascii="仿宋_GB2312" w:hAnsi="仿宋" w:eastAsia="仿宋_GB2312"/>
                <w:color w:val="000000"/>
                <w:sz w:val="24"/>
                <w:highlight w:val="none"/>
              </w:rPr>
            </w:pPr>
            <w:r>
              <w:rPr>
                <w:rFonts w:hint="eastAsia" w:ascii="仿宋_GB2312" w:hAnsi="仿宋" w:eastAsia="仿宋_GB2312"/>
                <w:color w:val="000000"/>
                <w:sz w:val="24"/>
                <w:highlight w:val="none"/>
              </w:rPr>
              <w:t>承诺满足招标文件要求，保证措施合理且有针对性，有具体的违约责任承诺。提供违约承诺得5分。要求提供承诺（格式自定）作为得分依据，未提供承诺或承诺内容不满足要求不得分。</w:t>
            </w:r>
          </w:p>
        </w:tc>
        <w:tc>
          <w:tcPr>
            <w:tcW w:w="2141" w:type="dxa"/>
            <w:tcBorders>
              <w:top w:val="single" w:color="auto" w:sz="6" w:space="0"/>
              <w:left w:val="single" w:color="auto" w:sz="6" w:space="0"/>
              <w:bottom w:val="single" w:color="auto" w:sz="6" w:space="0"/>
              <w:right w:val="single" w:color="auto" w:sz="8" w:space="0"/>
            </w:tcBorders>
            <w:noWrap w:val="0"/>
            <w:vAlign w:val="top"/>
          </w:tcPr>
          <w:p w14:paraId="00C4173A">
            <w:pPr>
              <w:widowControl/>
              <w:spacing w:line="440" w:lineRule="exact"/>
              <w:jc w:val="left"/>
              <w:rPr>
                <w:rFonts w:ascii="仿宋_GB2312" w:hAnsi="仿宋" w:eastAsia="仿宋_GB2312"/>
                <w:color w:val="000000"/>
                <w:sz w:val="24"/>
                <w:highlight w:val="none"/>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58E88E87">
            <w:pPr>
              <w:widowControl/>
              <w:spacing w:line="440" w:lineRule="exact"/>
              <w:jc w:val="left"/>
              <w:rPr>
                <w:rFonts w:ascii="仿宋_GB2312" w:hAnsi="仿宋" w:eastAsia="仿宋_GB2312"/>
                <w:color w:val="000000"/>
                <w:sz w:val="24"/>
                <w:highlight w:val="none"/>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30E02E8D">
            <w:pPr>
              <w:widowControl/>
              <w:spacing w:line="440" w:lineRule="exact"/>
              <w:jc w:val="left"/>
              <w:rPr>
                <w:rFonts w:ascii="仿宋_GB2312" w:hAnsi="仿宋" w:eastAsia="仿宋_GB2312"/>
                <w:color w:val="000000"/>
                <w:sz w:val="24"/>
                <w:highlight w:val="none"/>
              </w:rPr>
            </w:pPr>
          </w:p>
        </w:tc>
      </w:tr>
      <w:tr w14:paraId="186C134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9936" w:type="dxa"/>
            <w:gridSpan w:val="5"/>
            <w:tcBorders>
              <w:top w:val="single" w:color="auto" w:sz="6" w:space="0"/>
              <w:left w:val="single" w:color="auto" w:sz="8" w:space="0"/>
              <w:bottom w:val="single" w:color="auto" w:sz="8" w:space="0"/>
              <w:right w:val="single" w:color="auto" w:sz="8" w:space="0"/>
            </w:tcBorders>
            <w:noWrap w:val="0"/>
            <w:vAlign w:val="top"/>
          </w:tcPr>
          <w:p w14:paraId="2B0910E6">
            <w:pPr>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评分合计</w:t>
            </w:r>
          </w:p>
        </w:tc>
        <w:tc>
          <w:tcPr>
            <w:tcW w:w="2141" w:type="dxa"/>
            <w:tcBorders>
              <w:top w:val="single" w:color="auto" w:sz="6" w:space="0"/>
              <w:left w:val="single" w:color="auto" w:sz="8" w:space="0"/>
              <w:bottom w:val="single" w:color="auto" w:sz="8" w:space="0"/>
              <w:right w:val="single" w:color="auto" w:sz="8" w:space="0"/>
            </w:tcBorders>
            <w:noWrap w:val="0"/>
            <w:vAlign w:val="top"/>
          </w:tcPr>
          <w:p w14:paraId="68B37218">
            <w:pPr>
              <w:jc w:val="center"/>
              <w:rPr>
                <w:rFonts w:ascii="宋体" w:hAnsi="宋体" w:cs="宋体"/>
                <w:b/>
                <w:color w:val="000000"/>
                <w:kern w:val="0"/>
                <w:sz w:val="28"/>
                <w:szCs w:val="28"/>
                <w:highlight w:val="none"/>
              </w:rPr>
            </w:pPr>
          </w:p>
        </w:tc>
        <w:tc>
          <w:tcPr>
            <w:tcW w:w="1812" w:type="dxa"/>
            <w:tcBorders>
              <w:top w:val="single" w:color="auto" w:sz="6" w:space="0"/>
              <w:left w:val="single" w:color="auto" w:sz="8" w:space="0"/>
              <w:bottom w:val="single" w:color="auto" w:sz="8" w:space="0"/>
              <w:right w:val="single" w:color="auto" w:sz="8" w:space="0"/>
            </w:tcBorders>
            <w:noWrap w:val="0"/>
            <w:vAlign w:val="top"/>
          </w:tcPr>
          <w:p w14:paraId="5CB215AB">
            <w:pPr>
              <w:jc w:val="center"/>
              <w:rPr>
                <w:rFonts w:ascii="宋体" w:hAnsi="宋体" w:cs="宋体"/>
                <w:b/>
                <w:color w:val="000000"/>
                <w:kern w:val="0"/>
                <w:sz w:val="28"/>
                <w:szCs w:val="28"/>
                <w:highlight w:val="none"/>
              </w:rPr>
            </w:pPr>
          </w:p>
        </w:tc>
        <w:tc>
          <w:tcPr>
            <w:tcW w:w="1983" w:type="dxa"/>
            <w:tcBorders>
              <w:top w:val="single" w:color="auto" w:sz="6" w:space="0"/>
              <w:left w:val="single" w:color="auto" w:sz="8" w:space="0"/>
              <w:bottom w:val="single" w:color="auto" w:sz="8" w:space="0"/>
              <w:right w:val="single" w:color="auto" w:sz="8" w:space="0"/>
            </w:tcBorders>
            <w:noWrap w:val="0"/>
            <w:vAlign w:val="top"/>
          </w:tcPr>
          <w:p w14:paraId="26459A62">
            <w:pPr>
              <w:jc w:val="center"/>
              <w:rPr>
                <w:rFonts w:ascii="宋体" w:hAnsi="宋体" w:cs="宋体"/>
                <w:b/>
                <w:color w:val="000000"/>
                <w:kern w:val="0"/>
                <w:sz w:val="28"/>
                <w:szCs w:val="28"/>
                <w:highlight w:val="none"/>
              </w:rPr>
            </w:pPr>
          </w:p>
        </w:tc>
      </w:tr>
    </w:tbl>
    <w:p w14:paraId="11E640E1"/>
    <w:p w14:paraId="1E3576E9">
      <w:pPr>
        <w:ind w:firstLine="560" w:firstLineChars="200"/>
        <w:jc w:val="both"/>
      </w:pPr>
      <w:r>
        <w:rPr>
          <w:rFonts w:hint="eastAsia" w:ascii="宋体" w:hAnsi="宋体" w:eastAsia="宋体" w:cs="宋体"/>
          <w:b/>
          <w:color w:val="000000"/>
          <w:kern w:val="0"/>
          <w:sz w:val="28"/>
          <w:szCs w:val="28"/>
          <w:lang w:eastAsia="zh-CN"/>
        </w:rPr>
        <w:t>评分员：</w:t>
      </w:r>
    </w:p>
    <w:sectPr>
      <w:footerReference r:id="rId3" w:type="default"/>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F167">
    <w:pPr>
      <w:pStyle w:val="6"/>
      <w:jc w:val="center"/>
    </w:pPr>
    <w:r>
      <w:fldChar w:fldCharType="begin"/>
    </w:r>
    <w:r>
      <w:instrText xml:space="preserve"> PAGE   \* MERGEFORMAT </w:instrText>
    </w:r>
    <w:r>
      <w:fldChar w:fldCharType="separate"/>
    </w:r>
    <w:r>
      <w:rPr>
        <w:lang w:val="zh-CN"/>
      </w:rPr>
      <w:t>4</w:t>
    </w:r>
    <w:r>
      <w:fldChar w:fldCharType="end"/>
    </w:r>
  </w:p>
  <w:p w14:paraId="54BD122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299"/>
    <w:rsid w:val="00017AB7"/>
    <w:rsid w:val="0005471A"/>
    <w:rsid w:val="00070A77"/>
    <w:rsid w:val="00235DF9"/>
    <w:rsid w:val="002E7C66"/>
    <w:rsid w:val="003F6E82"/>
    <w:rsid w:val="004035E9"/>
    <w:rsid w:val="005B4FF5"/>
    <w:rsid w:val="005F3C20"/>
    <w:rsid w:val="00605287"/>
    <w:rsid w:val="006224D9"/>
    <w:rsid w:val="006F5EBD"/>
    <w:rsid w:val="00742AA4"/>
    <w:rsid w:val="008B527C"/>
    <w:rsid w:val="0092432D"/>
    <w:rsid w:val="00A370AD"/>
    <w:rsid w:val="00B23906"/>
    <w:rsid w:val="00CF7B8C"/>
    <w:rsid w:val="00D16579"/>
    <w:rsid w:val="00DE0852"/>
    <w:rsid w:val="00E8136F"/>
    <w:rsid w:val="00E819A5"/>
    <w:rsid w:val="00EC108A"/>
    <w:rsid w:val="00F4059C"/>
    <w:rsid w:val="00FB2299"/>
    <w:rsid w:val="09907A0F"/>
    <w:rsid w:val="0B95098E"/>
    <w:rsid w:val="0C831AD7"/>
    <w:rsid w:val="2BF029BB"/>
    <w:rsid w:val="2D9BCF6B"/>
    <w:rsid w:val="2E075F1C"/>
    <w:rsid w:val="36BC23A5"/>
    <w:rsid w:val="38104D68"/>
    <w:rsid w:val="3C9F29BE"/>
    <w:rsid w:val="3D294EC6"/>
    <w:rsid w:val="42F249A3"/>
    <w:rsid w:val="4FE135AD"/>
    <w:rsid w:val="534D3422"/>
    <w:rsid w:val="53833227"/>
    <w:rsid w:val="55452465"/>
    <w:rsid w:val="5A755447"/>
    <w:rsid w:val="5AEB365D"/>
    <w:rsid w:val="626306A5"/>
    <w:rsid w:val="648967FB"/>
    <w:rsid w:val="67AA3977"/>
    <w:rsid w:val="6B9C3C9F"/>
    <w:rsid w:val="6D960E9C"/>
    <w:rsid w:val="6E375328"/>
    <w:rsid w:val="72CF98F7"/>
    <w:rsid w:val="77FDFE9A"/>
    <w:rsid w:val="79D376F5"/>
    <w:rsid w:val="7BFDCAE6"/>
    <w:rsid w:val="7DFFE9A9"/>
    <w:rsid w:val="7E47A5D3"/>
    <w:rsid w:val="7FCD22FE"/>
    <w:rsid w:val="7FD5B0B8"/>
    <w:rsid w:val="BE7D0BB9"/>
    <w:rsid w:val="BF9F3491"/>
    <w:rsid w:val="BFF7FBCD"/>
    <w:rsid w:val="E7FFFEBE"/>
    <w:rsid w:val="EFB7731A"/>
    <w:rsid w:val="FF7F0F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3"/>
    <w:basedOn w:val="1"/>
    <w:next w:val="1"/>
    <w:link w:val="1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Date"/>
    <w:basedOn w:val="1"/>
    <w:next w:val="1"/>
    <w:link w:val="12"/>
    <w:unhideWhenUsed/>
    <w:uiPriority w:val="99"/>
    <w:pPr>
      <w:ind w:left="100" w:leftChars="2500"/>
    </w:pPr>
  </w:style>
  <w:style w:type="paragraph" w:styleId="5">
    <w:name w:val="Balloon Text"/>
    <w:basedOn w:val="1"/>
    <w:link w:val="13"/>
    <w:unhideWhenUsed/>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1">
    <w:name w:val="标题 3 Char"/>
    <w:basedOn w:val="10"/>
    <w:link w:val="3"/>
    <w:semiHidden/>
    <w:uiPriority w:val="0"/>
    <w:rPr>
      <w:rFonts w:ascii="宋体" w:hAnsi="宋体" w:eastAsia="宋体" w:cs="Times New Roman"/>
      <w:b/>
      <w:kern w:val="0"/>
      <w:sz w:val="27"/>
      <w:szCs w:val="27"/>
    </w:rPr>
  </w:style>
  <w:style w:type="character" w:customStyle="1" w:styleId="12">
    <w:name w:val="日期 Char"/>
    <w:basedOn w:val="10"/>
    <w:link w:val="4"/>
    <w:semiHidden/>
    <w:uiPriority w:val="99"/>
    <w:rPr>
      <w:kern w:val="2"/>
      <w:sz w:val="21"/>
      <w:szCs w:val="24"/>
    </w:rPr>
  </w:style>
  <w:style w:type="character" w:customStyle="1" w:styleId="13">
    <w:name w:val="批注框文本 Char"/>
    <w:basedOn w:val="10"/>
    <w:link w:val="5"/>
    <w:semiHidden/>
    <w:uiPriority w:val="99"/>
    <w:rPr>
      <w:kern w:val="2"/>
      <w:sz w:val="18"/>
      <w:szCs w:val="18"/>
    </w:rPr>
  </w:style>
  <w:style w:type="character" w:customStyle="1" w:styleId="14">
    <w:name w:val="页脚 Char"/>
    <w:basedOn w:val="10"/>
    <w:link w:val="6"/>
    <w:uiPriority w:val="99"/>
    <w:rPr>
      <w:kern w:val="2"/>
      <w:sz w:val="18"/>
      <w:szCs w:val="18"/>
    </w:rPr>
  </w:style>
  <w:style w:type="character" w:customStyle="1" w:styleId="15">
    <w:name w:val="页眉 Char"/>
    <w:basedOn w:val="10"/>
    <w:link w:val="7"/>
    <w:semiHidden/>
    <w:uiPriority w:val="99"/>
    <w:rPr>
      <w:kern w:val="2"/>
      <w:sz w:val="18"/>
      <w:szCs w:val="18"/>
    </w:rPr>
  </w:style>
  <w:style w:type="character" w:customStyle="1" w:styleId="16">
    <w:name w:val="NormalCharacter"/>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949</Words>
  <Characters>978</Characters>
  <Lines>11</Lines>
  <Paragraphs>3</Paragraphs>
  <TotalTime>0</TotalTime>
  <ScaleCrop>false</ScaleCrop>
  <LinksUpToDate>false</LinksUpToDate>
  <CharactersWithSpaces>978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2019-11-20T09:30:00Z</dcterms:created>
  <dc:creator>陈洪林</dc:creator>
  <cp:lastModifiedBy>郭佳婷</cp:lastModifiedBy>
  <cp:lastPrinted>2023-08-19T18:14:35Z</cp:lastPrinted>
  <dcterms:modified xsi:type="dcterms:W3CDTF">2026-04-23T10:17:49Z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847495D8112B4A8D83B60592CCF33859_13</vt:lpwstr>
  </property>
  <property fmtid="{D5CDD505-2E9C-101B-9397-08002B2CF9AE}" pid="4" name="KSOTemplateDocerSaveRecord">
    <vt:lpwstr>eyJoZGlkIjoiN2YzNjBkOTgyNWQ1YTMxYzM3MzMwNWFiODNmOWIzYWMiLCJ1c2VySWQiOiIxNjU3NzAwOTQyIn0=</vt:lpwstr>
  </property>
</Properties>
</file>