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E06B4">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Style w:val="12"/>
          <w:rFonts w:hint="eastAsia" w:ascii="方正小标宋_GBK" w:hAnsi="方正小标宋_GBK" w:eastAsia="方正小标宋_GBK" w:cs="方正小标宋_GBK"/>
          <w:b w:val="0"/>
          <w:i w:val="0"/>
          <w:kern w:val="0"/>
          <w:sz w:val="44"/>
          <w:szCs w:val="44"/>
          <w:highlight w:val="none"/>
          <w:lang w:val="en-US" w:eastAsia="zh-CN"/>
        </w:rPr>
      </w:pPr>
    </w:p>
    <w:p w14:paraId="147AA65F">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Style w:val="12"/>
          <w:rFonts w:hint="eastAsia" w:ascii="方正小标宋_GBK" w:hAnsi="方正小标宋_GBK" w:eastAsia="方正小标宋_GBK" w:cs="方正小标宋_GBK"/>
          <w:b w:val="0"/>
          <w:i w:val="0"/>
          <w:kern w:val="0"/>
          <w:sz w:val="44"/>
          <w:szCs w:val="44"/>
          <w:highlight w:val="none"/>
          <w:lang w:val="en-US" w:eastAsia="zh-CN"/>
        </w:rPr>
      </w:pPr>
      <w:bookmarkStart w:id="1" w:name="_GoBack"/>
      <w:bookmarkEnd w:id="1"/>
      <w:r>
        <w:rPr>
          <w:rStyle w:val="12"/>
          <w:rFonts w:hint="eastAsia" w:ascii="方正小标宋_GBK" w:hAnsi="方正小标宋_GBK" w:eastAsia="方正小标宋_GBK" w:cs="方正小标宋_GBK"/>
          <w:b w:val="0"/>
          <w:i w:val="0"/>
          <w:kern w:val="0"/>
          <w:sz w:val="44"/>
          <w:szCs w:val="44"/>
          <w:highlight w:val="none"/>
          <w:lang w:val="en-US" w:eastAsia="zh-CN"/>
        </w:rPr>
        <w:t>2026年演艺活动资助项目</w:t>
      </w:r>
    </w:p>
    <w:p w14:paraId="7AA9B342">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Style w:val="12"/>
          <w:rFonts w:hint="eastAsia" w:ascii="宋体" w:hAnsi="宋体" w:eastAsia="宋体" w:cs="宋体"/>
          <w:b w:val="0"/>
          <w:i w:val="0"/>
          <w:kern w:val="0"/>
          <w:sz w:val="44"/>
          <w:szCs w:val="44"/>
          <w:highlight w:val="none"/>
          <w:lang w:val="en" w:eastAsia="zh-CN"/>
        </w:rPr>
      </w:pPr>
      <w:r>
        <w:rPr>
          <w:rStyle w:val="12"/>
          <w:rFonts w:hint="eastAsia" w:ascii="方正小标宋_GBK" w:hAnsi="方正小标宋_GBK" w:eastAsia="方正小标宋_GBK" w:cs="方正小标宋_GBK"/>
          <w:b w:val="0"/>
          <w:i w:val="0"/>
          <w:kern w:val="0"/>
          <w:sz w:val="44"/>
          <w:szCs w:val="44"/>
          <w:highlight w:val="none"/>
          <w:lang w:val="en" w:eastAsia="zh-CN"/>
        </w:rPr>
        <w:t>申报指南</w:t>
      </w:r>
    </w:p>
    <w:p w14:paraId="13B2CFDA">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Style w:val="12"/>
          <w:rFonts w:hint="eastAsia" w:ascii="仿宋_GB2312" w:hAnsi="仿宋_GB2312" w:eastAsia="黑体" w:cs="仿宋_GB2312"/>
          <w:b w:val="0"/>
          <w:i w:val="0"/>
          <w:kern w:val="0"/>
          <w:sz w:val="32"/>
          <w:szCs w:val="32"/>
          <w:highlight w:val="none"/>
          <w:lang w:eastAsia="zh-CN"/>
        </w:rPr>
      </w:pPr>
    </w:p>
    <w:p w14:paraId="4417B7A3">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Style w:val="12"/>
          <w:rFonts w:hint="eastAsia" w:ascii="仿宋_GB2312" w:hAnsi="仿宋_GB2312" w:eastAsia="黑体" w:cs="仿宋_GB2312"/>
          <w:b w:val="0"/>
          <w:i w:val="0"/>
          <w:kern w:val="0"/>
          <w:sz w:val="32"/>
          <w:szCs w:val="32"/>
          <w:highlight w:val="none"/>
          <w:lang w:eastAsia="zh-CN"/>
        </w:rPr>
      </w:pPr>
      <w:r>
        <w:rPr>
          <w:rStyle w:val="12"/>
          <w:rFonts w:hint="eastAsia" w:ascii="仿宋_GB2312" w:hAnsi="仿宋_GB2312" w:eastAsia="黑体" w:cs="仿宋_GB2312"/>
          <w:b w:val="0"/>
          <w:i w:val="0"/>
          <w:kern w:val="0"/>
          <w:sz w:val="32"/>
          <w:szCs w:val="32"/>
          <w:highlight w:val="none"/>
          <w:lang w:eastAsia="zh-CN"/>
        </w:rPr>
        <w:t>一、设定依据</w:t>
      </w:r>
    </w:p>
    <w:p w14:paraId="39F49FEA">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（一）</w:t>
      </w:r>
      <w:r>
        <w:rPr>
          <w:rFonts w:hint="eastAsia" w:ascii="仿宋_GB2312" w:hAnsi="Calibri" w:eastAsia="仿宋_GB2312" w:cs="Times New Roman"/>
          <w:kern w:val="2"/>
          <w:sz w:val="32"/>
          <w:szCs w:val="32"/>
          <w:highlight w:val="none"/>
          <w:lang w:val="en-US" w:eastAsia="zh-CN" w:bidi="ar-SA"/>
        </w:rPr>
        <w:t>《深圳市推动数字创意产业高质量发展的若干措施》（深文〔2025〕118号）</w:t>
      </w:r>
      <w:r>
        <w:rPr>
          <w:rFonts w:hint="eastAsia" w:ascii="仿宋_GB2312" w:eastAsia="仿宋_GB2312" w:cs="Times New Roman"/>
          <w:kern w:val="2"/>
          <w:sz w:val="32"/>
          <w:szCs w:val="32"/>
          <w:highlight w:val="none"/>
          <w:lang w:val="en-US" w:eastAsia="zh-CN" w:bidi="ar-SA"/>
        </w:rPr>
        <w:t>；</w:t>
      </w:r>
    </w:p>
    <w:p w14:paraId="17F79FBC">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（二）《深圳市文化广电旅游体育局推动数字创意产业高质量发展项目扶持计划操作规程》</w:t>
      </w:r>
      <w:r>
        <w:rPr>
          <w:rFonts w:hint="eastAsia" w:ascii="仿宋_GB2312" w:hAnsi="Calibri" w:eastAsia="仿宋_GB2312" w:cs="Times New Roman"/>
          <w:kern w:val="2"/>
          <w:sz w:val="32"/>
          <w:szCs w:val="32"/>
          <w:highlight w:val="none"/>
          <w:lang w:val="en-US" w:eastAsia="zh-CN" w:bidi="ar-SA"/>
        </w:rPr>
        <w:t>（深文</w:t>
      </w:r>
      <w:r>
        <w:rPr>
          <w:rFonts w:hint="eastAsia" w:ascii="仿宋_GB2312" w:eastAsia="仿宋_GB2312" w:cs="Times New Roman"/>
          <w:kern w:val="2"/>
          <w:sz w:val="32"/>
          <w:szCs w:val="32"/>
          <w:highlight w:val="none"/>
          <w:lang w:val="en-US" w:eastAsia="zh-CN" w:bidi="ar-SA"/>
        </w:rPr>
        <w:t>规</w:t>
      </w:r>
      <w:r>
        <w:rPr>
          <w:rFonts w:hint="eastAsia" w:ascii="仿宋_GB2312" w:hAnsi="Calibri" w:eastAsia="仿宋_GB2312" w:cs="Times New Roman"/>
          <w:kern w:val="2"/>
          <w:sz w:val="32"/>
          <w:szCs w:val="32"/>
          <w:highlight w:val="none"/>
          <w:lang w:val="en-US" w:eastAsia="zh-CN" w:bidi="ar-SA"/>
        </w:rPr>
        <w:t>〔202</w:t>
      </w:r>
      <w:r>
        <w:rPr>
          <w:rFonts w:hint="eastAsia" w:ascii="仿宋_GB2312" w:eastAsia="仿宋_GB2312" w:cs="Times New Roman"/>
          <w:kern w:val="2"/>
          <w:sz w:val="32"/>
          <w:szCs w:val="32"/>
          <w:highlight w:val="none"/>
          <w:lang w:val="en-US" w:eastAsia="zh-CN" w:bidi="ar-SA"/>
        </w:rPr>
        <w:t>6</w:t>
      </w:r>
      <w:r>
        <w:rPr>
          <w:rFonts w:hint="eastAsia" w:ascii="仿宋_GB2312" w:hAnsi="Calibri"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2</w:t>
      </w:r>
      <w:r>
        <w:rPr>
          <w:rFonts w:hint="eastAsia" w:ascii="仿宋_GB2312" w:hAnsi="Calibri" w:eastAsia="仿宋_GB2312" w:cs="Times New Roman"/>
          <w:kern w:val="2"/>
          <w:sz w:val="32"/>
          <w:szCs w:val="32"/>
          <w:highlight w:val="none"/>
          <w:lang w:val="en-US" w:eastAsia="zh-CN" w:bidi="ar-SA"/>
        </w:rPr>
        <w:t>号）</w:t>
      </w:r>
      <w:r>
        <w:rPr>
          <w:rFonts w:hint="eastAsia" w:ascii="仿宋_GB2312" w:eastAsia="仿宋_GB2312" w:cs="Times New Roman"/>
          <w:kern w:val="2"/>
          <w:sz w:val="32"/>
          <w:szCs w:val="32"/>
          <w:highlight w:val="none"/>
          <w:lang w:val="en-US" w:eastAsia="zh-CN" w:bidi="ar-SA"/>
        </w:rPr>
        <w:t>。</w:t>
      </w:r>
    </w:p>
    <w:p w14:paraId="1661FFF2">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Style w:val="12"/>
          <w:rFonts w:hint="eastAsia" w:ascii="仿宋_GB2312" w:hAnsi="仿宋_GB2312" w:eastAsia="黑体" w:cs="仿宋_GB2312"/>
          <w:b w:val="0"/>
          <w:i w:val="0"/>
          <w:kern w:val="0"/>
          <w:sz w:val="32"/>
          <w:szCs w:val="32"/>
          <w:highlight w:val="none"/>
          <w:lang w:eastAsia="zh-CN"/>
        </w:rPr>
      </w:pPr>
      <w:r>
        <w:rPr>
          <w:rStyle w:val="12"/>
          <w:rFonts w:hint="eastAsia" w:ascii="仿宋_GB2312" w:hAnsi="仿宋_GB2312" w:eastAsia="黑体" w:cs="仿宋_GB2312"/>
          <w:b w:val="0"/>
          <w:i w:val="0"/>
          <w:kern w:val="0"/>
          <w:sz w:val="32"/>
          <w:szCs w:val="32"/>
          <w:highlight w:val="none"/>
          <w:lang w:eastAsia="zh-CN"/>
        </w:rPr>
        <w:t>二、申报条件</w:t>
      </w:r>
    </w:p>
    <w:p w14:paraId="0AE2808F">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（一）</w:t>
      </w:r>
      <w:r>
        <w:rPr>
          <w:rFonts w:hint="eastAsia" w:ascii="仿宋_GB2312" w:hAnsi="Calibri" w:eastAsia="仿宋_GB2312" w:cs="Times New Roman"/>
          <w:color w:val="auto"/>
          <w:sz w:val="32"/>
          <w:szCs w:val="32"/>
          <w:lang w:bidi="ar"/>
        </w:rPr>
        <w:t>申报单位在深圳市行政区域内</w:t>
      </w:r>
      <w:r>
        <w:rPr>
          <w:rFonts w:hint="eastAsia" w:ascii="仿宋_GB2312" w:eastAsia="仿宋_GB2312" w:cs="Times New Roman"/>
          <w:color w:val="auto"/>
          <w:sz w:val="32"/>
          <w:szCs w:val="32"/>
          <w:lang w:eastAsia="zh-CN" w:bidi="ar"/>
        </w:rPr>
        <w:t>（含深汕特别合作区），主营业务</w:t>
      </w:r>
      <w:r>
        <w:rPr>
          <w:rFonts w:hint="eastAsia" w:ascii="仿宋_GB2312" w:hAnsi="仿宋_GB2312" w:eastAsia="仿宋_GB2312" w:cs="仿宋_GB2312"/>
          <w:color w:val="000000"/>
          <w:sz w:val="32"/>
          <w:szCs w:val="32"/>
          <w:highlight w:val="none"/>
          <w:lang w:val="en-US" w:eastAsia="zh-CN"/>
        </w:rPr>
        <w:t>属于</w:t>
      </w:r>
      <w:r>
        <w:rPr>
          <w:rFonts w:hint="eastAsia" w:ascii="仿宋_GB2312" w:hAnsi="仿宋_GB2312" w:eastAsia="仿宋_GB2312" w:cs="仿宋_GB2312"/>
          <w:color w:val="000000"/>
          <w:sz w:val="32"/>
          <w:szCs w:val="32"/>
          <w:highlight w:val="none"/>
        </w:rPr>
        <w:t>国家统计局</w:t>
      </w:r>
      <w:r>
        <w:rPr>
          <w:rFonts w:hint="eastAsia" w:ascii="仿宋_GB2312" w:hAnsi="仿宋_GB2312" w:eastAsia="仿宋_GB2312" w:cs="仿宋_GB2312"/>
          <w:color w:val="000000"/>
          <w:sz w:val="32"/>
          <w:szCs w:val="32"/>
          <w:highlight w:val="none"/>
          <w:lang w:val="en-US" w:eastAsia="zh-CN"/>
        </w:rPr>
        <w:t>规定的</w:t>
      </w:r>
      <w:r>
        <w:rPr>
          <w:rFonts w:hint="eastAsia" w:ascii="仿宋_GB2312" w:hAnsi="仿宋_GB2312" w:eastAsia="仿宋_GB2312" w:cs="仿宋_GB2312"/>
          <w:color w:val="000000"/>
          <w:sz w:val="32"/>
          <w:szCs w:val="32"/>
          <w:highlight w:val="none"/>
        </w:rPr>
        <w:t>文化及相关产业</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或战略性新兴产业分类中的数字创意产业（含深圳市分类标准）</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或国民经济行业分类中的文化、体育和娱乐业范围（见申报通知附件）</w:t>
      </w:r>
      <w:r>
        <w:rPr>
          <w:rFonts w:hint="eastAsia" w:ascii="仿宋_GB2312" w:eastAsia="仿宋_GB2312" w:cs="Times New Roman"/>
          <w:kern w:val="2"/>
          <w:sz w:val="32"/>
          <w:szCs w:val="32"/>
          <w:highlight w:val="none"/>
          <w:lang w:val="en-US" w:eastAsia="zh-CN" w:bidi="ar-SA"/>
        </w:rPr>
        <w:t>。</w:t>
      </w:r>
    </w:p>
    <w:p w14:paraId="43BF35FA">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Style w:val="12"/>
          <w:rFonts w:hint="eastAsia" w:ascii="仿宋_GB2312" w:hAnsi="仿宋_GB2312" w:eastAsia="仿宋_GB2312" w:cs="仿宋_GB2312"/>
          <w:sz w:val="32"/>
          <w:szCs w:val="32"/>
          <w:highlight w:val="none"/>
          <w:lang w:val="en-US" w:eastAsia="zh-CN"/>
        </w:rPr>
      </w:pPr>
      <w:r>
        <w:rPr>
          <w:rStyle w:val="12"/>
          <w:rFonts w:hint="default" w:ascii="仿宋_GB2312" w:hAnsi="仿宋_GB2312" w:eastAsia="仿宋_GB2312" w:cs="仿宋_GB2312"/>
          <w:sz w:val="32"/>
          <w:szCs w:val="32"/>
          <w:highlight w:val="none"/>
          <w:lang w:val="en" w:eastAsia="zh-CN"/>
        </w:rPr>
        <w:t>（</w:t>
      </w:r>
      <w:r>
        <w:rPr>
          <w:rStyle w:val="12"/>
          <w:rFonts w:hint="eastAsia" w:ascii="仿宋_GB2312" w:hAnsi="仿宋_GB2312" w:eastAsia="仿宋_GB2312" w:cs="仿宋_GB2312"/>
          <w:sz w:val="32"/>
          <w:szCs w:val="32"/>
          <w:highlight w:val="none"/>
          <w:lang w:val="en" w:eastAsia="zh-CN"/>
        </w:rPr>
        <w:t>二</w:t>
      </w:r>
      <w:r>
        <w:rPr>
          <w:rStyle w:val="12"/>
          <w:rFonts w:hint="default" w:ascii="仿宋_GB2312" w:hAnsi="仿宋_GB2312" w:eastAsia="仿宋_GB2312" w:cs="仿宋_GB2312"/>
          <w:sz w:val="32"/>
          <w:szCs w:val="32"/>
          <w:highlight w:val="none"/>
          <w:lang w:val="en" w:eastAsia="zh-CN"/>
        </w:rPr>
        <w:t>）</w:t>
      </w:r>
      <w:r>
        <w:rPr>
          <w:rStyle w:val="12"/>
          <w:rFonts w:hint="eastAsia" w:ascii="仿宋_GB2312" w:hAnsi="仿宋_GB2312" w:eastAsia="仿宋_GB2312" w:cs="仿宋_GB2312"/>
          <w:sz w:val="32"/>
          <w:szCs w:val="32"/>
          <w:highlight w:val="none"/>
          <w:lang w:val="en-US" w:eastAsia="zh-CN"/>
        </w:rPr>
        <w:t>申报项目满足以下条件之一：</w:t>
      </w:r>
    </w:p>
    <w:p w14:paraId="6005AF95">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Style w:val="12"/>
          <w:rFonts w:hint="eastAsia" w:ascii="仿宋_GB2312" w:hAnsi="仿宋_GB2312" w:eastAsia="仿宋_GB2312" w:cs="仿宋_GB2312"/>
          <w:sz w:val="32"/>
          <w:szCs w:val="32"/>
          <w:highlight w:val="none"/>
          <w:lang w:val="en-US" w:eastAsia="zh-CN"/>
        </w:rPr>
      </w:pPr>
      <w:r>
        <w:rPr>
          <w:rStyle w:val="12"/>
          <w:rFonts w:hint="eastAsia" w:ascii="仿宋_GB2312" w:hAnsi="仿宋_GB2312" w:eastAsia="仿宋_GB2312" w:cs="仿宋_GB2312"/>
          <w:b/>
          <w:bCs/>
          <w:sz w:val="32"/>
          <w:szCs w:val="32"/>
          <w:highlight w:val="none"/>
          <w:lang w:val="en-US" w:eastAsia="zh-CN"/>
        </w:rPr>
        <w:t>1.大型营业性演出，</w:t>
      </w:r>
      <w:r>
        <w:rPr>
          <w:rStyle w:val="12"/>
          <w:rFonts w:hint="eastAsia" w:ascii="仿宋_GB2312" w:hAnsi="仿宋_GB2312" w:eastAsia="仿宋_GB2312" w:cs="仿宋_GB2312"/>
          <w:sz w:val="32"/>
          <w:szCs w:val="32"/>
          <w:highlight w:val="none"/>
          <w:lang w:val="en-US" w:eastAsia="zh-CN"/>
        </w:rPr>
        <w:t>以营利为目的为公众举办的现场文艺表演活动，获得具备相应审批权限的文化部门的批准并顺利举办，单场售票数超过5000张；</w:t>
      </w:r>
    </w:p>
    <w:p w14:paraId="42127265">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Style w:val="12"/>
          <w:rFonts w:hint="eastAsia" w:ascii="仿宋_GB2312" w:hAnsi="仿宋_GB2312" w:eastAsia="仿宋_GB2312" w:cs="仿宋_GB2312"/>
          <w:sz w:val="32"/>
          <w:szCs w:val="32"/>
          <w:highlight w:val="none"/>
          <w:lang w:val="en-US" w:eastAsia="zh-CN"/>
        </w:rPr>
      </w:pPr>
      <w:r>
        <w:rPr>
          <w:rStyle w:val="12"/>
          <w:rFonts w:hint="eastAsia" w:ascii="仿宋_GB2312" w:hAnsi="仿宋_GB2312" w:eastAsia="仿宋_GB2312" w:cs="仿宋_GB2312"/>
          <w:b/>
          <w:bCs/>
          <w:sz w:val="32"/>
          <w:szCs w:val="32"/>
          <w:highlight w:val="none"/>
          <w:lang w:val="en-US" w:eastAsia="zh-CN"/>
        </w:rPr>
        <w:t>2.高品质音乐会，</w:t>
      </w:r>
      <w:r>
        <w:rPr>
          <w:rStyle w:val="12"/>
          <w:rFonts w:hint="eastAsia" w:ascii="仿宋_GB2312" w:hAnsi="仿宋_GB2312" w:eastAsia="仿宋_GB2312" w:cs="仿宋_GB2312"/>
          <w:sz w:val="32"/>
          <w:szCs w:val="32"/>
          <w:highlight w:val="none"/>
          <w:lang w:val="en-US" w:eastAsia="zh-CN"/>
        </w:rPr>
        <w:t>演出主创或演员为国内外一流文艺名家，演出剧场座位数不少于1000座，上座率不低于50%，单场演出票房收入不低于30万元；</w:t>
      </w:r>
    </w:p>
    <w:p w14:paraId="2F4F482F">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Style w:val="12"/>
          <w:rFonts w:hint="eastAsia" w:ascii="仿宋_GB2312" w:hAnsi="仿宋_GB2312" w:eastAsia="仿宋_GB2312" w:cs="仿宋_GB2312"/>
          <w:sz w:val="32"/>
          <w:szCs w:val="32"/>
          <w:highlight w:val="none"/>
          <w:lang w:val="en-US" w:eastAsia="zh-CN"/>
        </w:rPr>
      </w:pPr>
      <w:r>
        <w:rPr>
          <w:rStyle w:val="12"/>
          <w:rFonts w:hint="eastAsia" w:ascii="仿宋_GB2312" w:hAnsi="仿宋_GB2312" w:eastAsia="仿宋_GB2312" w:cs="仿宋_GB2312"/>
          <w:b/>
          <w:bCs/>
          <w:sz w:val="32"/>
          <w:szCs w:val="32"/>
          <w:highlight w:val="none"/>
          <w:lang w:val="en-US" w:eastAsia="zh-CN"/>
        </w:rPr>
        <w:t>3.新型演艺，</w:t>
      </w:r>
      <w:r>
        <w:rPr>
          <w:rStyle w:val="12"/>
          <w:rFonts w:hint="eastAsia" w:ascii="仿宋_GB2312" w:hAnsi="仿宋_GB2312" w:eastAsia="仿宋_GB2312" w:cs="仿宋_GB2312"/>
          <w:b w:val="0"/>
          <w:bCs w:val="0"/>
          <w:sz w:val="32"/>
          <w:szCs w:val="32"/>
          <w:highlight w:val="none"/>
          <w:lang w:val="en-US" w:eastAsia="zh-CN"/>
        </w:rPr>
        <w:t>主要</w:t>
      </w:r>
      <w:r>
        <w:rPr>
          <w:rStyle w:val="12"/>
          <w:rFonts w:hint="eastAsia" w:ascii="仿宋_GB2312" w:hAnsi="仿宋_GB2312" w:eastAsia="仿宋_GB2312" w:cs="仿宋_GB2312"/>
          <w:sz w:val="32"/>
          <w:szCs w:val="32"/>
          <w:highlight w:val="none"/>
          <w:lang w:val="en-US" w:eastAsia="zh-CN"/>
        </w:rPr>
        <w:t>利用前沿科技、创新表现形式或跨领域融合手段突破传统舞台艺术边界，为观众提供沉浸式、交互式或多维体验的表演艺术形式，单场演出售票数不少于500张，单场票房收入不低于15万元。</w:t>
      </w:r>
    </w:p>
    <w:p w14:paraId="3344B052">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strike w:val="0"/>
          <w:color w:val="000000"/>
          <w:spacing w:val="0"/>
          <w:sz w:val="32"/>
          <w:highlight w:val="none"/>
          <w:u w:val="none"/>
          <w:lang w:val="en-US" w:eastAsia="zh-CN"/>
        </w:rPr>
      </w:pPr>
      <w:r>
        <w:rPr>
          <w:rFonts w:hint="eastAsia" w:ascii="仿宋_GB2312" w:hAnsi="仿宋_GB2312" w:eastAsia="仿宋_GB2312" w:cs="仿宋_GB2312"/>
          <w:b w:val="0"/>
          <w:bCs w:val="0"/>
          <w:i w:val="0"/>
          <w:strike w:val="0"/>
          <w:color w:val="000000"/>
          <w:sz w:val="32"/>
          <w:highlight w:val="none"/>
          <w:u w:val="none"/>
          <w:lang w:val="en-US" w:eastAsia="zh-CN"/>
        </w:rPr>
        <w:t>（三）申报项目</w:t>
      </w:r>
      <w:r>
        <w:rPr>
          <w:rFonts w:hint="default" w:ascii="仿宋_GB2312" w:hAnsi="仿宋_GB2312" w:eastAsia="仿宋_GB2312" w:cs="仿宋_GB2312"/>
          <w:b w:val="0"/>
          <w:bCs w:val="0"/>
          <w:i w:val="0"/>
          <w:strike w:val="0"/>
          <w:color w:val="000000"/>
          <w:spacing w:val="0"/>
          <w:sz w:val="32"/>
          <w:highlight w:val="none"/>
          <w:u w:val="none"/>
          <w:lang w:eastAsia="zh-CN"/>
        </w:rPr>
        <w:t>已</w:t>
      </w:r>
      <w:r>
        <w:rPr>
          <w:rFonts w:hint="eastAsia" w:ascii="仿宋_GB2312" w:hAnsi="仿宋_GB2312" w:eastAsia="仿宋_GB2312" w:cs="仿宋_GB2312"/>
          <w:b w:val="0"/>
          <w:bCs w:val="0"/>
          <w:i w:val="0"/>
          <w:strike w:val="0"/>
          <w:color w:val="000000"/>
          <w:spacing w:val="0"/>
          <w:sz w:val="32"/>
          <w:highlight w:val="none"/>
          <w:u w:val="none"/>
          <w:lang w:eastAsia="zh-CN"/>
        </w:rPr>
        <w:t>获得</w:t>
      </w:r>
      <w:r>
        <w:rPr>
          <w:rFonts w:hint="default" w:ascii="仿宋_GB2312" w:hAnsi="仿宋_GB2312" w:eastAsia="仿宋_GB2312" w:cs="仿宋_GB2312"/>
          <w:b w:val="0"/>
          <w:bCs w:val="0"/>
          <w:i w:val="0"/>
          <w:strike w:val="0"/>
          <w:color w:val="000000"/>
          <w:spacing w:val="0"/>
          <w:sz w:val="32"/>
          <w:highlight w:val="none"/>
          <w:u w:val="none"/>
          <w:lang w:eastAsia="zh-CN"/>
        </w:rPr>
        <w:t>营业性演出许可，</w:t>
      </w:r>
      <w:r>
        <w:rPr>
          <w:rFonts w:hint="eastAsia" w:ascii="仿宋_GB2312" w:hAnsi="仿宋_GB2312" w:eastAsia="仿宋_GB2312" w:cs="仿宋_GB2312"/>
          <w:b w:val="0"/>
          <w:bCs w:val="0"/>
          <w:i w:val="0"/>
          <w:strike w:val="0"/>
          <w:color w:val="000000"/>
          <w:spacing w:val="0"/>
          <w:sz w:val="32"/>
          <w:highlight w:val="none"/>
          <w:u w:val="none"/>
          <w:lang w:val="en-US" w:eastAsia="zh-CN"/>
        </w:rPr>
        <w:t>2025年度内在深圳市内举办，</w:t>
      </w:r>
      <w:r>
        <w:rPr>
          <w:rFonts w:hint="eastAsia" w:ascii="仿宋_GB2312" w:hAnsi="仿宋_GB2312" w:eastAsia="仿宋_GB2312" w:cs="仿宋_GB2312"/>
          <w:b w:val="0"/>
          <w:bCs w:val="0"/>
          <w:i w:val="0"/>
          <w:strike w:val="0"/>
          <w:color w:val="000000"/>
          <w:sz w:val="32"/>
          <w:highlight w:val="none"/>
          <w:u w:val="none"/>
          <w:lang w:val="en-US" w:eastAsia="zh-CN"/>
        </w:rPr>
        <w:t>能体现民族特色和国家水准</w:t>
      </w:r>
      <w:r>
        <w:rPr>
          <w:rFonts w:hint="eastAsia" w:ascii="仿宋_GB2312" w:hAnsi="仿宋_GB2312" w:eastAsia="仿宋_GB2312" w:cs="仿宋_GB2312"/>
          <w:b w:val="0"/>
          <w:bCs w:val="0"/>
          <w:i w:val="0"/>
          <w:strike w:val="0"/>
          <w:color w:val="000000"/>
          <w:spacing w:val="0"/>
          <w:sz w:val="32"/>
          <w:highlight w:val="none"/>
          <w:u w:val="none"/>
          <w:lang w:val="en-US" w:eastAsia="zh-CN"/>
        </w:rPr>
        <w:t>。</w:t>
      </w:r>
    </w:p>
    <w:p w14:paraId="75106A1C">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Style w:val="12"/>
          <w:rFonts w:hint="eastAsia" w:ascii="仿宋_GB2312" w:hAnsi="仿宋_GB2312" w:eastAsia="黑体" w:cs="仿宋_GB2312"/>
          <w:b w:val="0"/>
          <w:i w:val="0"/>
          <w:kern w:val="0"/>
          <w:sz w:val="32"/>
          <w:szCs w:val="32"/>
          <w:highlight w:val="none"/>
          <w:lang w:val="en-US" w:eastAsia="zh-CN"/>
        </w:rPr>
      </w:pPr>
      <w:r>
        <w:rPr>
          <w:rStyle w:val="12"/>
          <w:rFonts w:hint="eastAsia" w:ascii="仿宋_GB2312" w:hAnsi="仿宋_GB2312" w:eastAsia="黑体" w:cs="仿宋_GB2312"/>
          <w:b w:val="0"/>
          <w:i w:val="0"/>
          <w:kern w:val="0"/>
          <w:sz w:val="32"/>
          <w:szCs w:val="32"/>
          <w:highlight w:val="none"/>
          <w:lang w:val="en-US" w:eastAsia="zh-CN"/>
        </w:rPr>
        <w:t>三、资助方式及标准</w:t>
      </w:r>
    </w:p>
    <w:p w14:paraId="6AD5F589">
      <w:pPr>
        <w:keepNext w:val="0"/>
        <w:keepLines w:val="0"/>
        <w:pageBreakBefore w:val="0"/>
        <w:kinsoku/>
        <w:overflowPunct/>
        <w:topLinePunct w:val="0"/>
        <w:autoSpaceDE/>
        <w:autoSpaceDN/>
        <w:bidi w:val="0"/>
        <w:snapToGrid/>
        <w:spacing w:beforeAutospacing="0" w:afterAutospacing="0" w:line="556" w:lineRule="exact"/>
        <w:ind w:left="0" w:right="0"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color w:val="auto"/>
          <w:sz w:val="32"/>
          <w:szCs w:val="32"/>
          <w:lang w:eastAsia="zh-CN" w:bidi="ar"/>
        </w:rPr>
        <w:t>（一）</w:t>
      </w:r>
      <w:r>
        <w:rPr>
          <w:rFonts w:hint="eastAsia" w:ascii="仿宋_GB2312" w:eastAsia="仿宋_GB2312"/>
          <w:color w:val="auto"/>
          <w:sz w:val="32"/>
          <w:szCs w:val="32"/>
          <w:lang w:bidi="ar"/>
        </w:rPr>
        <w:t>资助方式：</w:t>
      </w:r>
      <w:r>
        <w:rPr>
          <w:rFonts w:hint="eastAsia" w:ascii="仿宋_GB2312" w:eastAsia="仿宋_GB2312"/>
          <w:sz w:val="32"/>
          <w:szCs w:val="32"/>
          <w:highlight w:val="none"/>
        </w:rPr>
        <w:t>事后资助</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根据演出规模、票房占比、产业带动效益和影响力综合评定。</w:t>
      </w:r>
    </w:p>
    <w:p w14:paraId="4D114FFE">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color w:val="auto"/>
          <w:sz w:val="32"/>
          <w:szCs w:val="32"/>
          <w:lang w:eastAsia="zh-CN" w:bidi="ar"/>
        </w:rPr>
        <w:t>（</w:t>
      </w:r>
      <w:r>
        <w:rPr>
          <w:rFonts w:hint="eastAsia" w:ascii="仿宋_GB2312" w:eastAsia="仿宋_GB2312"/>
          <w:color w:val="auto"/>
          <w:sz w:val="32"/>
          <w:szCs w:val="32"/>
          <w:lang w:val="en-US" w:eastAsia="zh-CN" w:bidi="ar"/>
        </w:rPr>
        <w:t>二</w:t>
      </w:r>
      <w:r>
        <w:rPr>
          <w:rFonts w:hint="eastAsia" w:ascii="仿宋_GB2312" w:eastAsia="仿宋_GB2312"/>
          <w:color w:val="auto"/>
          <w:sz w:val="32"/>
          <w:szCs w:val="32"/>
          <w:lang w:eastAsia="zh-CN" w:bidi="ar"/>
        </w:rPr>
        <w:t>）</w:t>
      </w:r>
      <w:r>
        <w:rPr>
          <w:rFonts w:hint="eastAsia" w:ascii="仿宋_GB2312" w:eastAsia="仿宋_GB2312"/>
          <w:color w:val="auto"/>
          <w:sz w:val="32"/>
          <w:szCs w:val="32"/>
          <w:lang w:bidi="ar"/>
        </w:rPr>
        <w:t>资助标准：</w:t>
      </w:r>
    </w:p>
    <w:p w14:paraId="24BCE09D">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同一主办单位每年获得本类别项目资助累计上限为200万元。在深首演、巡演首站落地深圳的项目，按对应类型基础资助标准，结合演出规模、票房占比额外增加不超过50%资助金额，叠加后单场资助不突破对应类型基础标准的1.5倍，且年度累计资助不超200万元上限。</w:t>
      </w:r>
      <w:r>
        <w:rPr>
          <w:rFonts w:hint="eastAsia" w:ascii="仿宋_GB2312" w:hAnsi="仿宋_GB2312" w:eastAsia="仿宋_GB2312" w:cs="仿宋_GB2312"/>
          <w:i w:val="0"/>
          <w:strike w:val="0"/>
          <w:color w:val="000000"/>
          <w:spacing w:val="0"/>
          <w:sz w:val="32"/>
          <w:highlight w:val="none"/>
          <w:u w:val="none"/>
        </w:rPr>
        <w:t>市文化广电旅游体育局根据年度资金预算安排，最终确定资助金额。</w:t>
      </w:r>
    </w:p>
    <w:p w14:paraId="51ACD850">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1.大型营业性演出：</w:t>
      </w:r>
    </w:p>
    <w:p w14:paraId="04A97EED">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 w:val="0"/>
          <w:bCs w:val="0"/>
          <w:sz w:val="32"/>
          <w:szCs w:val="32"/>
          <w:highlight w:val="none"/>
          <w:lang w:val="en-US" w:eastAsia="zh-CN"/>
        </w:rPr>
        <w:t>申报主体为演出主办单位的：</w:t>
      </w:r>
      <w:r>
        <w:rPr>
          <w:rFonts w:hint="eastAsia" w:ascii="仿宋_GB2312" w:eastAsia="仿宋_GB2312"/>
          <w:sz w:val="32"/>
          <w:szCs w:val="32"/>
          <w:highlight w:val="none"/>
          <w:lang w:val="en-US" w:eastAsia="zh-CN"/>
        </w:rPr>
        <w:t>单场演出售票5000（含）-15000（含）张的，每场最高资助20万元；单场演出售票15000-30000（含）张以上的，每场最高资助40万元；单场演出售票30000张以上的，每场最高资助</w:t>
      </w:r>
      <w:r>
        <w:rPr>
          <w:rFonts w:hint="default" w:ascii="仿宋_GB2312" w:eastAsia="仿宋_GB2312"/>
          <w:sz w:val="32"/>
          <w:szCs w:val="32"/>
          <w:highlight w:val="none"/>
          <w:lang w:val="en-US" w:eastAsia="zh-CN"/>
        </w:rPr>
        <w:t>6</w:t>
      </w:r>
      <w:r>
        <w:rPr>
          <w:rFonts w:hint="eastAsia" w:ascii="仿宋_GB2312" w:eastAsia="仿宋_GB2312"/>
          <w:sz w:val="32"/>
          <w:szCs w:val="32"/>
          <w:highlight w:val="none"/>
          <w:lang w:val="en-US" w:eastAsia="zh-CN"/>
        </w:rPr>
        <w:t>0万元。</w:t>
      </w:r>
    </w:p>
    <w:p w14:paraId="53B4191B">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申报主体为演出承办单位的</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需占本场演出总票房收入30%及以上，方可按实际票房占比核算资助金额（例：本场演出售票7000张，对应基础最高资助20万元，承办单位实际票房占比35%，则核算资助金额</w:t>
      </w:r>
      <w:r>
        <w:rPr>
          <w:rFonts w:hint="eastAsia" w:ascii="仿宋_GB2312" w:eastAsia="仿宋_GB2312"/>
          <w:sz w:val="32"/>
          <w:szCs w:val="32"/>
          <w:highlight w:val="none"/>
          <w:lang w:eastAsia="zh-CN"/>
        </w:rPr>
        <w:t>最高</w:t>
      </w:r>
      <w:r>
        <w:rPr>
          <w:rFonts w:hint="eastAsia" w:ascii="仿宋_GB2312" w:eastAsia="仿宋_GB2312"/>
          <w:sz w:val="32"/>
          <w:szCs w:val="32"/>
          <w:highlight w:val="none"/>
        </w:rPr>
        <w:t>为20万元×35%=7万元）。</w:t>
      </w:r>
    </w:p>
    <w:p w14:paraId="46EA7A98">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b/>
          <w:bCs/>
          <w:sz w:val="32"/>
          <w:szCs w:val="32"/>
          <w:highlight w:val="none"/>
          <w:lang w:val="en-US" w:eastAsia="zh-CN"/>
        </w:rPr>
        <w:t>2.高品质音乐会：</w:t>
      </w:r>
      <w:r>
        <w:rPr>
          <w:rFonts w:hint="eastAsia" w:ascii="仿宋_GB2312" w:eastAsia="仿宋_GB2312" w:cs="Times New Roman"/>
          <w:sz w:val="32"/>
          <w:szCs w:val="32"/>
          <w:highlight w:val="none"/>
          <w:lang w:val="en-US" w:eastAsia="zh-CN"/>
        </w:rPr>
        <w:t>单场票房收入30</w:t>
      </w:r>
      <w:r>
        <w:rPr>
          <w:rFonts w:hint="eastAsia" w:ascii="仿宋_GB2312" w:eastAsia="仿宋_GB2312"/>
          <w:sz w:val="32"/>
          <w:szCs w:val="32"/>
          <w:highlight w:val="none"/>
          <w:lang w:val="en-US" w:eastAsia="zh-CN"/>
        </w:rPr>
        <w:t>（含）</w:t>
      </w:r>
      <w:r>
        <w:rPr>
          <w:rFonts w:hint="eastAsia" w:ascii="仿宋_GB2312" w:eastAsia="仿宋_GB2312" w:cs="Times New Roman"/>
          <w:sz w:val="32"/>
          <w:szCs w:val="32"/>
          <w:highlight w:val="none"/>
          <w:lang w:val="en-US" w:eastAsia="zh-CN"/>
        </w:rPr>
        <w:t>-50</w:t>
      </w:r>
      <w:r>
        <w:rPr>
          <w:rFonts w:hint="eastAsia" w:ascii="仿宋_GB2312" w:eastAsia="仿宋_GB2312"/>
          <w:sz w:val="32"/>
          <w:szCs w:val="32"/>
          <w:highlight w:val="none"/>
          <w:lang w:val="en-US" w:eastAsia="zh-CN"/>
        </w:rPr>
        <w:t>（含）</w:t>
      </w:r>
      <w:r>
        <w:rPr>
          <w:rFonts w:hint="eastAsia" w:ascii="仿宋_GB2312" w:eastAsia="仿宋_GB2312" w:cs="Times New Roman"/>
          <w:sz w:val="32"/>
          <w:szCs w:val="32"/>
          <w:highlight w:val="none"/>
          <w:lang w:val="en-US" w:eastAsia="zh-CN"/>
        </w:rPr>
        <w:t>万元的，每场最高资助20万元；单场票房收入50-80</w:t>
      </w:r>
      <w:r>
        <w:rPr>
          <w:rFonts w:hint="eastAsia" w:ascii="仿宋_GB2312" w:eastAsia="仿宋_GB2312"/>
          <w:sz w:val="32"/>
          <w:szCs w:val="32"/>
          <w:highlight w:val="none"/>
          <w:lang w:val="en-US" w:eastAsia="zh-CN"/>
        </w:rPr>
        <w:t>（含）</w:t>
      </w:r>
      <w:r>
        <w:rPr>
          <w:rFonts w:hint="eastAsia" w:ascii="仿宋_GB2312" w:eastAsia="仿宋_GB2312" w:cs="Times New Roman"/>
          <w:sz w:val="32"/>
          <w:szCs w:val="32"/>
          <w:highlight w:val="none"/>
          <w:lang w:val="en-US" w:eastAsia="zh-CN"/>
        </w:rPr>
        <w:t>万元的，每场最高资助40万元；单场票房收入80万元以上的，每场最高资助60万元。</w:t>
      </w:r>
    </w:p>
    <w:p w14:paraId="7957D62A">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b/>
          <w:bCs/>
          <w:sz w:val="32"/>
          <w:szCs w:val="32"/>
          <w:highlight w:val="none"/>
          <w:lang w:val="en-US" w:eastAsia="zh-CN"/>
        </w:rPr>
        <w:t>3</w:t>
      </w:r>
      <w:r>
        <w:rPr>
          <w:rFonts w:hint="default" w:ascii="仿宋_GB2312" w:eastAsia="仿宋_GB2312" w:cs="Times New Roman"/>
          <w:b/>
          <w:bCs/>
          <w:sz w:val="32"/>
          <w:szCs w:val="32"/>
          <w:highlight w:val="none"/>
          <w:lang w:val="en-US" w:eastAsia="zh-CN"/>
        </w:rPr>
        <w:t>.</w:t>
      </w:r>
      <w:r>
        <w:rPr>
          <w:rFonts w:hint="eastAsia" w:ascii="仿宋_GB2312" w:eastAsia="仿宋_GB2312" w:cs="Times New Roman"/>
          <w:b/>
          <w:bCs/>
          <w:sz w:val="32"/>
          <w:szCs w:val="32"/>
          <w:highlight w:val="none"/>
          <w:lang w:val="en-US" w:eastAsia="zh-CN"/>
        </w:rPr>
        <w:t>新型演艺：</w:t>
      </w:r>
      <w:r>
        <w:rPr>
          <w:rFonts w:hint="eastAsia" w:ascii="仿宋_GB2312" w:eastAsia="仿宋_GB2312" w:cs="Times New Roman"/>
          <w:sz w:val="32"/>
          <w:szCs w:val="32"/>
          <w:highlight w:val="none"/>
          <w:lang w:val="en-US" w:eastAsia="zh-CN"/>
        </w:rPr>
        <w:t>单场票房收入15</w:t>
      </w:r>
      <w:r>
        <w:rPr>
          <w:rFonts w:hint="eastAsia" w:ascii="仿宋_GB2312" w:eastAsia="仿宋_GB2312"/>
          <w:sz w:val="32"/>
          <w:szCs w:val="32"/>
          <w:highlight w:val="none"/>
          <w:lang w:val="en-US" w:eastAsia="zh-CN"/>
        </w:rPr>
        <w:t>（含）</w:t>
      </w:r>
      <w:r>
        <w:rPr>
          <w:rFonts w:hint="eastAsia" w:ascii="仿宋_GB2312" w:eastAsia="仿宋_GB2312" w:cs="Times New Roman"/>
          <w:sz w:val="32"/>
          <w:szCs w:val="32"/>
          <w:highlight w:val="none"/>
          <w:lang w:val="en-US" w:eastAsia="zh-CN"/>
        </w:rPr>
        <w:t>-25</w:t>
      </w:r>
      <w:r>
        <w:rPr>
          <w:rFonts w:hint="eastAsia" w:ascii="仿宋_GB2312" w:eastAsia="仿宋_GB2312"/>
          <w:sz w:val="32"/>
          <w:szCs w:val="32"/>
          <w:highlight w:val="none"/>
          <w:lang w:val="en-US" w:eastAsia="zh-CN"/>
        </w:rPr>
        <w:t>（含）</w:t>
      </w:r>
      <w:r>
        <w:rPr>
          <w:rFonts w:hint="eastAsia" w:ascii="仿宋_GB2312" w:eastAsia="仿宋_GB2312" w:cs="Times New Roman"/>
          <w:sz w:val="32"/>
          <w:szCs w:val="32"/>
          <w:highlight w:val="none"/>
          <w:lang w:val="en-US" w:eastAsia="zh-CN"/>
        </w:rPr>
        <w:t>万元的，每场最高资助20万元；单场票房收入25-40</w:t>
      </w:r>
      <w:r>
        <w:rPr>
          <w:rFonts w:hint="eastAsia" w:ascii="仿宋_GB2312" w:eastAsia="仿宋_GB2312"/>
          <w:sz w:val="32"/>
          <w:szCs w:val="32"/>
          <w:highlight w:val="none"/>
          <w:lang w:val="en-US" w:eastAsia="zh-CN"/>
        </w:rPr>
        <w:t>（含）</w:t>
      </w:r>
      <w:r>
        <w:rPr>
          <w:rFonts w:hint="eastAsia" w:ascii="仿宋_GB2312" w:eastAsia="仿宋_GB2312" w:cs="Times New Roman"/>
          <w:sz w:val="32"/>
          <w:szCs w:val="32"/>
          <w:highlight w:val="none"/>
          <w:lang w:val="en-US" w:eastAsia="zh-CN"/>
        </w:rPr>
        <w:t>万元的，每场最高资助40万元；单场票房收入40万元以上的，每场最高资助60万元。</w:t>
      </w:r>
    </w:p>
    <w:p w14:paraId="45CFA6AA">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、申报材料</w:t>
      </w:r>
    </w:p>
    <w:p w14:paraId="4D3FC994">
      <w:pPr>
        <w:pStyle w:val="3"/>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（一）网上申报</w:t>
      </w:r>
    </w:p>
    <w:p w14:paraId="7D6466F8">
      <w:pPr>
        <w:numPr>
          <w:ilvl w:val="0"/>
          <w:numId w:val="0"/>
        </w:numPr>
        <w:wordWrap w:val="0"/>
        <w:spacing w:line="560" w:lineRule="exact"/>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rPr>
        <w:t>登录广东政务</w:t>
      </w:r>
      <w:r>
        <w:rPr>
          <w:rFonts w:hint="eastAsia" w:ascii="仿宋_GB2312" w:eastAsia="仿宋_GB2312"/>
          <w:sz w:val="32"/>
          <w:szCs w:val="32"/>
          <w:highlight w:val="none"/>
          <w:lang w:val="en-US" w:eastAsia="zh-CN"/>
        </w:rPr>
        <w:t>服务网</w:t>
      </w:r>
      <w:r>
        <w:rPr>
          <w:rFonts w:hint="eastAsia" w:ascii="仿宋_GB2312" w:eastAsia="仿宋_GB2312"/>
          <w:sz w:val="32"/>
          <w:szCs w:val="32"/>
          <w:highlight w:val="none"/>
        </w:rPr>
        <w:t>（网址：https://www.gdzwfw.gov.cn/portal/v2/branch-hall?orgCode=695587927）进入“深圳市文化广电旅游体育局网上服务窗口”，选择“</w:t>
      </w:r>
      <w:r>
        <w:rPr>
          <w:rFonts w:hint="eastAsia" w:ascii="仿宋_GB2312" w:eastAsia="仿宋_GB2312"/>
          <w:sz w:val="32"/>
          <w:szCs w:val="32"/>
          <w:highlight w:val="none"/>
          <w:lang w:val="en-US" w:eastAsia="zh-CN"/>
        </w:rPr>
        <w:t>其他行政权力</w:t>
      </w:r>
      <w:r>
        <w:rPr>
          <w:rFonts w:hint="eastAsia" w:ascii="仿宋_GB2312" w:eastAsia="仿宋_GB2312"/>
          <w:sz w:val="32"/>
          <w:szCs w:val="32"/>
          <w:highlight w:val="none"/>
        </w:rPr>
        <w:t>”，在“文化产业发展专项资金”下选择申报类别“</w:t>
      </w:r>
      <w:r>
        <w:rPr>
          <w:rFonts w:hint="eastAsia" w:ascii="仿宋_GB2312" w:eastAsia="仿宋_GB2312"/>
          <w:sz w:val="32"/>
          <w:szCs w:val="32"/>
          <w:highlight w:val="none"/>
          <w:lang w:val="en-US" w:eastAsia="zh-CN"/>
        </w:rPr>
        <w:t>演艺</w:t>
      </w:r>
      <w:r>
        <w:rPr>
          <w:rFonts w:hint="eastAsia" w:ascii="仿宋_GB2312" w:eastAsia="仿宋_GB2312"/>
          <w:sz w:val="32"/>
          <w:szCs w:val="32"/>
          <w:highlight w:val="none"/>
        </w:rPr>
        <w:t>活动”点击“在线办理”，进入“广东省政府服务平台”登录界面。（该系统为广东省统一政务系统，需以企业为单位注册账号并绑定实名经办人。）</w:t>
      </w:r>
    </w:p>
    <w:p w14:paraId="3CEC2A1B">
      <w:pPr>
        <w:pStyle w:val="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申报人通过法人账号登陆“广东省政府服务平台”后，在线填报相关信息，申请奖励类型选“</w:t>
      </w:r>
      <w:r>
        <w:rPr>
          <w:rFonts w:hint="eastAsia" w:ascii="仿宋_GB2312" w:eastAsia="仿宋_GB2312"/>
          <w:sz w:val="32"/>
          <w:szCs w:val="32"/>
          <w:highlight w:val="none"/>
          <w:lang w:val="en-US" w:eastAsia="zh-CN"/>
        </w:rPr>
        <w:t>演艺</w:t>
      </w:r>
      <w:r>
        <w:rPr>
          <w:rFonts w:hint="eastAsia" w:ascii="仿宋_GB2312" w:eastAsia="仿宋_GB2312"/>
          <w:sz w:val="32"/>
          <w:szCs w:val="32"/>
          <w:highlight w:val="none"/>
        </w:rPr>
        <w:t>活动”。纸质材料递交方式请选择“窗口递交”，出件结果领取方式请选择“自取”。</w:t>
      </w:r>
    </w:p>
    <w:p w14:paraId="45E3C31E">
      <w:pPr>
        <w:pStyle w:val="3"/>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（二）书面材料提交</w:t>
      </w:r>
    </w:p>
    <w:p w14:paraId="3ED12D7A">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系统初审通过后，提交如下纸质材料：</w:t>
      </w:r>
    </w:p>
    <w:p w14:paraId="16C8F75C">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eastAsia="仿宋_GB2312"/>
          <w:color w:val="auto"/>
          <w:sz w:val="32"/>
          <w:szCs w:val="32"/>
          <w:lang w:bidi="ar"/>
        </w:rPr>
        <w:t>1.通过系统下载打印申报书纸质文件（盖公章）。</w:t>
      </w:r>
    </w:p>
    <w:p w14:paraId="5ECCA1CF">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Calibri" w:eastAsia="仿宋_GB2312" w:cs="Times New Roman"/>
          <w:color w:val="000000"/>
          <w:kern w:val="2"/>
          <w:sz w:val="32"/>
          <w:szCs w:val="32"/>
          <w:lang w:bidi="ar"/>
        </w:rPr>
      </w:pPr>
      <w:r>
        <w:rPr>
          <w:rFonts w:hint="eastAsia" w:ascii="仿宋_GB2312" w:eastAsia="仿宋_GB2312"/>
          <w:color w:val="auto"/>
          <w:sz w:val="32"/>
          <w:szCs w:val="32"/>
          <w:lang w:bidi="ar"/>
        </w:rPr>
        <w:t>2.</w:t>
      </w:r>
      <w:r>
        <w:rPr>
          <w:rFonts w:hint="eastAsia" w:ascii="仿宋_GB2312" w:eastAsia="仿宋_GB2312"/>
          <w:sz w:val="32"/>
          <w:szCs w:val="32"/>
          <w:highlight w:val="none"/>
          <w:lang w:val="en-US" w:eastAsia="zh-CN"/>
        </w:rPr>
        <w:t>统一社会信用代码的</w:t>
      </w:r>
      <w:r>
        <w:rPr>
          <w:rFonts w:hint="eastAsia" w:ascii="仿宋_GB2312" w:hAnsi="Calibri" w:eastAsia="仿宋_GB2312" w:cs="Times New Roman"/>
          <w:color w:val="000000"/>
          <w:kern w:val="2"/>
          <w:sz w:val="32"/>
          <w:szCs w:val="32"/>
          <w:lang w:bidi="ar"/>
        </w:rPr>
        <w:t>营业执照复印件（盖公章）。</w:t>
      </w:r>
    </w:p>
    <w:p w14:paraId="165BB130">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hAnsi="Calibri" w:eastAsia="仿宋_GB2312" w:cs="Times New Roman"/>
          <w:color w:val="000000"/>
          <w:kern w:val="2"/>
          <w:sz w:val="32"/>
          <w:szCs w:val="32"/>
          <w:lang w:bidi="ar"/>
        </w:rPr>
        <w:t>3.</w:t>
      </w:r>
      <w:r>
        <w:rPr>
          <w:rFonts w:hint="eastAsia" w:ascii="仿宋_GB2312" w:hAnsi="Calibri" w:eastAsia="仿宋_GB2312" w:cs="Times New Roman"/>
          <w:color w:val="auto"/>
          <w:sz w:val="32"/>
          <w:szCs w:val="32"/>
          <w:lang w:bidi="ar"/>
        </w:rPr>
        <w:t>法定代表人身份证明复印件（盖公章）。</w:t>
      </w:r>
    </w:p>
    <w:p w14:paraId="328A69B9">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lang w:val="en-US" w:eastAsia="zh-CN" w:bidi="ar"/>
        </w:rPr>
        <w:t>4</w:t>
      </w:r>
      <w:r>
        <w:rPr>
          <w:rFonts w:hint="eastAsia" w:ascii="仿宋_GB2312" w:eastAsia="仿宋_GB2312"/>
          <w:color w:val="auto"/>
          <w:sz w:val="32"/>
          <w:szCs w:val="32"/>
          <w:lang w:bidi="ar"/>
        </w:rPr>
        <w:t>.</w:t>
      </w:r>
      <w:bookmarkStart w:id="0" w:name="_Hlk161526532"/>
      <w:r>
        <w:rPr>
          <w:rFonts w:hint="eastAsia" w:ascii="仿宋_GB2312" w:eastAsia="仿宋_GB2312"/>
          <w:color w:val="auto"/>
          <w:sz w:val="32"/>
          <w:szCs w:val="32"/>
          <w:highlight w:val="none"/>
          <w:lang w:eastAsia="zh-CN" w:bidi="ar"/>
        </w:rPr>
        <w:t>申报单位</w:t>
      </w:r>
      <w:r>
        <w:rPr>
          <w:rFonts w:hint="eastAsia" w:ascii="仿宋_GB2312" w:eastAsia="仿宋_GB2312"/>
          <w:color w:val="auto"/>
          <w:sz w:val="32"/>
          <w:szCs w:val="32"/>
          <w:highlight w:val="none"/>
          <w:lang w:val="en-US" w:eastAsia="zh-CN" w:bidi="ar"/>
        </w:rPr>
        <w:t>近</w:t>
      </w:r>
      <w:r>
        <w:rPr>
          <w:rFonts w:hint="eastAsia" w:ascii="仿宋_GB2312" w:eastAsia="仿宋_GB2312"/>
          <w:color w:val="auto"/>
          <w:sz w:val="32"/>
          <w:szCs w:val="32"/>
          <w:highlight w:val="none"/>
          <w:lang w:bidi="ar"/>
        </w:rPr>
        <w:t>202</w:t>
      </w:r>
      <w:r>
        <w:rPr>
          <w:rFonts w:hint="eastAsia" w:ascii="仿宋_GB2312" w:eastAsia="仿宋_GB2312"/>
          <w:color w:val="auto"/>
          <w:sz w:val="32"/>
          <w:szCs w:val="32"/>
          <w:highlight w:val="none"/>
          <w:lang w:val="en-US" w:eastAsia="zh-CN" w:bidi="ar"/>
        </w:rPr>
        <w:t>5年</w:t>
      </w:r>
      <w:r>
        <w:rPr>
          <w:rFonts w:hint="eastAsia" w:ascii="仿宋_GB2312" w:eastAsia="仿宋_GB2312"/>
          <w:color w:val="auto"/>
          <w:sz w:val="32"/>
          <w:szCs w:val="32"/>
          <w:highlight w:val="none"/>
          <w:lang w:bidi="ar"/>
        </w:rPr>
        <w:t>度审计报告复印件（首页盖公章，需有备案二维码）。</w:t>
      </w:r>
      <w:bookmarkEnd w:id="0"/>
    </w:p>
    <w:p w14:paraId="698268BD">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lang w:bidi="ar"/>
        </w:rPr>
      </w:pP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.税务部门提供的</w:t>
      </w:r>
      <w:r>
        <w:rPr>
          <w:rFonts w:hint="eastAsia" w:ascii="仿宋_GB2312" w:eastAsia="仿宋_GB2312"/>
          <w:color w:val="auto"/>
          <w:sz w:val="32"/>
          <w:szCs w:val="32"/>
          <w:highlight w:val="none"/>
          <w:lang w:val="en-US" w:eastAsia="zh-CN" w:bidi="ar"/>
        </w:rPr>
        <w:t>申报单位</w:t>
      </w:r>
      <w:r>
        <w:rPr>
          <w:rFonts w:hint="default" w:ascii="仿宋_GB2312" w:eastAsia="仿宋_GB2312"/>
          <w:color w:val="auto"/>
          <w:sz w:val="32"/>
          <w:szCs w:val="32"/>
          <w:highlight w:val="none"/>
          <w:lang w:bidi="ar"/>
        </w:rPr>
        <w:t>202</w:t>
      </w: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年</w:t>
      </w:r>
      <w:r>
        <w:rPr>
          <w:rFonts w:hint="eastAsia" w:ascii="仿宋_GB2312" w:eastAsia="仿宋_GB2312"/>
          <w:color w:val="auto"/>
          <w:sz w:val="32"/>
          <w:szCs w:val="32"/>
          <w:highlight w:val="none"/>
          <w:lang w:val="en-US" w:eastAsia="zh-CN" w:bidi="ar"/>
        </w:rPr>
        <w:t>完</w:t>
      </w:r>
      <w:r>
        <w:rPr>
          <w:rFonts w:hint="default" w:ascii="仿宋_GB2312" w:eastAsia="仿宋_GB2312"/>
          <w:color w:val="auto"/>
          <w:sz w:val="32"/>
          <w:szCs w:val="32"/>
          <w:highlight w:val="none"/>
          <w:lang w:bidi="ar"/>
        </w:rPr>
        <w:t>税证明（盖公章）</w:t>
      </w:r>
      <w:r>
        <w:rPr>
          <w:rFonts w:hint="default" w:ascii="仿宋_GB2312" w:eastAsia="仿宋_GB2312"/>
          <w:color w:val="auto"/>
          <w:sz w:val="32"/>
          <w:szCs w:val="32"/>
          <w:lang w:bidi="ar"/>
        </w:rPr>
        <w:t>。</w:t>
      </w:r>
    </w:p>
    <w:p w14:paraId="16396804">
      <w:pPr>
        <w:keepNext w:val="0"/>
        <w:keepLines w:val="0"/>
        <w:pageBreakBefore w:val="0"/>
        <w:widowControl w:val="0"/>
        <w:numPr>
          <w:ilvl w:val="0"/>
          <w:numId w:val="0"/>
        </w:numPr>
        <w:kinsoku/>
        <w:wordWrap w:val="0"/>
        <w:overflowPunct/>
        <w:topLinePunct w:val="0"/>
        <w:autoSpaceDE/>
        <w:autoSpaceDN/>
        <w:bidi w:val="0"/>
        <w:spacing w:line="560" w:lineRule="exact"/>
        <w:ind w:firstLine="640" w:firstLineChars="200"/>
        <w:textAlignment w:val="auto"/>
        <w:rPr>
          <w:rFonts w:hint="default" w:ascii="仿宋_GB2312" w:eastAsia="仿宋_GB2312"/>
          <w:b w:val="0"/>
          <w:bCs w:val="0"/>
          <w:sz w:val="32"/>
          <w:szCs w:val="32"/>
          <w:highlight w:val="none"/>
          <w:lang w:val="en-US" w:eastAsia="zh-CN"/>
        </w:rPr>
      </w:pPr>
      <w:r>
        <w:rPr>
          <w:rFonts w:hint="eastAsia" w:ascii="仿宋_GB2312" w:eastAsia="仿宋_GB2312"/>
          <w:color w:val="auto"/>
          <w:sz w:val="32"/>
          <w:szCs w:val="32"/>
          <w:lang w:val="en-US" w:eastAsia="zh-CN" w:bidi="ar"/>
        </w:rPr>
        <w:t>6.</w:t>
      </w:r>
      <w:r>
        <w:rPr>
          <w:rFonts w:hint="default" w:ascii="仿宋_GB2312" w:eastAsia="仿宋_GB2312"/>
          <w:sz w:val="32"/>
          <w:szCs w:val="32"/>
          <w:highlight w:val="none"/>
        </w:rPr>
        <w:t>营业性演出准予许可决定</w:t>
      </w:r>
      <w:r>
        <w:rPr>
          <w:rFonts w:hint="eastAsia" w:ascii="仿宋_GB2312" w:eastAsia="仿宋_GB2312"/>
          <w:sz w:val="32"/>
          <w:szCs w:val="32"/>
          <w:highlight w:val="none"/>
          <w:lang w:eastAsia="zh-CN"/>
        </w:rPr>
        <w:t>书（</w:t>
      </w:r>
      <w:r>
        <w:rPr>
          <w:rFonts w:hint="eastAsia" w:ascii="仿宋_GB2312" w:eastAsia="仿宋_GB2312"/>
          <w:sz w:val="32"/>
          <w:szCs w:val="32"/>
          <w:highlight w:val="none"/>
          <w:lang w:val="en-US" w:eastAsia="zh-CN"/>
        </w:rPr>
        <w:t>如申报单位不是报批单位，需提供与报批单位联合举办的协议书、授权委托书、分工协议</w:t>
      </w:r>
      <w:r>
        <w:rPr>
          <w:rFonts w:hint="eastAsia" w:ascii="仿宋_GB2312" w:eastAsia="仿宋_GB2312"/>
          <w:sz w:val="32"/>
          <w:szCs w:val="32"/>
          <w:highlight w:val="none"/>
          <w:lang w:eastAsia="zh-CN"/>
        </w:rPr>
        <w:t>）</w:t>
      </w:r>
      <w:r>
        <w:rPr>
          <w:rFonts w:hint="eastAsia" w:ascii="仿宋_GB2312" w:eastAsia="仿宋_GB2312"/>
          <w:b w:val="0"/>
          <w:bCs w:val="0"/>
          <w:sz w:val="32"/>
          <w:szCs w:val="32"/>
          <w:highlight w:val="none"/>
          <w:lang w:val="en-US" w:eastAsia="zh-CN"/>
        </w:rPr>
        <w:t>。</w:t>
      </w:r>
    </w:p>
    <w:p w14:paraId="0E97756D">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default" w:ascii="仿宋_GB2312" w:hAnsi="Calibri" w:eastAsia="仿宋_GB2312"/>
          <w:sz w:val="32"/>
          <w:szCs w:val="32"/>
          <w:highlight w:val="none"/>
          <w:lang w:val="en-US" w:eastAsia="zh-CN"/>
        </w:rPr>
      </w:pPr>
      <w:r>
        <w:rPr>
          <w:rFonts w:hint="eastAsia" w:ascii="仿宋_GB2312" w:eastAsia="仿宋_GB2312"/>
          <w:sz w:val="32"/>
          <w:szCs w:val="32"/>
          <w:highlight w:val="none"/>
          <w:lang w:val="en-US" w:eastAsia="zh-CN"/>
        </w:rPr>
        <w:t>7.门票销售与票房证明材料（委托平台售票合同、平台出具的项目报表等）。</w:t>
      </w:r>
    </w:p>
    <w:p w14:paraId="2AEABF3F">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8.申报</w:t>
      </w:r>
      <w:r>
        <w:rPr>
          <w:rFonts w:hint="eastAsia" w:ascii="仿宋_GB2312" w:eastAsia="仿宋_GB2312"/>
          <w:sz w:val="32"/>
          <w:szCs w:val="32"/>
          <w:highlight w:val="none"/>
        </w:rPr>
        <w:t>大型营业性演出</w:t>
      </w:r>
      <w:r>
        <w:rPr>
          <w:rFonts w:hint="eastAsia" w:ascii="仿宋_GB2312" w:eastAsia="仿宋_GB2312"/>
          <w:sz w:val="32"/>
          <w:szCs w:val="32"/>
          <w:highlight w:val="none"/>
          <w:lang w:eastAsia="zh-CN"/>
        </w:rPr>
        <w:t>的，须</w:t>
      </w:r>
      <w:r>
        <w:rPr>
          <w:rFonts w:hint="eastAsia" w:ascii="仿宋_GB2312" w:eastAsia="仿宋_GB2312"/>
          <w:sz w:val="32"/>
          <w:szCs w:val="32"/>
          <w:highlight w:val="none"/>
        </w:rPr>
        <w:t>额外提交</w:t>
      </w:r>
      <w:r>
        <w:rPr>
          <w:rFonts w:hint="eastAsia" w:ascii="仿宋_GB2312" w:eastAsia="仿宋_GB2312"/>
          <w:sz w:val="32"/>
          <w:szCs w:val="32"/>
          <w:highlight w:val="none"/>
          <w:lang w:eastAsia="zh-CN"/>
        </w:rPr>
        <w:t>以下材料：</w:t>
      </w:r>
    </w:p>
    <w:p w14:paraId="1E22BEC3">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（1）申报项目情况介绍，包括但不限于：</w:t>
      </w:r>
      <w:r>
        <w:rPr>
          <w:rFonts w:hint="eastAsia" w:ascii="仿宋_GB2312" w:eastAsia="仿宋_GB2312"/>
          <w:sz w:val="32"/>
          <w:szCs w:val="32"/>
          <w:highlight w:val="none"/>
        </w:rPr>
        <w:t>演唱会总体方案（主题、阵容、档期、场地、规模、</w:t>
      </w:r>
      <w:r>
        <w:rPr>
          <w:rFonts w:hint="eastAsia" w:ascii="仿宋_GB2312" w:eastAsia="仿宋_GB2312"/>
          <w:sz w:val="32"/>
          <w:szCs w:val="32"/>
          <w:highlight w:val="none"/>
          <w:lang w:eastAsia="zh-CN"/>
        </w:rPr>
        <w:t>主承办单位</w:t>
      </w:r>
      <w:r>
        <w:rPr>
          <w:rFonts w:hint="eastAsia" w:ascii="仿宋_GB2312" w:eastAsia="仿宋_GB2312"/>
          <w:sz w:val="32"/>
          <w:szCs w:val="32"/>
          <w:highlight w:val="none"/>
        </w:rPr>
        <w:t>）、票务方案</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体现民族特色和国家水准的证明材料</w:t>
      </w:r>
      <w:r>
        <w:rPr>
          <w:rFonts w:hint="eastAsia" w:ascii="仿宋_GB2312" w:eastAsia="仿宋_GB2312"/>
          <w:sz w:val="32"/>
          <w:szCs w:val="32"/>
          <w:highlight w:val="none"/>
          <w:lang w:eastAsia="zh-CN"/>
        </w:rPr>
        <w:t>（如</w:t>
      </w:r>
      <w:r>
        <w:rPr>
          <w:rFonts w:hint="eastAsia" w:ascii="仿宋_GB2312" w:eastAsia="仿宋_GB2312"/>
          <w:sz w:val="32"/>
          <w:szCs w:val="32"/>
          <w:highlight w:val="none"/>
        </w:rPr>
        <w:t>参演艺人/团队资质、代表作、行业影响力说明</w:t>
      </w:r>
      <w:r>
        <w:rPr>
          <w:rFonts w:hint="eastAsia" w:ascii="仿宋_GB2312" w:eastAsia="仿宋_GB2312"/>
          <w:sz w:val="32"/>
          <w:szCs w:val="32"/>
          <w:highlight w:val="none"/>
          <w:lang w:eastAsia="zh-CN"/>
        </w:rPr>
        <w:t>）；</w:t>
      </w:r>
    </w:p>
    <w:p w14:paraId="7A27900F">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申报</w:t>
      </w:r>
      <w:r>
        <w:rPr>
          <w:rFonts w:hint="default" w:ascii="仿宋_GB2312" w:eastAsia="仿宋_GB2312"/>
          <w:sz w:val="32"/>
          <w:szCs w:val="32"/>
          <w:highlight w:val="none"/>
          <w:lang w:val="en-US"/>
        </w:rPr>
        <w:t>单位为</w:t>
      </w:r>
      <w:r>
        <w:rPr>
          <w:rFonts w:hint="eastAsia" w:ascii="仿宋_GB2312" w:eastAsia="仿宋_GB2312"/>
          <w:sz w:val="32"/>
          <w:szCs w:val="32"/>
          <w:highlight w:val="none"/>
        </w:rPr>
        <w:t>承办单位的，</w:t>
      </w:r>
      <w:r>
        <w:rPr>
          <w:rFonts w:hint="eastAsia" w:ascii="仿宋_GB2312" w:eastAsia="仿宋_GB2312"/>
          <w:sz w:val="32"/>
          <w:szCs w:val="32"/>
          <w:highlight w:val="none"/>
          <w:lang w:eastAsia="zh-CN"/>
        </w:rPr>
        <w:t>须</w:t>
      </w:r>
      <w:r>
        <w:rPr>
          <w:rFonts w:hint="eastAsia" w:ascii="仿宋_GB2312" w:eastAsia="仿宋_GB2312"/>
          <w:sz w:val="32"/>
          <w:szCs w:val="32"/>
          <w:highlight w:val="none"/>
        </w:rPr>
        <w:t>额外提交演出票房分成证明材料（主承办方、票务方、场地方分成协议</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收入确认凭证、纳税凭证、财务佐证材料</w:t>
      </w:r>
      <w:r>
        <w:rPr>
          <w:rFonts w:hint="eastAsia" w:ascii="仿宋_GB2312" w:eastAsia="仿宋_GB2312"/>
          <w:sz w:val="32"/>
          <w:szCs w:val="32"/>
          <w:highlight w:val="none"/>
          <w:lang w:eastAsia="zh-CN"/>
        </w:rPr>
        <w:t>）。</w:t>
      </w:r>
    </w:p>
    <w:p w14:paraId="4B8C7D59">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9.申报高品质音乐会的，额外提交以下证明材料：</w:t>
      </w:r>
    </w:p>
    <w:p w14:paraId="73B7EE3C">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（1）演出主创/演员资质证明（如国家一级演员证书、国家级文艺奖项证书、国际知名赛事获奖证书、知名院团任职证明等能证明其国内外一流水准的材料）；</w:t>
      </w:r>
    </w:p>
    <w:p w14:paraId="19DD5721">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（2）演出剧场场地证明（如剧场租赁合同、剧场出具的座位数证明等，需明确剧场实际座位数不少于1000座）。</w:t>
      </w:r>
    </w:p>
    <w:p w14:paraId="01FE93D1">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10.申报新型演艺的，额外提交以下证明材料：</w:t>
      </w:r>
    </w:p>
    <w:p w14:paraId="13FA8A9D">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（1）体现科技应用/创新表现形式/跨领域融合的证明材料（如舞台技术方案、沉浸式设备采购/使用证明、跨领域合作协议、创意策划方案等）；</w:t>
      </w:r>
    </w:p>
    <w:p w14:paraId="4B167D92">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（2）能证明演出为沉浸式/交互式/多维体验的现场资料（如演出剧照、视频片段、观众体验反馈、行业专业评价等）。</w:t>
      </w:r>
    </w:p>
    <w:p w14:paraId="08DF3E26">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hAnsi="Calibri" w:eastAsia="仿宋_GB2312"/>
          <w:sz w:val="32"/>
          <w:szCs w:val="32"/>
          <w:highlight w:val="none"/>
        </w:rPr>
      </w:pPr>
      <w:r>
        <w:rPr>
          <w:rFonts w:hint="eastAsia" w:ascii="仿宋_GB2312" w:eastAsia="仿宋_GB2312"/>
          <w:color w:val="auto"/>
          <w:sz w:val="32"/>
          <w:szCs w:val="32"/>
          <w:lang w:bidi="ar"/>
        </w:rPr>
        <w:t>以上材料除法定代表人身份证外均验原件</w:t>
      </w:r>
      <w:r>
        <w:rPr>
          <w:rFonts w:hint="eastAsia" w:ascii="仿宋_GB2312" w:eastAsia="仿宋_GB2312"/>
          <w:color w:val="auto"/>
          <w:sz w:val="32"/>
          <w:szCs w:val="32"/>
          <w:lang w:eastAsia="zh-CN" w:bidi="ar"/>
        </w:rPr>
        <w:t>、交</w:t>
      </w:r>
      <w:r>
        <w:rPr>
          <w:rFonts w:hint="eastAsia" w:ascii="仿宋_GB2312" w:eastAsia="仿宋_GB2312"/>
          <w:color w:val="auto"/>
          <w:sz w:val="32"/>
          <w:szCs w:val="32"/>
          <w:lang w:bidi="ar"/>
        </w:rPr>
        <w:t>复印件，复印件按A4纸型制作，双面打印，编排目录页码并装订成册，一式两份，封面加盖公章，侧面加盖骑缝章。</w:t>
      </w:r>
    </w:p>
    <w:p w14:paraId="5298FA10">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、受理机关</w:t>
      </w:r>
    </w:p>
    <w:p w14:paraId="4B8DD05D">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（一）受理机关：深圳市文化广电旅游体育局。</w:t>
      </w:r>
    </w:p>
    <w:p w14:paraId="6E6CC148">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color w:val="auto"/>
          <w:sz w:val="32"/>
          <w:szCs w:val="32"/>
          <w:lang w:bidi="ar"/>
        </w:rPr>
        <w:t>（二）</w:t>
      </w:r>
      <w:r>
        <w:rPr>
          <w:rFonts w:hint="eastAsia" w:ascii="仿宋_GB2312" w:hAnsi="Calibri" w:eastAsia="仿宋_GB2312" w:cs="Times New Roman"/>
          <w:color w:val="auto"/>
          <w:sz w:val="32"/>
          <w:szCs w:val="32"/>
          <w:lang w:bidi="ar"/>
        </w:rPr>
        <w:t>网上填报受理时间：</w:t>
      </w:r>
      <w:r>
        <w:rPr>
          <w:rStyle w:val="12"/>
          <w:rFonts w:hint="default" w:ascii="仿宋_GB2312" w:hAnsi="仿宋_GB2312" w:eastAsia="仿宋_GB2312" w:cs="仿宋_GB2312"/>
          <w:kern w:val="2"/>
          <w:sz w:val="32"/>
          <w:szCs w:val="32"/>
          <w:highlight w:val="none"/>
          <w:lang w:val="en-US" w:eastAsia="zh-CN" w:bidi="ar-SA"/>
        </w:rPr>
        <w:t>2026年</w:t>
      </w:r>
      <w:r>
        <w:rPr>
          <w:rStyle w:val="12"/>
          <w:rFonts w:hint="eastAsia" w:ascii="仿宋_GB2312" w:hAnsi="仿宋_GB2312" w:eastAsia="仿宋_GB2312" w:cs="仿宋_GB2312"/>
          <w:kern w:val="2"/>
          <w:sz w:val="32"/>
          <w:szCs w:val="32"/>
          <w:highlight w:val="none"/>
          <w:lang w:val="en-US" w:eastAsia="zh-CN" w:bidi="ar-SA"/>
        </w:rPr>
        <w:t>7</w:t>
      </w:r>
      <w:r>
        <w:rPr>
          <w:rStyle w:val="12"/>
          <w:rFonts w:hint="default" w:ascii="仿宋_GB2312" w:hAnsi="仿宋_GB2312" w:eastAsia="仿宋_GB2312" w:cs="仿宋_GB2312"/>
          <w:kern w:val="2"/>
          <w:sz w:val="32"/>
          <w:szCs w:val="32"/>
          <w:highlight w:val="none"/>
          <w:lang w:val="en-US" w:eastAsia="zh-CN" w:bidi="ar-SA"/>
        </w:rPr>
        <w:t>月</w:t>
      </w:r>
      <w:r>
        <w:rPr>
          <w:rStyle w:val="12"/>
          <w:rFonts w:hint="eastAsia" w:ascii="仿宋_GB2312" w:hAnsi="仿宋_GB2312" w:eastAsia="仿宋_GB2312" w:cs="仿宋_GB2312"/>
          <w:kern w:val="2"/>
          <w:sz w:val="32"/>
          <w:szCs w:val="32"/>
          <w:highlight w:val="none"/>
          <w:lang w:val="en-US" w:eastAsia="zh-CN" w:bidi="ar-SA"/>
        </w:rPr>
        <w:t>27</w:t>
      </w:r>
      <w:r>
        <w:rPr>
          <w:rStyle w:val="12"/>
          <w:rFonts w:hint="default" w:ascii="仿宋_GB2312" w:hAnsi="仿宋_GB2312" w:eastAsia="仿宋_GB2312" w:cs="仿宋_GB2312"/>
          <w:kern w:val="2"/>
          <w:sz w:val="32"/>
          <w:szCs w:val="32"/>
          <w:highlight w:val="none"/>
          <w:lang w:val="en-US" w:eastAsia="zh-CN" w:bidi="ar-SA"/>
        </w:rPr>
        <w:t>日</w:t>
      </w:r>
      <w:r>
        <w:rPr>
          <w:rStyle w:val="12"/>
          <w:rFonts w:hint="eastAsia" w:ascii="仿宋_GB2312" w:hAnsi="仿宋_GB2312" w:eastAsia="仿宋_GB2312" w:cs="仿宋_GB2312"/>
          <w:kern w:val="2"/>
          <w:sz w:val="32"/>
          <w:szCs w:val="32"/>
          <w:highlight w:val="none"/>
          <w:lang w:val="en-US" w:eastAsia="zh-CN" w:bidi="ar-SA"/>
        </w:rPr>
        <w:t>09:00</w:t>
      </w:r>
      <w:r>
        <w:rPr>
          <w:rStyle w:val="12"/>
          <w:rFonts w:hint="default" w:ascii="仿宋_GB2312" w:hAnsi="仿宋_GB2312" w:eastAsia="仿宋_GB2312" w:cs="仿宋_GB2312"/>
          <w:kern w:val="2"/>
          <w:sz w:val="32"/>
          <w:szCs w:val="32"/>
          <w:highlight w:val="none"/>
          <w:lang w:val="en-US" w:eastAsia="zh-CN" w:bidi="ar-SA"/>
        </w:rPr>
        <w:t>至2026年</w:t>
      </w:r>
      <w:r>
        <w:rPr>
          <w:rStyle w:val="12"/>
          <w:rFonts w:hint="eastAsia" w:ascii="仿宋_GB2312" w:hAnsi="仿宋_GB2312" w:eastAsia="仿宋_GB2312" w:cs="仿宋_GB2312"/>
          <w:kern w:val="2"/>
          <w:sz w:val="32"/>
          <w:szCs w:val="32"/>
          <w:highlight w:val="none"/>
          <w:lang w:val="en-US" w:eastAsia="zh-CN" w:bidi="ar-SA"/>
        </w:rPr>
        <w:t>8</w:t>
      </w:r>
      <w:r>
        <w:rPr>
          <w:rStyle w:val="12"/>
          <w:rFonts w:hint="default" w:ascii="仿宋_GB2312" w:hAnsi="仿宋_GB2312" w:eastAsia="仿宋_GB2312" w:cs="仿宋_GB2312"/>
          <w:kern w:val="2"/>
          <w:sz w:val="32"/>
          <w:szCs w:val="32"/>
          <w:highlight w:val="none"/>
          <w:lang w:val="en-US" w:eastAsia="zh-CN" w:bidi="ar-SA"/>
        </w:rPr>
        <w:t>月</w:t>
      </w:r>
      <w:r>
        <w:rPr>
          <w:rStyle w:val="12"/>
          <w:rFonts w:hint="eastAsia" w:ascii="仿宋_GB2312" w:hAnsi="仿宋_GB2312" w:eastAsia="仿宋_GB2312" w:cs="仿宋_GB2312"/>
          <w:kern w:val="2"/>
          <w:sz w:val="32"/>
          <w:szCs w:val="32"/>
          <w:highlight w:val="none"/>
          <w:lang w:val="en-US" w:eastAsia="zh-CN" w:bidi="ar-SA"/>
        </w:rPr>
        <w:t>15</w:t>
      </w:r>
      <w:r>
        <w:rPr>
          <w:rStyle w:val="12"/>
          <w:rFonts w:hint="default" w:ascii="仿宋_GB2312" w:hAnsi="仿宋_GB2312" w:eastAsia="仿宋_GB2312" w:cs="仿宋_GB2312"/>
          <w:kern w:val="2"/>
          <w:sz w:val="32"/>
          <w:szCs w:val="32"/>
          <w:highlight w:val="none"/>
          <w:lang w:val="en-US" w:eastAsia="zh-CN" w:bidi="ar-SA"/>
        </w:rPr>
        <w:t>日</w:t>
      </w:r>
      <w:r>
        <w:rPr>
          <w:rStyle w:val="12"/>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color w:val="auto"/>
          <w:sz w:val="32"/>
          <w:szCs w:val="32"/>
          <w:lang w:bidi="ar"/>
        </w:rPr>
        <w:t>。</w:t>
      </w:r>
    </w:p>
    <w:p w14:paraId="06800007">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hAnsi="Calibri" w:eastAsia="仿宋_GB2312"/>
          <w:color w:val="auto"/>
          <w:sz w:val="32"/>
          <w:szCs w:val="32"/>
          <w:lang w:bidi="ar"/>
        </w:rPr>
      </w:pPr>
      <w:r>
        <w:rPr>
          <w:rFonts w:hint="eastAsia" w:ascii="仿宋_GB2312" w:hAnsi="Calibri" w:eastAsia="仿宋_GB2312"/>
          <w:color w:val="auto"/>
          <w:sz w:val="32"/>
          <w:szCs w:val="32"/>
          <w:lang w:bidi="ar"/>
        </w:rPr>
        <w:t>网上填报受理时间截止前已提交的项目可作撤回、修改，并继续提交系统初审。网上填报时间截止后，申报系统将关闭，不再受理新项目提交申请，已提交初审的项目也无法补充、修改。</w:t>
      </w:r>
    </w:p>
    <w:p w14:paraId="0EB1ECC5">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w:t>
      </w:r>
      <w:r>
        <w:rPr>
          <w:rFonts w:hint="eastAsia" w:ascii="仿宋_GB2312" w:eastAsia="仿宋_GB2312"/>
          <w:color w:val="auto"/>
          <w:sz w:val="32"/>
          <w:szCs w:val="32"/>
          <w:lang w:bidi="ar"/>
        </w:rPr>
        <w:t>通过初审的</w:t>
      </w:r>
      <w:r>
        <w:rPr>
          <w:rFonts w:hint="eastAsia" w:ascii="仿宋_GB2312" w:eastAsia="仿宋_GB2312"/>
          <w:color w:val="auto"/>
          <w:sz w:val="32"/>
          <w:szCs w:val="32"/>
          <w:lang w:eastAsia="zh-CN" w:bidi="ar"/>
        </w:rPr>
        <w:t>申报单位</w:t>
      </w:r>
      <w:r>
        <w:rPr>
          <w:rFonts w:hint="eastAsia" w:ascii="仿宋_GB2312" w:eastAsia="仿宋_GB2312"/>
          <w:color w:val="auto"/>
          <w:sz w:val="32"/>
          <w:szCs w:val="32"/>
          <w:lang w:bidi="ar"/>
        </w:rPr>
        <w:t>根据系统信息要求的时间和地点，按本指南第</w:t>
      </w:r>
      <w:r>
        <w:rPr>
          <w:rFonts w:hint="eastAsia" w:ascii="仿宋_GB2312" w:eastAsia="仿宋_GB2312"/>
          <w:color w:val="auto"/>
          <w:sz w:val="32"/>
          <w:szCs w:val="32"/>
          <w:lang w:val="en-US" w:eastAsia="zh-CN" w:bidi="ar"/>
        </w:rPr>
        <w:t>四</w:t>
      </w:r>
      <w:r>
        <w:rPr>
          <w:rFonts w:hint="eastAsia" w:ascii="仿宋_GB2312" w:eastAsia="仿宋_GB2312"/>
          <w:color w:val="auto"/>
          <w:sz w:val="32"/>
          <w:szCs w:val="32"/>
          <w:lang w:bidi="ar"/>
        </w:rPr>
        <w:t>项指引提交书面材料，逾期不予受理。</w:t>
      </w:r>
    </w:p>
    <w:p w14:paraId="4710557D">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 w:eastAsia="zh-CN"/>
        </w:rPr>
      </w:pPr>
      <w:r>
        <w:rPr>
          <w:rFonts w:hint="eastAsia" w:ascii="仿宋_GB2312" w:eastAsia="仿宋_GB2312"/>
          <w:sz w:val="32"/>
          <w:szCs w:val="32"/>
          <w:highlight w:val="none"/>
        </w:rPr>
        <w:t>（四）咨询电话：</w:t>
      </w:r>
      <w:r>
        <w:rPr>
          <w:rFonts w:hint="eastAsia" w:ascii="仿宋_GB2312" w:eastAsia="仿宋_GB2312"/>
          <w:sz w:val="32"/>
          <w:szCs w:val="32"/>
          <w:highlight w:val="none"/>
          <w:lang w:val="en-US" w:eastAsia="zh-CN"/>
        </w:rPr>
        <w:t>8810106</w:t>
      </w:r>
      <w:r>
        <w:rPr>
          <w:rFonts w:hint="default" w:ascii="仿宋_GB2312" w:eastAsia="仿宋_GB2312"/>
          <w:sz w:val="32"/>
          <w:szCs w:val="32"/>
          <w:highlight w:val="none"/>
          <w:lang w:val="en" w:eastAsia="zh-CN"/>
        </w:rPr>
        <w:t>3</w:t>
      </w:r>
      <w:r>
        <w:rPr>
          <w:rFonts w:hint="eastAsia" w:ascii="仿宋_GB2312" w:eastAsia="仿宋_GB2312"/>
          <w:sz w:val="32"/>
          <w:szCs w:val="32"/>
          <w:highlight w:val="none"/>
          <w:lang w:val="en" w:eastAsia="zh-CN"/>
        </w:rPr>
        <w:t>、88101210。</w:t>
      </w:r>
    </w:p>
    <w:p w14:paraId="02D4D368">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、决定机关</w:t>
      </w:r>
    </w:p>
    <w:p w14:paraId="58377BC3">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14:paraId="0FB4C9C0">
      <w:pPr>
        <w:keepNext w:val="0"/>
        <w:keepLines w:val="0"/>
        <w:pageBreakBefore w:val="0"/>
        <w:widowControl w:val="0"/>
        <w:kinsoku/>
        <w:wordWrap w:val="0"/>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、申报和审核程序</w:t>
      </w:r>
    </w:p>
    <w:p w14:paraId="690C090E">
      <w:pPr>
        <w:keepNext w:val="0"/>
        <w:keepLines w:val="0"/>
        <w:pageBreakBefore w:val="0"/>
        <w:widowControl w:val="0"/>
        <w:kinsoku/>
        <w:wordWrap w:val="0"/>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网上申报——网上初审——提交书面材料——市文化广电旅游体育局委托财务审计——现场考察</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如有需要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——市文化广电旅游体育局党组会议审议——社会公示——市文化广电旅游体育局下达资金计划——拨付资助经费。</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732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3E23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553E23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0A716DDE"/>
    <w:rsid w:val="16274F26"/>
    <w:rsid w:val="17534F25"/>
    <w:rsid w:val="18EB2B3D"/>
    <w:rsid w:val="18FF523B"/>
    <w:rsid w:val="1BDFA754"/>
    <w:rsid w:val="1DFF7F43"/>
    <w:rsid w:val="1EEE09F6"/>
    <w:rsid w:val="1F7D565D"/>
    <w:rsid w:val="258F8D1D"/>
    <w:rsid w:val="25CDFC13"/>
    <w:rsid w:val="27EFC724"/>
    <w:rsid w:val="29CFFD59"/>
    <w:rsid w:val="2C0A3ED7"/>
    <w:rsid w:val="2E16FCEB"/>
    <w:rsid w:val="2FF2D475"/>
    <w:rsid w:val="3292458B"/>
    <w:rsid w:val="34DECCBF"/>
    <w:rsid w:val="37EF9753"/>
    <w:rsid w:val="38FF5F09"/>
    <w:rsid w:val="395E624E"/>
    <w:rsid w:val="3C77691A"/>
    <w:rsid w:val="3CF6F5B1"/>
    <w:rsid w:val="3DBB70A6"/>
    <w:rsid w:val="42E714D3"/>
    <w:rsid w:val="485A3142"/>
    <w:rsid w:val="4DD3F2A8"/>
    <w:rsid w:val="4F7F7086"/>
    <w:rsid w:val="4FFBD54E"/>
    <w:rsid w:val="51B80C66"/>
    <w:rsid w:val="51C46F7C"/>
    <w:rsid w:val="521F0134"/>
    <w:rsid w:val="538D64CA"/>
    <w:rsid w:val="53F3C58A"/>
    <w:rsid w:val="56FD707D"/>
    <w:rsid w:val="57E35BDC"/>
    <w:rsid w:val="59F2E42B"/>
    <w:rsid w:val="5AE15115"/>
    <w:rsid w:val="5BD9294C"/>
    <w:rsid w:val="5CDE9FD9"/>
    <w:rsid w:val="5DFF4246"/>
    <w:rsid w:val="5EDBFFE5"/>
    <w:rsid w:val="5EFBCB3F"/>
    <w:rsid w:val="5F7B84CD"/>
    <w:rsid w:val="5FA6F5FB"/>
    <w:rsid w:val="5FD7EA40"/>
    <w:rsid w:val="5FEB70C1"/>
    <w:rsid w:val="5FF7ED57"/>
    <w:rsid w:val="62462F15"/>
    <w:rsid w:val="6679B730"/>
    <w:rsid w:val="67FC19B5"/>
    <w:rsid w:val="6B474966"/>
    <w:rsid w:val="6D6D9A55"/>
    <w:rsid w:val="6D6FA150"/>
    <w:rsid w:val="6DFD0332"/>
    <w:rsid w:val="6EC948C1"/>
    <w:rsid w:val="6EF7AAB2"/>
    <w:rsid w:val="6F741A54"/>
    <w:rsid w:val="6FDFD506"/>
    <w:rsid w:val="6FED5D98"/>
    <w:rsid w:val="6FFE43B9"/>
    <w:rsid w:val="73FF9BA8"/>
    <w:rsid w:val="75EF729E"/>
    <w:rsid w:val="76BAB501"/>
    <w:rsid w:val="76FE96A8"/>
    <w:rsid w:val="77EF0591"/>
    <w:rsid w:val="77EF6916"/>
    <w:rsid w:val="77FE846F"/>
    <w:rsid w:val="77FF212C"/>
    <w:rsid w:val="785D76F9"/>
    <w:rsid w:val="793AB0DF"/>
    <w:rsid w:val="79726ECB"/>
    <w:rsid w:val="79F5A7C0"/>
    <w:rsid w:val="79F739F3"/>
    <w:rsid w:val="79FF4656"/>
    <w:rsid w:val="7B5F752B"/>
    <w:rsid w:val="7C1ECD05"/>
    <w:rsid w:val="7DE39E29"/>
    <w:rsid w:val="7DFDB4CA"/>
    <w:rsid w:val="7E950961"/>
    <w:rsid w:val="7EE32C23"/>
    <w:rsid w:val="7EF7A317"/>
    <w:rsid w:val="7EF95E85"/>
    <w:rsid w:val="7F37F3CF"/>
    <w:rsid w:val="7F669F27"/>
    <w:rsid w:val="7F77515C"/>
    <w:rsid w:val="7F7F78EE"/>
    <w:rsid w:val="7F962E62"/>
    <w:rsid w:val="7F9D242D"/>
    <w:rsid w:val="7FEE2452"/>
    <w:rsid w:val="7FEE5C6E"/>
    <w:rsid w:val="7FEFF2C7"/>
    <w:rsid w:val="7FFD8AE7"/>
    <w:rsid w:val="7FFF3C5F"/>
    <w:rsid w:val="8736BEF2"/>
    <w:rsid w:val="87F85757"/>
    <w:rsid w:val="95FF9B0B"/>
    <w:rsid w:val="97DB4823"/>
    <w:rsid w:val="9DEFF0ED"/>
    <w:rsid w:val="9FEDBD24"/>
    <w:rsid w:val="B63F4013"/>
    <w:rsid w:val="B76D84AB"/>
    <w:rsid w:val="BDDFBEFA"/>
    <w:rsid w:val="BE4B20B1"/>
    <w:rsid w:val="BE72BFAA"/>
    <w:rsid w:val="BE78E449"/>
    <w:rsid w:val="BF77EE39"/>
    <w:rsid w:val="BFF3CE81"/>
    <w:rsid w:val="BFFE0949"/>
    <w:rsid w:val="C7FD51C6"/>
    <w:rsid w:val="CDFFD468"/>
    <w:rsid w:val="CEE1FD16"/>
    <w:rsid w:val="CEED2062"/>
    <w:rsid w:val="CFFDB4B7"/>
    <w:rsid w:val="D0FF0B7F"/>
    <w:rsid w:val="D5BB9F0F"/>
    <w:rsid w:val="D6DD0B1C"/>
    <w:rsid w:val="D75DE976"/>
    <w:rsid w:val="D76DC572"/>
    <w:rsid w:val="D9EFACD7"/>
    <w:rsid w:val="DBC793F7"/>
    <w:rsid w:val="DCDB818E"/>
    <w:rsid w:val="DCFFFF04"/>
    <w:rsid w:val="DDDFB8C9"/>
    <w:rsid w:val="DE3EC2CB"/>
    <w:rsid w:val="DFFF2976"/>
    <w:rsid w:val="DFFFFC3B"/>
    <w:rsid w:val="E2DFC77E"/>
    <w:rsid w:val="E33F2918"/>
    <w:rsid w:val="E3B6A3DA"/>
    <w:rsid w:val="E3FEE979"/>
    <w:rsid w:val="E5FF8B7B"/>
    <w:rsid w:val="E9D2D723"/>
    <w:rsid w:val="EB7FEB4C"/>
    <w:rsid w:val="EBFE6114"/>
    <w:rsid w:val="EEFE6BE1"/>
    <w:rsid w:val="EF96A1DB"/>
    <w:rsid w:val="EFAC2EC8"/>
    <w:rsid w:val="EFE7E598"/>
    <w:rsid w:val="F377B9C9"/>
    <w:rsid w:val="F379A44A"/>
    <w:rsid w:val="F37EE5A9"/>
    <w:rsid w:val="F3CF2296"/>
    <w:rsid w:val="F4672377"/>
    <w:rsid w:val="F6F36DC3"/>
    <w:rsid w:val="F7FE3AB1"/>
    <w:rsid w:val="F7FF7502"/>
    <w:rsid w:val="F9DFDED8"/>
    <w:rsid w:val="FB35227C"/>
    <w:rsid w:val="FB43AD89"/>
    <w:rsid w:val="FBB72945"/>
    <w:rsid w:val="FBBE8723"/>
    <w:rsid w:val="FBBFD560"/>
    <w:rsid w:val="FBED4062"/>
    <w:rsid w:val="FBF61A4F"/>
    <w:rsid w:val="FBFB54F1"/>
    <w:rsid w:val="FCFADB9D"/>
    <w:rsid w:val="FDECB49B"/>
    <w:rsid w:val="FE3FAED2"/>
    <w:rsid w:val="FE698FC9"/>
    <w:rsid w:val="FE7B8449"/>
    <w:rsid w:val="FE7B98F7"/>
    <w:rsid w:val="FEBB8535"/>
    <w:rsid w:val="FEBDF9FB"/>
    <w:rsid w:val="FEBEDD00"/>
    <w:rsid w:val="FF3A5C1D"/>
    <w:rsid w:val="FF6FB85A"/>
    <w:rsid w:val="FF76F5ED"/>
    <w:rsid w:val="FF772411"/>
    <w:rsid w:val="FF7D085D"/>
    <w:rsid w:val="FF7FBF6D"/>
    <w:rsid w:val="FF9F296A"/>
    <w:rsid w:val="FFBDC918"/>
    <w:rsid w:val="FFE3CC57"/>
    <w:rsid w:val="FFEA008A"/>
    <w:rsid w:val="FFEFDA0B"/>
    <w:rsid w:val="FFF2ABC2"/>
    <w:rsid w:val="FFF34C63"/>
    <w:rsid w:val="FFFF4D54"/>
    <w:rsid w:val="FFFFA7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3"/>
    <w:next w:val="3"/>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3">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styleId="4">
    <w:name w:val="Normal Indent"/>
    <w:basedOn w:val="3"/>
    <w:unhideWhenUsed/>
    <w:qFormat/>
    <w:uiPriority w:val="99"/>
    <w:pPr>
      <w:ind w:firstLine="420" w:firstLineChars="200"/>
    </w:pPr>
  </w:style>
  <w:style w:type="paragraph" w:styleId="5">
    <w:name w:val="Body Text"/>
    <w:basedOn w:val="1"/>
    <w:next w:val="6"/>
    <w:qFormat/>
    <w:uiPriority w:val="3"/>
    <w:pPr>
      <w:spacing w:line="540" w:lineRule="exact"/>
      <w:jc w:val="left"/>
    </w:pPr>
    <w:rPr>
      <w:rFonts w:ascii="楷体_GB2312" w:hAnsi="Times New Roman" w:eastAsia="楷体_GB2312"/>
      <w:szCs w:val="20"/>
    </w:rPr>
  </w:style>
  <w:style w:type="paragraph" w:styleId="6">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spacing w:beforeAutospacing="1" w:afterAutospacing="1"/>
      <w:jc w:val="left"/>
    </w:pPr>
    <w:rPr>
      <w:kern w:val="0"/>
      <w:sz w:val="24"/>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2322</Words>
  <Characters>2521</Characters>
  <Lines>0</Lines>
  <Paragraphs>0</Paragraphs>
  <TotalTime>0</TotalTime>
  <ScaleCrop>false</ScaleCrop>
  <LinksUpToDate>false</LinksUpToDate>
  <CharactersWithSpaces>2523</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2024-03-12T09:06:00Z</dcterms:created>
  <dc:creator>余</dc:creator>
  <cp:lastModifiedBy>余俊</cp:lastModifiedBy>
  <cp:lastPrinted>2024-03-30T23:20:00Z</cp:lastPrinted>
  <dcterms:modified xsi:type="dcterms:W3CDTF">2026-07-16T16:47:48Z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82CE4078D7C3BA69430CDE69D5512124_43</vt:lpwstr>
  </property>
  <property fmtid="{D5CDD505-2E9C-101B-9397-08002B2CF9AE}" pid="4" name="KSOTemplateDocerSaveRecord">
    <vt:lpwstr>eyJoZGlkIjoiMzhkMDY5ZTE3MWMxYTkzMDE5MjVhZmQ5NjAwNzMzYmMiLCJ1c2VySWQiOiI0ODcyNzc0MjkifQ==</vt:lpwstr>
  </property>
</Properties>
</file>