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B4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right="0"/>
        <w:jc w:val="left"/>
        <w:textAlignment w:val="auto"/>
        <w:rPr>
          <w:rFonts w:hint="default" w:ascii="黑体" w:hAnsi="黑体" w:eastAsia="黑体" w:cs="黑体"/>
          <w:spacing w:val="0"/>
          <w:kern w:val="0"/>
          <w:sz w:val="32"/>
          <w:szCs w:val="32"/>
          <w:lang w:val="en-US" w:eastAsia="zh-CN" w:bidi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0"/>
          <w:kern w:val="0"/>
          <w:sz w:val="32"/>
          <w:szCs w:val="32"/>
          <w:lang w:val="en-US" w:eastAsia="zh-CN" w:bidi="zh-CN"/>
        </w:rPr>
        <w:t>附件1</w:t>
      </w:r>
    </w:p>
    <w:p w14:paraId="51FAC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 w:bidi="zh-CN"/>
        </w:rPr>
      </w:pPr>
    </w:p>
    <w:p w14:paraId="5C4CB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 w:bidi="zh-CN"/>
        </w:rPr>
        <w:t>文旅IP吉祥物衍生开发及商业运营项目</w:t>
      </w:r>
    </w:p>
    <w:p w14:paraId="1BD68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 w:bidi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 w:bidi="zh-CN"/>
        </w:rPr>
        <w:t>专家评审表</w:t>
      </w:r>
    </w:p>
    <w:p w14:paraId="4851B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zh-CN"/>
        </w:rPr>
      </w:pPr>
    </w:p>
    <w:tbl>
      <w:tblPr>
        <w:tblStyle w:val="15"/>
        <w:tblW w:w="12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121"/>
        <w:gridCol w:w="6125"/>
        <w:gridCol w:w="775"/>
        <w:gridCol w:w="1400"/>
        <w:gridCol w:w="1613"/>
        <w:gridCol w:w="1477"/>
      </w:tblGrid>
      <w:tr w14:paraId="3AB83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578" w:type="dxa"/>
            <w:gridSpan w:val="2"/>
            <w:vAlign w:val="center"/>
          </w:tcPr>
          <w:p w14:paraId="05E6C5B0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项目名称</w:t>
            </w:r>
          </w:p>
        </w:tc>
        <w:tc>
          <w:tcPr>
            <w:tcW w:w="11390" w:type="dxa"/>
            <w:gridSpan w:val="5"/>
            <w:vAlign w:val="center"/>
          </w:tcPr>
          <w:p w14:paraId="07B17CBD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文旅IP吉祥物衍生开发及商业运营项目</w:t>
            </w:r>
          </w:p>
        </w:tc>
      </w:tr>
      <w:tr w14:paraId="1D95D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78" w:type="dxa"/>
            <w:gridSpan w:val="2"/>
            <w:vAlign w:val="center"/>
          </w:tcPr>
          <w:p w14:paraId="66F0021E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申请单位</w:t>
            </w:r>
          </w:p>
        </w:tc>
        <w:tc>
          <w:tcPr>
            <w:tcW w:w="6900" w:type="dxa"/>
            <w:gridSpan w:val="2"/>
            <w:vAlign w:val="center"/>
          </w:tcPr>
          <w:p w14:paraId="4EA32E6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yellow"/>
                <w:shd w:val="clear" w:color="auto" w:fill="FFFFFF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756C2B3B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yellow"/>
                <w:shd w:val="clear" w:color="auto" w:fill="FFFFFF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5D3921CF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yellow"/>
                <w:shd w:val="clear" w:color="auto" w:fill="FFFFFF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 w14:paraId="329DB9A6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yellow"/>
                <w:shd w:val="clear" w:color="auto" w:fill="FFFFFF"/>
                <w:lang w:val="en-US" w:eastAsia="zh-CN"/>
              </w:rPr>
            </w:pPr>
          </w:p>
        </w:tc>
      </w:tr>
      <w:tr w14:paraId="2E2F2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457" w:type="dxa"/>
            <w:vAlign w:val="center"/>
          </w:tcPr>
          <w:p w14:paraId="527F0EDE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21" w:type="dxa"/>
            <w:vAlign w:val="center"/>
          </w:tcPr>
          <w:p w14:paraId="10CC7818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评审</w:t>
            </w:r>
          </w:p>
          <w:p w14:paraId="1FAEF7B4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标准</w:t>
            </w:r>
          </w:p>
        </w:tc>
        <w:tc>
          <w:tcPr>
            <w:tcW w:w="6125" w:type="dxa"/>
            <w:vAlign w:val="center"/>
          </w:tcPr>
          <w:p w14:paraId="569922E9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评审细则</w:t>
            </w:r>
          </w:p>
        </w:tc>
        <w:tc>
          <w:tcPr>
            <w:tcW w:w="775" w:type="dxa"/>
            <w:vAlign w:val="center"/>
          </w:tcPr>
          <w:p w14:paraId="5790ADD3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满分分值</w:t>
            </w:r>
          </w:p>
        </w:tc>
        <w:tc>
          <w:tcPr>
            <w:tcW w:w="1400" w:type="dxa"/>
            <w:vAlign w:val="center"/>
          </w:tcPr>
          <w:p w14:paraId="2590C31C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评分</w:t>
            </w:r>
          </w:p>
        </w:tc>
        <w:tc>
          <w:tcPr>
            <w:tcW w:w="1613" w:type="dxa"/>
            <w:vAlign w:val="center"/>
          </w:tcPr>
          <w:p w14:paraId="2B64A6FE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评分</w:t>
            </w:r>
          </w:p>
        </w:tc>
        <w:tc>
          <w:tcPr>
            <w:tcW w:w="1477" w:type="dxa"/>
            <w:vAlign w:val="center"/>
          </w:tcPr>
          <w:p w14:paraId="3C4C733D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评分</w:t>
            </w:r>
          </w:p>
        </w:tc>
      </w:tr>
      <w:tr w14:paraId="692DE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 w14:paraId="73789AE0"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1121" w:type="dxa"/>
            <w:vAlign w:val="center"/>
          </w:tcPr>
          <w:p w14:paraId="0DD910FA">
            <w:pPr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</w:rPr>
              <w:t>运营总体方案</w:t>
            </w:r>
          </w:p>
        </w:tc>
        <w:tc>
          <w:tcPr>
            <w:tcW w:w="6125" w:type="dxa"/>
            <w:vAlign w:val="center"/>
          </w:tcPr>
          <w:p w14:paraId="6C7886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一、评审标准：</w:t>
            </w:r>
          </w:p>
          <w:p w14:paraId="253E3E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hd w:val="clear" w:color="auto" w:fill="FFFFFF"/>
                <w:lang w:val="en-US" w:eastAsia="zh-CN"/>
              </w:rPr>
              <w:t>对申报单位提交的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IP价值定位与整体运营策略、内容运营与品牌长期培育路径、年度运营目标与实施计划、与深圳城市文旅品牌形象的结合度、与社会主义核心价值观及公共利益导向的契合度、方案的整体逻辑性与可执行性等内容进行评分。（最高得35分）。</w:t>
            </w:r>
          </w:p>
          <w:p w14:paraId="0FA6CE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二、打分标准：</w:t>
            </w:r>
          </w:p>
          <w:p w14:paraId="5CC9C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（1）优秀：对"鹏仔"形象内涵与深圳城市文旅定位解读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  <w:lang w:val="en-US" w:eastAsia="zh-CN"/>
              </w:rPr>
              <w:t>准确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，整体运营思路清晰，内容运营与品牌长期培育路径完整可行，年度运营目标明确，与深圳城市文旅品牌形象及社会主义核心价值观结合紧密，方案逻辑严密、可执行性强得(28,35]分；</w:t>
            </w:r>
          </w:p>
          <w:p w14:paraId="41941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（2）良好：对形象内涵与城市文旅定位理解较准确，运营思路完整，内容培育路径与年度目标较为清晰，与城市文旅品牌形象结合较好，方案具备较强的可执行性得(21,28]分；</w:t>
            </w:r>
          </w:p>
          <w:p w14:paraId="38FC7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（3）中等：对形象内涵与城市文旅定位有一定理解，运营思路基本成型，内容培育路径与年度目标基本明确，结合度与可执行性一般得(14,21]分；</w:t>
            </w:r>
          </w:p>
          <w:p w14:paraId="7FECC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（4）一般：运营思路较为笼统，内容培育路径与年度目标不够明确，与城市文旅品牌形象结合不充分，可执行性偏弱得(7,14]分；</w:t>
            </w:r>
          </w:p>
          <w:p w14:paraId="3AF4D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（5）合格：提交了运营总体方案，对形象定位与运营方向有初步表述，但内容较为简略、体系性不足得(0,7]分；</w:t>
            </w:r>
          </w:p>
          <w:p w14:paraId="47D72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（6）不合格：未提交运营总体方案，或方案内容与本项目无关。得0分。</w:t>
            </w:r>
          </w:p>
        </w:tc>
        <w:tc>
          <w:tcPr>
            <w:tcW w:w="775" w:type="dxa"/>
            <w:vAlign w:val="center"/>
          </w:tcPr>
          <w:p w14:paraId="0BF4B68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35</w:t>
            </w:r>
          </w:p>
        </w:tc>
        <w:tc>
          <w:tcPr>
            <w:tcW w:w="1400" w:type="dxa"/>
            <w:vAlign w:val="center"/>
          </w:tcPr>
          <w:p w14:paraId="7A8DA20B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13" w:type="dxa"/>
            <w:vAlign w:val="center"/>
          </w:tcPr>
          <w:p w14:paraId="54EF848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77" w:type="dxa"/>
            <w:vAlign w:val="center"/>
          </w:tcPr>
          <w:p w14:paraId="210A166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2FB1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 w14:paraId="60B2AF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121" w:type="dxa"/>
            <w:vAlign w:val="center"/>
          </w:tcPr>
          <w:p w14:paraId="0CD8D2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IP衍生产品开发设计</w:t>
            </w:r>
          </w:p>
        </w:tc>
        <w:tc>
          <w:tcPr>
            <w:tcW w:w="6125" w:type="dxa"/>
            <w:vAlign w:val="center"/>
          </w:tcPr>
          <w:p w14:paraId="715F1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评审标准：</w:t>
            </w:r>
          </w:p>
          <w:p w14:paraId="66A27D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对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  <w:lang w:val="en-US" w:eastAsia="zh-CN"/>
              </w:rPr>
              <w:t>申报单位提交的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产品品类规划与开发计划；设计开发流程与衍生知识产权管理；生产组织方式与质量控制体系；对外授权规则、被授权方管理机制、授权风险控制措施等内容进行评分。（最高得25分）</w:t>
            </w:r>
          </w:p>
          <w:p w14:paraId="4C6D48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打分标准：</w:t>
            </w:r>
          </w:p>
          <w:p w14:paraId="4A1FB7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优秀：产品品类规划完整、层次清晰，设计开发流程规范，衍生知识产权的归属与管理安排明确，生产组织方式与质量控制体系健全，对外授权规则、被授权方管理及风险控制机制完备得(20,25]分；</w:t>
            </w:r>
          </w:p>
          <w:p w14:paraId="519B54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良好：产品品类规划较为完整，设计开发流程清晰，衍生知识产权管理安排基本明确，生产组织与质量控制体系较为健全，授权规则与风险控制机制较完善得(15,20]分；</w:t>
            </w:r>
          </w:p>
          <w:p w14:paraId="330529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中等：产品品类规划基本成型，设计开发流程与知识产权管理有初步安排，生产组织与质量控制体系基本建立，授权规则较为原则得(10,15]分；</w:t>
            </w:r>
          </w:p>
          <w:p w14:paraId="7847D7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一般：产品品类规划较为笼统，设计开发流程不清晰，知识产权管理或质量控制安排不完整，授权规则与风险控制欠缺得(5,10]分；</w:t>
            </w:r>
          </w:p>
          <w:p w14:paraId="6A8E61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合格：提交了IP衍生产品开发设计相关内容，但品类规划、设计流程或管理安排较为简略得(0,5]分；</w:t>
            </w:r>
          </w:p>
          <w:p w14:paraId="7DD4F7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（6）不合格：未提交IP衍生产品开发设计相关内容。得0分。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br w:type="textWrapping"/>
            </w:r>
          </w:p>
        </w:tc>
        <w:tc>
          <w:tcPr>
            <w:tcW w:w="775" w:type="dxa"/>
            <w:vAlign w:val="center"/>
          </w:tcPr>
          <w:p w14:paraId="628EF14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25</w:t>
            </w:r>
          </w:p>
        </w:tc>
        <w:tc>
          <w:tcPr>
            <w:tcW w:w="1400" w:type="dxa"/>
            <w:vAlign w:val="center"/>
          </w:tcPr>
          <w:p w14:paraId="75AF3C1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13" w:type="dxa"/>
            <w:vAlign w:val="center"/>
          </w:tcPr>
          <w:p w14:paraId="10EEAA2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77" w:type="dxa"/>
            <w:vAlign w:val="center"/>
          </w:tcPr>
          <w:p w14:paraId="2977CA9B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FF83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 w14:paraId="6894A9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21" w:type="dxa"/>
            <w:vAlign w:val="center"/>
          </w:tcPr>
          <w:p w14:paraId="280050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商业渠道拓展及运营</w:t>
            </w:r>
          </w:p>
        </w:tc>
        <w:tc>
          <w:tcPr>
            <w:tcW w:w="6125" w:type="dxa"/>
            <w:vAlign w:val="center"/>
          </w:tcPr>
          <w:p w14:paraId="18BEC6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评审标准：</w:t>
            </w:r>
          </w:p>
          <w:p w14:paraId="492A6E8E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对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  <w:lang w:val="en-US" w:eastAsia="zh-CN"/>
              </w:rPr>
              <w:t>申报单位提交的</w:t>
            </w: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线上线下渠道架构与落地计划；销售策略与定价机制；整合传播与推广计划；文旅场景应用计划等内容进行评分（最高得18分）。</w:t>
            </w:r>
          </w:p>
          <w:p w14:paraId="39454382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打分标准：</w:t>
            </w:r>
          </w:p>
          <w:p w14:paraId="2BA0D3D6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优秀：线上线下渠道架构完整、层次清晰，落地计划明确可行，销售策略与定价机制科学合理，整合传播与推广计划系统有效，文旅场景应用计划具体、可落地得(14.4,18]分；</w:t>
            </w:r>
          </w:p>
          <w:p w14:paraId="15033DD1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良好：渠道架构较为完整，落地计划较为明确，销售策略与定价机制合理，传播推广计划较系统，文旅场景应用安排较具体得(10.8,14.4]分；</w:t>
            </w:r>
          </w:p>
          <w:p w14:paraId="4F51E905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中等：渠道架构基本成型，有初步落地计划，销售策略与推广安排基本合理，文旅场景应用有一定安排得(7.2,10.8]分；</w:t>
            </w:r>
          </w:p>
          <w:p w14:paraId="3B558EE0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一般：渠道架构较为笼统，落地计划不明确，销售策略或推广安排不完整，文旅场景应用较为空泛得(3.6,7.2]分；</w:t>
            </w:r>
          </w:p>
          <w:p w14:paraId="472F3636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合格：提交了商业渠道拓展及运营相关内容，但渠道、销售或推广安排较为简略得(0,3.6]分；</w:t>
            </w:r>
          </w:p>
          <w:p w14:paraId="40485444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（6）不合格：未提交商业渠道拓展及运营相关内容。得0分。</w:t>
            </w:r>
          </w:p>
        </w:tc>
        <w:tc>
          <w:tcPr>
            <w:tcW w:w="775" w:type="dxa"/>
            <w:vAlign w:val="center"/>
          </w:tcPr>
          <w:p w14:paraId="1994CD16">
            <w:pPr>
              <w:jc w:val="center"/>
              <w:rPr>
                <w:rFonts w:hint="eastAsia" w:ascii="宋体" w:hAnsi="宋体" w:eastAsia="宋体" w:cs="宋体"/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18</w:t>
            </w:r>
          </w:p>
        </w:tc>
        <w:tc>
          <w:tcPr>
            <w:tcW w:w="1400" w:type="dxa"/>
            <w:vAlign w:val="center"/>
          </w:tcPr>
          <w:p w14:paraId="2611B835">
            <w:pPr>
              <w:jc w:val="center"/>
              <w:rPr>
                <w:rFonts w:hint="eastAsia" w:ascii="宋体" w:hAnsi="宋体" w:eastAsia="宋体" w:cs="宋体"/>
                <w:sz w:val="21"/>
                <w:szCs w:val="22"/>
              </w:rPr>
            </w:pPr>
          </w:p>
        </w:tc>
        <w:tc>
          <w:tcPr>
            <w:tcW w:w="1613" w:type="dxa"/>
            <w:vAlign w:val="center"/>
          </w:tcPr>
          <w:p w14:paraId="0B5ACDF7">
            <w:pPr>
              <w:jc w:val="center"/>
              <w:rPr>
                <w:rFonts w:hint="eastAsia" w:ascii="宋体" w:hAnsi="宋体" w:eastAsia="宋体" w:cs="宋体"/>
                <w:sz w:val="21"/>
                <w:szCs w:val="22"/>
              </w:rPr>
            </w:pPr>
          </w:p>
        </w:tc>
        <w:tc>
          <w:tcPr>
            <w:tcW w:w="1477" w:type="dxa"/>
            <w:vAlign w:val="center"/>
          </w:tcPr>
          <w:p w14:paraId="24F2217A">
            <w:pPr>
              <w:jc w:val="center"/>
              <w:rPr>
                <w:rFonts w:hint="eastAsia" w:ascii="宋体" w:hAnsi="宋体" w:eastAsia="宋体" w:cs="宋体"/>
                <w:sz w:val="21"/>
                <w:szCs w:val="22"/>
              </w:rPr>
            </w:pPr>
          </w:p>
        </w:tc>
      </w:tr>
      <w:tr w14:paraId="582FA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9" w:hRule="atLeast"/>
          <w:jc w:val="center"/>
        </w:trPr>
        <w:tc>
          <w:tcPr>
            <w:tcW w:w="457" w:type="dxa"/>
            <w:vAlign w:val="center"/>
          </w:tcPr>
          <w:p w14:paraId="0D48A0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21" w:type="dxa"/>
            <w:vAlign w:val="center"/>
          </w:tcPr>
          <w:p w14:paraId="27352C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合作机制及收益分配方案</w:t>
            </w:r>
          </w:p>
        </w:tc>
        <w:tc>
          <w:tcPr>
            <w:tcW w:w="6125" w:type="dxa"/>
            <w:vAlign w:val="center"/>
          </w:tcPr>
          <w:p w14:paraId="5D908D64">
            <w:pPr>
              <w:pStyle w:val="2"/>
              <w:numPr>
                <w:ilvl w:val="-1"/>
                <w:numId w:val="0"/>
              </w:numPr>
              <w:spacing w:after="0" w:line="280" w:lineRule="exact"/>
              <w:ind w:firstLineChars="0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一、评审标准：</w:t>
            </w:r>
          </w:p>
          <w:p w14:paraId="7AC092BA">
            <w:pPr>
              <w:pStyle w:val="2"/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对申报单位提交的合作机制、经营收入核算方式、收益分配方案与财务结算机制等内容进行评分。（最高得15分）</w:t>
            </w:r>
          </w:p>
          <w:p w14:paraId="2FD134FA">
            <w:pPr>
              <w:pStyle w:val="2"/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二、打分标准：</w:t>
            </w:r>
          </w:p>
          <w:p w14:paraId="28444968">
            <w:pPr>
              <w:pStyle w:val="2"/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（1）优秀：合作模式与投入安排的表述完整清晰，经营收入核算方式明确，收益分配方案与财务结算机制完备合理，四个要素之间的对应关系说明充分、逻辑科学得(12,15]分；</w:t>
            </w:r>
          </w:p>
          <w:p w14:paraId="6578BBDD">
            <w:pPr>
              <w:pStyle w:val="2"/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（2）良好：合作模式与投入安排表述较为完整，经营收入核算方式较为明确，收益分配与结算安排较为合理，四要素对应关系说明较清楚得(9,12]分；</w:t>
            </w:r>
          </w:p>
          <w:p w14:paraId="313FBB0D">
            <w:pPr>
              <w:pStyle w:val="2"/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（3）中等：合作模式与投入安排基本明确，经营收入核算方式有初步表述，收益分配与结算安排基本合理，四要素对应关系有说明得(6,9]分；</w:t>
            </w:r>
          </w:p>
          <w:p w14:paraId="7DB1786D">
            <w:pPr>
              <w:pStyle w:val="2"/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（4）一般：合作模式或投入安排表述不完整，经营收入核算方式不明确，收益分配与结算安排较笼统，四要素对应关系说明不足得(3,6]分；</w:t>
            </w:r>
          </w:p>
          <w:p w14:paraId="0E7415DE">
            <w:pPr>
              <w:pStyle w:val="2"/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（5）合格：提交了合作机制及收益分配相关内容，但表述较为简略、要素不够完整得(0,3]分；</w:t>
            </w:r>
          </w:p>
          <w:p w14:paraId="3F57DCA4">
            <w:pPr>
              <w:pStyle w:val="2"/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（6）不合格：未提交合作机制及收益分配方案相关内容。得0分。</w:t>
            </w:r>
          </w:p>
        </w:tc>
        <w:tc>
          <w:tcPr>
            <w:tcW w:w="775" w:type="dxa"/>
            <w:vAlign w:val="center"/>
          </w:tcPr>
          <w:p w14:paraId="7E665254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15</w:t>
            </w:r>
          </w:p>
        </w:tc>
        <w:tc>
          <w:tcPr>
            <w:tcW w:w="1400" w:type="dxa"/>
            <w:vAlign w:val="center"/>
          </w:tcPr>
          <w:p w14:paraId="491B9D2B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13" w:type="dxa"/>
            <w:vAlign w:val="center"/>
          </w:tcPr>
          <w:p w14:paraId="4C59C3E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77" w:type="dxa"/>
            <w:vAlign w:val="center"/>
          </w:tcPr>
          <w:p w14:paraId="16F15C73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4F8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 w14:paraId="3AA8D5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21" w:type="dxa"/>
            <w:vAlign w:val="center"/>
          </w:tcPr>
          <w:p w14:paraId="3525707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履约保障与风险管理</w:t>
            </w:r>
          </w:p>
        </w:tc>
        <w:tc>
          <w:tcPr>
            <w:tcW w:w="6125" w:type="dxa"/>
            <w:vAlign w:val="center"/>
          </w:tcPr>
          <w:p w14:paraId="31BF5F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评审标准：</w:t>
            </w:r>
          </w:p>
          <w:p w14:paraId="1BEC9BE0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  <w:lang w:val="en-US" w:eastAsia="zh-CN"/>
              </w:rPr>
              <w:t>对申报单位拟投入团队的构成与专业配置；内部管理制度；质量管理与舆情应急机制；退出与交接安排（终止后的资料移交、库存处理、共有知识产权留存方案）等内容进行评分。（最高得7分）</w:t>
            </w:r>
          </w:p>
          <w:p w14:paraId="1C89D7E7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  <w:lang w:val="en-US" w:eastAsia="zh-CN"/>
              </w:rPr>
              <w:t>打分标准：</w:t>
            </w:r>
          </w:p>
          <w:p w14:paraId="6548CB1B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（1）优秀：拟投入团队构成合理、专业配置完备，内部管理制度健全，质量管理与舆情应急机制完善，退出与交接安排明确可行得(5.6,7]分；</w:t>
            </w:r>
          </w:p>
          <w:p w14:paraId="4B07E471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（2）良好：团队构成与专业配置较为合理，内部管理制度较为健全，质量管理与舆情应急机制较完善，退出与交接安排较为明确得(4.2,5.6]分；</w:t>
            </w:r>
          </w:p>
          <w:p w14:paraId="3D5D4D95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（3）中等：团队构成与专业配置基本合理，内部管理制度基本建立，质量管理与舆情应急机制有初步安排，退出与交接安排基本明确得(2.8,4.2]分；</w:t>
            </w:r>
          </w:p>
          <w:p w14:paraId="7F719E3F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（4）一般：团队构成或专业配置不够合理，内部管理制度不健全，质量管理或舆情应急机制欠缺，退出与交接安排不明确得(1.4,2.8]分；</w:t>
            </w:r>
          </w:p>
          <w:p w14:paraId="09DD1802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（5）合格：提交了履约保障与风险管理相关内容，但团队、制度或应急安排较为简略得(0,1.4]分；</w:t>
            </w:r>
          </w:p>
          <w:p w14:paraId="6188FEE4">
            <w:pPr>
              <w:numPr>
                <w:ilvl w:val="0"/>
                <w:numId w:val="0"/>
              </w:numPr>
              <w:spacing w:line="280" w:lineRule="exact"/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color w:val="000000"/>
                <w:sz w:val="24"/>
                <w:shd w:val="clear" w:color="auto" w:fill="FFFFFF"/>
              </w:rPr>
              <w:t>（6）不合格：未提交履约保障与风险管理相关内容。得0分。</w:t>
            </w:r>
          </w:p>
        </w:tc>
        <w:tc>
          <w:tcPr>
            <w:tcW w:w="775" w:type="dxa"/>
            <w:vAlign w:val="center"/>
          </w:tcPr>
          <w:p w14:paraId="4249C881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7</w:t>
            </w:r>
          </w:p>
        </w:tc>
        <w:tc>
          <w:tcPr>
            <w:tcW w:w="1400" w:type="dxa"/>
            <w:vAlign w:val="center"/>
          </w:tcPr>
          <w:p w14:paraId="7BC5666B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13" w:type="dxa"/>
            <w:vAlign w:val="center"/>
          </w:tcPr>
          <w:p w14:paraId="0FF04AD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77" w:type="dxa"/>
            <w:vAlign w:val="center"/>
          </w:tcPr>
          <w:p w14:paraId="6AEF486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7646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478" w:type="dxa"/>
            <w:gridSpan w:val="4"/>
            <w:vAlign w:val="center"/>
          </w:tcPr>
          <w:p w14:paraId="6E33DB7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总 分</w:t>
            </w: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100分</w:t>
            </w: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）</w:t>
            </w:r>
          </w:p>
        </w:tc>
        <w:tc>
          <w:tcPr>
            <w:tcW w:w="1400" w:type="dxa"/>
            <w:vAlign w:val="center"/>
          </w:tcPr>
          <w:p w14:paraId="455B1115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13" w:type="dxa"/>
            <w:vAlign w:val="center"/>
          </w:tcPr>
          <w:p w14:paraId="18F707CD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477" w:type="dxa"/>
            <w:vAlign w:val="center"/>
          </w:tcPr>
          <w:p w14:paraId="4BD9C22E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C3E1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  <w:jc w:val="center"/>
        </w:trPr>
        <w:tc>
          <w:tcPr>
            <w:tcW w:w="457" w:type="dxa"/>
            <w:vAlign w:val="center"/>
          </w:tcPr>
          <w:p w14:paraId="67E8507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评审意见</w:t>
            </w:r>
          </w:p>
        </w:tc>
        <w:tc>
          <w:tcPr>
            <w:tcW w:w="8021" w:type="dxa"/>
            <w:gridSpan w:val="3"/>
            <w:vAlign w:val="center"/>
          </w:tcPr>
          <w:p w14:paraId="6FEB5AF7">
            <w:pPr>
              <w:jc w:val="center"/>
              <w:rPr>
                <w:rFonts w:hint="eastAsia" w:ascii="宋体" w:hAnsi="宋体" w:eastAsia="宋体" w:cs="宋体"/>
              </w:rPr>
            </w:pPr>
          </w:p>
          <w:p w14:paraId="350BAC6C">
            <w:pPr>
              <w:jc w:val="center"/>
              <w:rPr>
                <w:rFonts w:hint="eastAsia" w:ascii="宋体" w:hAnsi="宋体" w:eastAsia="宋体" w:cs="宋体"/>
              </w:rPr>
            </w:pPr>
          </w:p>
          <w:p w14:paraId="0A9F3508">
            <w:pPr>
              <w:jc w:val="both"/>
              <w:rPr>
                <w:rFonts w:hint="eastAsia" w:ascii="宋体" w:hAnsi="宋体" w:eastAsia="宋体" w:cs="宋体"/>
              </w:rPr>
            </w:pPr>
          </w:p>
          <w:p w14:paraId="71FB165F">
            <w:pPr>
              <w:jc w:val="center"/>
              <w:rPr>
                <w:rFonts w:hint="eastAsia" w:ascii="宋体" w:hAnsi="宋体" w:eastAsia="宋体" w:cs="宋体"/>
              </w:rPr>
            </w:pPr>
          </w:p>
          <w:p w14:paraId="1329A771">
            <w:pPr>
              <w:ind w:right="1680" w:firstLine="4620" w:firstLineChars="220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签名：               </w:t>
            </w:r>
          </w:p>
          <w:p w14:paraId="11E7A2DD">
            <w:pPr>
              <w:ind w:right="1260"/>
              <w:jc w:val="right"/>
              <w:rPr>
                <w:rFonts w:hint="eastAsia" w:ascii="宋体" w:hAnsi="宋体" w:eastAsia="宋体" w:cs="宋体"/>
              </w:rPr>
            </w:pPr>
          </w:p>
          <w:p w14:paraId="5E394544">
            <w:pPr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    月    日</w:t>
            </w:r>
          </w:p>
        </w:tc>
        <w:tc>
          <w:tcPr>
            <w:tcW w:w="1400" w:type="dxa"/>
            <w:vAlign w:val="center"/>
          </w:tcPr>
          <w:p w14:paraId="68559A63">
            <w:pPr>
              <w:jc w:val="right"/>
              <w:rPr>
                <w:rFonts w:hint="eastAsia" w:ascii="宋体" w:hAnsi="宋体" w:eastAsia="宋体" w:cs="宋体"/>
              </w:rPr>
            </w:pPr>
          </w:p>
        </w:tc>
        <w:tc>
          <w:tcPr>
            <w:tcW w:w="1613" w:type="dxa"/>
            <w:vAlign w:val="center"/>
          </w:tcPr>
          <w:p w14:paraId="311E954E">
            <w:pPr>
              <w:jc w:val="right"/>
              <w:rPr>
                <w:rFonts w:hint="eastAsia" w:ascii="宋体" w:hAnsi="宋体" w:eastAsia="宋体" w:cs="宋体"/>
              </w:rPr>
            </w:pPr>
          </w:p>
        </w:tc>
        <w:tc>
          <w:tcPr>
            <w:tcW w:w="1477" w:type="dxa"/>
            <w:vAlign w:val="center"/>
          </w:tcPr>
          <w:p w14:paraId="338DB933">
            <w:pPr>
              <w:jc w:val="right"/>
              <w:rPr>
                <w:rFonts w:hint="eastAsia" w:ascii="宋体" w:hAnsi="宋体" w:eastAsia="宋体" w:cs="宋体"/>
              </w:rPr>
            </w:pPr>
          </w:p>
        </w:tc>
      </w:tr>
    </w:tbl>
    <w:p w14:paraId="5A9E6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right="0"/>
        <w:jc w:val="left"/>
        <w:textAlignment w:val="auto"/>
        <w:rPr>
          <w:rFonts w:hint="default" w:ascii="FreeSerif" w:hAnsi="FreeSerif" w:eastAsia="仿宋_GB2312" w:cs="FreeSerif"/>
          <w:spacing w:val="0"/>
          <w:kern w:val="0"/>
          <w:sz w:val="32"/>
          <w:szCs w:val="32"/>
          <w:lang w:val="en-US" w:eastAsia="zh-CN" w:bidi="zh-CN"/>
        </w:rPr>
      </w:pPr>
    </w:p>
    <w:p w14:paraId="2699B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60" w:lineRule="exact"/>
        <w:ind w:right="0" w:firstLine="640" w:firstLineChars="200"/>
        <w:jc w:val="left"/>
        <w:textAlignment w:val="auto"/>
        <w:rPr>
          <w:rFonts w:hint="default" w:ascii="FreeSerif" w:hAnsi="FreeSerif" w:eastAsia="仿宋_GB2312" w:cs="FreeSerif"/>
          <w:spacing w:val="0"/>
          <w:kern w:val="0"/>
          <w:sz w:val="32"/>
          <w:szCs w:val="32"/>
          <w:lang w:val="en-US" w:eastAsia="zh-CN" w:bidi="zh-CN"/>
        </w:rPr>
        <w:sectPr>
          <w:footerReference r:id="rId3" w:type="default"/>
          <w:pgSz w:w="16838" w:h="11906" w:orient="landscape"/>
          <w:pgMar w:top="1587" w:right="2098" w:bottom="1474" w:left="1984" w:header="851" w:footer="992" w:gutter="0"/>
          <w:pgNumType w:fmt="decimal"/>
          <w:cols w:space="425" w:num="1"/>
          <w:docGrid w:type="lines" w:linePitch="312" w:charSpace="0"/>
        </w:sectPr>
      </w:pPr>
    </w:p>
    <w:p w14:paraId="6D69E55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20" w:lineRule="exact"/>
        <w:jc w:val="left"/>
        <w:textAlignment w:val="auto"/>
        <w:rPr>
          <w:rFonts w:hint="default" w:ascii="FreeSerif" w:hAnsi="FreeSerif" w:eastAsia="黑体" w:cs="FreeSerif"/>
          <w:b w:val="0"/>
          <w:bCs w:val="0"/>
          <w:sz w:val="32"/>
          <w:szCs w:val="32"/>
          <w:lang w:val="en-US" w:eastAsia="zh-CN"/>
        </w:rPr>
      </w:pPr>
      <w:r>
        <w:rPr>
          <w:rFonts w:hint="default" w:ascii="FreeSerif" w:hAnsi="FreeSerif" w:eastAsia="黑体" w:cs="FreeSerif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FreeSerif" w:hAnsi="FreeSerif" w:eastAsia="黑体" w:cs="FreeSerif"/>
          <w:b w:val="0"/>
          <w:bCs w:val="0"/>
          <w:sz w:val="32"/>
          <w:szCs w:val="32"/>
          <w:lang w:val="en-US" w:eastAsia="zh-CN"/>
        </w:rPr>
        <w:t>2</w:t>
      </w:r>
    </w:p>
    <w:p w14:paraId="04A46BF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textAlignment w:val="auto"/>
        <w:rPr>
          <w:rFonts w:hint="default" w:ascii="FreeSerif" w:hAnsi="FreeSerif" w:eastAsia="方正小标宋简体" w:cs="FreeSerif"/>
          <w:b w:val="0"/>
          <w:bCs w:val="0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 w:val="0"/>
          <w:bCs w:val="0"/>
          <w:sz w:val="44"/>
          <w:szCs w:val="44"/>
          <w:lang w:val="en-US" w:eastAsia="zh-CN"/>
        </w:rPr>
        <w:t>供应商基本情况表</w:t>
      </w:r>
    </w:p>
    <w:p w14:paraId="3FA28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textAlignment w:val="auto"/>
        <w:rPr>
          <w:rFonts w:hint="default" w:ascii="FreeSerif" w:hAnsi="FreeSerif" w:eastAsia="方正仿宋_GBK" w:cs="FreeSerif"/>
          <w:sz w:val="28"/>
          <w:szCs w:val="28"/>
          <w:lang w:val="en-US" w:eastAsia="zh-CN"/>
        </w:rPr>
      </w:pPr>
    </w:p>
    <w:p w14:paraId="55F27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textAlignment w:val="auto"/>
        <w:rPr>
          <w:rFonts w:hint="default" w:ascii="FreeSerif" w:hAnsi="FreeSerif" w:eastAsia="方正仿宋_GBK" w:cs="FreeSerif"/>
          <w:sz w:val="28"/>
          <w:szCs w:val="28"/>
          <w:lang w:val="en-US" w:eastAsia="zh-CN"/>
        </w:rPr>
      </w:pPr>
      <w:r>
        <w:rPr>
          <w:rFonts w:hint="default" w:ascii="FreeSerif" w:hAnsi="FreeSerif" w:eastAsia="方正仿宋_GBK" w:cs="FreeSerif"/>
          <w:sz w:val="28"/>
          <w:szCs w:val="28"/>
          <w:lang w:val="en-US" w:eastAsia="zh-CN"/>
        </w:rPr>
        <w:t>填表单位：（加盖单位公章）</w:t>
      </w:r>
      <w:r>
        <w:rPr>
          <w:rFonts w:hint="default" w:ascii="FreeSerif" w:hAnsi="FreeSerif" w:eastAsia="方正仿宋_GBK" w:cs="FreeSerif"/>
          <w:sz w:val="28"/>
          <w:szCs w:val="28"/>
          <w:lang w:val="en-US" w:eastAsia="zh-CN"/>
        </w:rPr>
        <w:tab/>
      </w:r>
      <w:r>
        <w:rPr>
          <w:rFonts w:hint="default" w:ascii="FreeSerif" w:hAnsi="FreeSerif" w:eastAsia="方正仿宋_GBK" w:cs="FreeSerif"/>
          <w:sz w:val="28"/>
          <w:szCs w:val="28"/>
          <w:lang w:val="en-US" w:eastAsia="zh-CN"/>
        </w:rPr>
        <w:tab/>
      </w:r>
      <w:r>
        <w:rPr>
          <w:rFonts w:hint="default" w:ascii="FreeSerif" w:hAnsi="FreeSerif" w:eastAsia="方正仿宋_GBK" w:cs="FreeSerif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15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 w14:paraId="5C193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 w14:paraId="644ED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70F26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 w14:paraId="58729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 w14:paraId="2AFC7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FDF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12" w:type="dxa"/>
            <w:gridSpan w:val="2"/>
            <w:noWrap w:val="0"/>
            <w:vAlign w:val="center"/>
          </w:tcPr>
          <w:p w14:paraId="3458D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121A1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 w14:paraId="30DA1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 w14:paraId="23108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0B29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 w14:paraId="738CF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 w14:paraId="389B7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 w14:paraId="02FD7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A0ED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 w:val="0"/>
            <w:vAlign w:val="center"/>
          </w:tcPr>
          <w:p w14:paraId="18D6F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B1D1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 w14:paraId="5BA18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 w14:paraId="5097B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 w14:paraId="55641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 w14:paraId="0DB5A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 w14:paraId="04CA2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95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5C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default" w:ascii="FreeSerif" w:hAnsi="FreeSerif" w:eastAsia="方正仿宋_GBK" w:cs="FreeSerif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BE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EF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C2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8E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6CA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8F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E4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0B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03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90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11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462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 w14:paraId="1B184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lang w:bidi="ar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0AF5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 w:val="0"/>
            <w:vAlign w:val="center"/>
          </w:tcPr>
          <w:p w14:paraId="323ED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BDDF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 w14:paraId="3CF34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 w14:paraId="302FB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9E5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 w14:paraId="5CCE6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lang w:bidi="ar"/>
              </w:rPr>
              <w:t>4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 w14:paraId="797AD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47" w:type="dxa"/>
            <w:noWrap w:val="0"/>
            <w:vAlign w:val="center"/>
          </w:tcPr>
          <w:p w14:paraId="14099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 w14:paraId="53EC7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3365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2F04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DB4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 w14:paraId="0E61A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afterLines="0"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lang w:bidi="ar"/>
              </w:rPr>
              <w:t>5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 w14:paraId="7AA000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</w:rPr>
              <w:t>投标文件</w:t>
            </w: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lang w:eastAsia="zh-CN"/>
              </w:rPr>
              <w:t>编制人员</w:t>
            </w:r>
          </w:p>
        </w:tc>
        <w:tc>
          <w:tcPr>
            <w:tcW w:w="947" w:type="dxa"/>
            <w:noWrap w:val="0"/>
            <w:vAlign w:val="center"/>
          </w:tcPr>
          <w:p w14:paraId="61415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 w14:paraId="7A841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0524F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3914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471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 w14:paraId="6D38F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 w14:paraId="66EB1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41" w:type="dxa"/>
            <w:gridSpan w:val="8"/>
            <w:noWrap w:val="0"/>
            <w:vAlign w:val="center"/>
          </w:tcPr>
          <w:p w14:paraId="5F640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 w14:paraId="2B7B5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 w14:paraId="2F854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B778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646F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3885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3EB92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22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75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F6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5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left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7D84B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28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FreeSerif" w:hAnsi="FreeSerif" w:eastAsia="方正仿宋_GBK" w:cs="FreeSerif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6F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81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56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 w14:paraId="4BE0D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B5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default" w:ascii="FreeSerif" w:hAnsi="FreeSerif" w:eastAsia="方正仿宋_GBK" w:cs="FreeSerif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 w14:paraId="667B8FF9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 w14:paraId="62EEFE2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20" w:lineRule="exact"/>
        <w:jc w:val="left"/>
        <w:textAlignment w:val="auto"/>
        <w:rPr>
          <w:rFonts w:hint="default" w:ascii="FreeSerif" w:hAnsi="FreeSerif" w:eastAsia="黑体" w:cs="FreeSerif"/>
          <w:b w:val="0"/>
          <w:bCs w:val="0"/>
          <w:sz w:val="32"/>
          <w:szCs w:val="32"/>
          <w:lang w:val="en-US" w:eastAsia="zh-CN"/>
        </w:rPr>
      </w:pPr>
      <w:r>
        <w:rPr>
          <w:rFonts w:hint="default" w:ascii="FreeSerif" w:hAnsi="FreeSerif" w:eastAsia="黑体" w:cs="FreeSerif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FreeSerif" w:hAnsi="FreeSerif" w:eastAsia="黑体" w:cs="FreeSerif"/>
          <w:b w:val="0"/>
          <w:bCs w:val="0"/>
          <w:sz w:val="32"/>
          <w:szCs w:val="32"/>
          <w:lang w:val="en-US" w:eastAsia="zh-CN"/>
        </w:rPr>
        <w:t>3</w:t>
      </w:r>
    </w:p>
    <w:p w14:paraId="2E6436E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textAlignment w:val="auto"/>
        <w:rPr>
          <w:rFonts w:hint="default" w:ascii="FreeSerif" w:hAnsi="FreeSerif" w:eastAsia="方正小标宋简体" w:cs="FreeSerif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FreeSerif" w:hAnsi="FreeSerif" w:eastAsia="方正小标宋简体" w:cs="FreeSerif"/>
          <w:b w:val="0"/>
          <w:bCs w:val="0"/>
          <w:sz w:val="44"/>
          <w:szCs w:val="44"/>
          <w:lang w:val="en-US" w:eastAsia="zh-CN"/>
        </w:rPr>
        <w:t>响应承诺函</w:t>
      </w:r>
    </w:p>
    <w:p w14:paraId="6D1EF8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767814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深圳市文化广电旅游体育局：</w:t>
      </w:r>
    </w:p>
    <w:p w14:paraId="4BBC5C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我单位自愿参与深圳文旅IP吉祥物衍生开发及市场化运营项目申报，已充分了解并认可本项目相关要求，郑重承诺：</w:t>
      </w:r>
    </w:p>
    <w:p w14:paraId="4523A6B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一、我单位对本项目的合作模式、授权安排、投入要求、收益机制、考核指标及知识产权管理等相关要求均予以认可，并承诺严格遵守。</w:t>
      </w:r>
    </w:p>
    <w:p w14:paraId="6B3339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二、我单位保证所提交的申报材料真实、准确、完整。如获选为项目运营方，将按照项目相关要求及正式签订的合同约定，切实履行各项义务，接受项目监督、管理及考核，并承担相应责任。</w:t>
      </w:r>
    </w:p>
    <w:p w14:paraId="436551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特此承诺。</w:t>
      </w:r>
    </w:p>
    <w:p w14:paraId="4D6CA1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</w:p>
    <w:p w14:paraId="1C2CAE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</w:p>
    <w:p w14:paraId="11F70C9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申报单位（盖章）：________________</w:t>
      </w:r>
    </w:p>
    <w:p w14:paraId="0CA523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</w:p>
    <w:p w14:paraId="65272E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法定代表人或授权代表（签字）：________________</w:t>
      </w:r>
    </w:p>
    <w:p w14:paraId="514AA3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日期：______年______月______日</w:t>
      </w:r>
    </w:p>
    <w:p w14:paraId="04252C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560" w:firstLineChars="200"/>
        <w:textAlignment w:val="auto"/>
        <w:rPr>
          <w:rFonts w:hint="default"/>
          <w:lang w:val="en-US" w:eastAsia="zh-CN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reeSerif">
    <w:altName w:val="Segoe Print"/>
    <w:panose1 w:val="02020603050405020304"/>
    <w:charset w:val="00"/>
    <w:family w:val="auto"/>
    <w:pitch w:val="default"/>
    <w:sig w:usb0="00000000" w:usb1="00000000" w:usb2="43501B29" w:usb3="04000043" w:csb0="6001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69AE5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AA1C89"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-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AA1C89"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-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D39D6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D0B8F7"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-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D0B8F7"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-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F2DB7"/>
    <w:rsid w:val="31A4D165"/>
    <w:rsid w:val="3B3FF63B"/>
    <w:rsid w:val="3E8BD0B2"/>
    <w:rsid w:val="3FD329BF"/>
    <w:rsid w:val="5B6DEB07"/>
    <w:rsid w:val="69927300"/>
    <w:rsid w:val="6BFFE974"/>
    <w:rsid w:val="6F6D1EF6"/>
    <w:rsid w:val="6FFE01BD"/>
    <w:rsid w:val="70EC5422"/>
    <w:rsid w:val="7769D498"/>
    <w:rsid w:val="77F3697A"/>
    <w:rsid w:val="7D85A631"/>
    <w:rsid w:val="7EE7B5BA"/>
    <w:rsid w:val="7F970D89"/>
    <w:rsid w:val="7FD3981E"/>
    <w:rsid w:val="7FFF94E3"/>
    <w:rsid w:val="A70F2D06"/>
    <w:rsid w:val="A7AF288D"/>
    <w:rsid w:val="D3AB631B"/>
    <w:rsid w:val="DABA7EBB"/>
    <w:rsid w:val="F4BF169C"/>
    <w:rsid w:val="F76FB6B8"/>
    <w:rsid w:val="FEFFBE3E"/>
    <w:rsid w:val="FFAD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after="120" w:line="360" w:lineRule="auto"/>
      <w:ind w:left="420" w:leftChars="200" w:firstLine="420" w:firstLineChars="200"/>
    </w:pPr>
    <w:rPr>
      <w:rFonts w:ascii="Calibri" w:hAnsi="Calibri"/>
      <w:szCs w:val="21"/>
    </w:rPr>
  </w:style>
  <w:style w:type="paragraph" w:styleId="3">
    <w:name w:val="Body Text Indent"/>
    <w:basedOn w:val="1"/>
    <w:qFormat/>
    <w:uiPriority w:val="99"/>
    <w:pPr>
      <w:ind w:firstLine="900"/>
    </w:pPr>
    <w:rPr>
      <w:sz w:val="28"/>
      <w:szCs w:val="20"/>
    </w:rPr>
  </w:style>
  <w:style w:type="paragraph" w:styleId="6">
    <w:name w:val="Normal Indent"/>
    <w:basedOn w:val="1"/>
    <w:next w:val="7"/>
    <w:qFormat/>
    <w:uiPriority w:val="99"/>
    <w:pPr>
      <w:ind w:firstLine="420" w:firstLineChars="200"/>
    </w:p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Title"/>
    <w:basedOn w:val="1"/>
    <w:next w:val="1"/>
    <w:qFormat/>
    <w:uiPriority w:val="0"/>
    <w:pPr>
      <w:widowControl w:val="0"/>
      <w:spacing w:before="240" w:after="60" w:line="276" w:lineRule="auto"/>
      <w:jc w:val="center"/>
      <w:outlineLvl w:val="0"/>
    </w:pPr>
    <w:rPr>
      <w:rFonts w:ascii="Cambria" w:hAnsi="Cambria"/>
      <w:b/>
      <w:bCs/>
      <w:kern w:val="2"/>
      <w:sz w:val="32"/>
      <w:szCs w:val="32"/>
      <w:lang w:val="en-US" w:eastAsia="zh-CN" w:bidi="ar-SA"/>
    </w:r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3">
    <w:name w:val="Normal (Web)"/>
    <w:basedOn w:val="1"/>
    <w:qFormat/>
    <w:uiPriority w:val="0"/>
    <w:rPr>
      <w:sz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457</Words>
  <Characters>471</Characters>
  <Lines>0</Lines>
  <Paragraphs>0</Paragraphs>
  <TotalTime>8</TotalTime>
  <ScaleCrop>false</ScaleCrop>
  <LinksUpToDate>false</LinksUpToDate>
  <CharactersWithSpaces>471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2026-10-14T00:05:00Z</dcterms:created>
  <dc:creator>ljiashan</dc:creator>
  <cp:lastModifiedBy>lenovo</cp:lastModifiedBy>
  <dcterms:modified xsi:type="dcterms:W3CDTF">2026-10-22T09:00:25Z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F4C971E3D23F35A6F696CC6AC8D040FB_42</vt:lpwstr>
  </property>
  <property fmtid="{D5CDD505-2E9C-101B-9397-08002B2CF9AE}" pid="4" name="KSOTemplateDocerSaveRecord">
    <vt:lpwstr>eyJoZGlkIjoiNjFkY2I4ZTFmZWIzZDcyNjRhYjBiMzRhNmQ4NWM3MDgiLCJ1c2VySWQiOiIxNTY4NDc2MjkzIn0=</vt:lpwstr>
  </property>
</Properties>
</file>