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b/>
          <w:bCs/>
          <w:sz w:val="32"/>
          <w:szCs w:val="32"/>
          <w:lang w:val="en-US" w:eastAsia="zh-CN"/>
        </w:rPr>
      </w:pPr>
      <w:bookmarkStart w:id="0" w:name="_GoBack"/>
      <w:r>
        <w:rPr>
          <w:rFonts w:hint="default" w:ascii="仿宋" w:hAnsi="仿宋" w:eastAsia="仿宋" w:cs="仿宋"/>
          <w:b/>
          <w:bCs/>
          <w:sz w:val="32"/>
          <w:szCs w:val="32"/>
          <w:lang w:val="en-US" w:eastAsia="zh-CN"/>
        </w:rPr>
        <w:t>《深圳市文化广电旅游体育局文化产业发展专项资金扶持计划操作规程（征求意见稿）》意见采纳情况表</w:t>
      </w:r>
    </w:p>
    <w:bookmarkEnd w:id="0"/>
    <w:tbl>
      <w:tblPr>
        <w:tblStyle w:val="2"/>
        <w:tblpPr w:leftFromText="180" w:rightFromText="180" w:vertAnchor="text" w:horzAnchor="page" w:tblpX="1846" w:tblpY="139"/>
        <w:tblOverlap w:val="never"/>
        <w:tblW w:w="8644" w:type="dxa"/>
        <w:tblInd w:w="0" w:type="dxa"/>
        <w:shd w:val="clear" w:color="auto" w:fill="auto"/>
        <w:tblLayout w:type="fixed"/>
        <w:tblCellMar>
          <w:top w:w="0" w:type="dxa"/>
          <w:left w:w="0" w:type="dxa"/>
          <w:bottom w:w="0" w:type="dxa"/>
          <w:right w:w="0" w:type="dxa"/>
        </w:tblCellMar>
      </w:tblPr>
      <w:tblGrid>
        <w:gridCol w:w="1566"/>
        <w:gridCol w:w="5344"/>
        <w:gridCol w:w="1734"/>
      </w:tblGrid>
      <w:tr>
        <w:tblPrEx>
          <w:shd w:val="clear" w:color="auto" w:fill="auto"/>
          <w:tblCellMar>
            <w:top w:w="0" w:type="dxa"/>
            <w:left w:w="0" w:type="dxa"/>
            <w:bottom w:w="0" w:type="dxa"/>
            <w:right w:w="0" w:type="dxa"/>
          </w:tblCellMar>
        </w:tblPrEx>
        <w:trPr>
          <w:trHeight w:val="570"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5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意见</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采纳情况</w:t>
            </w:r>
          </w:p>
        </w:tc>
      </w:tr>
      <w:tr>
        <w:tblPrEx>
          <w:shd w:val="clear" w:color="auto" w:fill="auto"/>
          <w:tblCellMar>
            <w:top w:w="0" w:type="dxa"/>
            <w:left w:w="0" w:type="dxa"/>
            <w:bottom w:w="0" w:type="dxa"/>
            <w:right w:w="0" w:type="dxa"/>
          </w:tblCellMar>
        </w:tblPrEx>
        <w:trPr>
          <w:trHeight w:val="2172"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深圳市服务贸易协会</w:t>
            </w:r>
          </w:p>
        </w:tc>
        <w:tc>
          <w:tcPr>
            <w:tcW w:w="5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第十五条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希望加强企业参加境外文化类展会的支持力度，扩大受资助展会目录。德国科隆国际游戏展是世界三大娱乐展之一。据调研，以腾讯为代表的深圳游戏企业，每年有30多家企业参展，该展影响力大，参展效果好。建议将该展列入展会目录内，支持我市游戏企业走出去。</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采纳</w:t>
            </w:r>
          </w:p>
        </w:tc>
      </w:tr>
      <w:tr>
        <w:tblPrEx>
          <w:shd w:val="clear" w:color="auto" w:fill="auto"/>
          <w:tblCellMar>
            <w:top w:w="0" w:type="dxa"/>
            <w:left w:w="0" w:type="dxa"/>
            <w:bottom w:w="0" w:type="dxa"/>
            <w:right w:w="0" w:type="dxa"/>
          </w:tblCellMar>
        </w:tblPrEx>
        <w:trPr>
          <w:trHeight w:val="1024"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丝路视觉科技股份有限公司</w:t>
            </w:r>
          </w:p>
        </w:tc>
        <w:tc>
          <w:tcPr>
            <w:tcW w:w="5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四条（五）申报主体提交的增加值、营业收入、纳税金额等经营指标数据，与报送市统计部门的数据相一致。建议修改为“与经审计的企业年度财务报告相一致”。说明：统计部门数据截止时间为3月底，企业年度审计报告一般于3-5月完成，经常因第三方审计要求调整的原因，企业营收、利润等数据，审计报告与统计数据有一定的差异。</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采纳</w:t>
            </w:r>
          </w:p>
        </w:tc>
      </w:tr>
      <w:tr>
        <w:tblPrEx>
          <w:shd w:val="clear" w:color="auto" w:fill="auto"/>
          <w:tblCellMar>
            <w:top w:w="0" w:type="dxa"/>
            <w:left w:w="0" w:type="dxa"/>
            <w:bottom w:w="0" w:type="dxa"/>
            <w:right w:w="0" w:type="dxa"/>
          </w:tblCellMar>
        </w:tblPrEx>
        <w:trPr>
          <w:trHeight w:val="1747"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艺展中心文化产业园区</w:t>
            </w:r>
          </w:p>
        </w:tc>
        <w:tc>
          <w:tcPr>
            <w:tcW w:w="5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第十条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商铺类用房不得享受房租补贴。</w:t>
            </w:r>
            <w:r>
              <w:rPr>
                <w:rFonts w:hint="eastAsia" w:ascii="仿宋" w:hAnsi="仿宋" w:eastAsia="仿宋" w:cs="仿宋"/>
                <w:sz w:val="28"/>
                <w:szCs w:val="28"/>
                <w:lang w:eastAsia="zh-CN"/>
              </w:rPr>
              <w:t>有些园区</w:t>
            </w:r>
            <w:r>
              <w:rPr>
                <w:rFonts w:hint="eastAsia" w:ascii="仿宋" w:hAnsi="仿宋" w:eastAsia="仿宋" w:cs="仿宋"/>
                <w:sz w:val="28"/>
                <w:szCs w:val="28"/>
              </w:rPr>
              <w:t>入驻企业办公与</w:t>
            </w:r>
            <w:r>
              <w:rPr>
                <w:rFonts w:hint="eastAsia" w:ascii="仿宋" w:hAnsi="仿宋" w:eastAsia="仿宋" w:cs="仿宋"/>
                <w:sz w:val="28"/>
                <w:szCs w:val="28"/>
                <w:lang w:eastAsia="zh-CN"/>
              </w:rPr>
              <w:t>商业</w:t>
            </w:r>
            <w:r>
              <w:rPr>
                <w:rFonts w:hint="eastAsia" w:ascii="仿宋" w:hAnsi="仿宋" w:eastAsia="仿宋" w:cs="仿宋"/>
                <w:sz w:val="28"/>
                <w:szCs w:val="28"/>
              </w:rPr>
              <w:t>展示为一体的，希望能予以考虑补贴</w:t>
            </w:r>
            <w:r>
              <w:rPr>
                <w:rFonts w:hint="eastAsia" w:ascii="仿宋" w:hAnsi="仿宋" w:eastAsia="仿宋" w:cs="仿宋"/>
                <w:sz w:val="28"/>
                <w:szCs w:val="28"/>
                <w:lang w:eastAsia="zh-CN"/>
              </w:rPr>
              <w:t>。</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未采纳。仅对办公用房给予补贴。</w:t>
            </w:r>
          </w:p>
        </w:tc>
      </w:tr>
      <w:tr>
        <w:tblPrEx>
          <w:shd w:val="clear" w:color="auto" w:fill="auto"/>
          <w:tblCellMar>
            <w:top w:w="0" w:type="dxa"/>
            <w:left w:w="0" w:type="dxa"/>
            <w:bottom w:w="0" w:type="dxa"/>
            <w:right w:w="0" w:type="dxa"/>
          </w:tblCellMar>
        </w:tblPrEx>
        <w:trPr>
          <w:trHeight w:val="4595" w:hRule="atLeast"/>
        </w:trPr>
        <w:tc>
          <w:tcPr>
            <w:tcW w:w="1566"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深圳天际云数字技术有限公司</w:t>
            </w:r>
          </w:p>
        </w:tc>
        <w:tc>
          <w:tcPr>
            <w:tcW w:w="5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第六条  此处税负率达10%，纳税门槛过高。一般来说，文化行业的利润率一般在7-10%之间，在经营非常好的情况下，税负率最多只能达到5.7%左右，一般在4.8%左右。另外，文化类企业所得税方面还有相应的优惠政策，比如拥有国家高新企业、双软企业、动漫企业等资质的企业，还能够享受增值税所得税方面的减免优惠政策，减免完后实际缴纳的税额将更少。望有所修改。</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采纳</w:t>
            </w:r>
          </w:p>
        </w:tc>
      </w:tr>
      <w:tr>
        <w:tblPrEx>
          <w:shd w:val="clear" w:color="auto" w:fill="auto"/>
          <w:tblCellMar>
            <w:top w:w="0" w:type="dxa"/>
            <w:left w:w="0" w:type="dxa"/>
            <w:bottom w:w="0" w:type="dxa"/>
            <w:right w:w="0" w:type="dxa"/>
          </w:tblCellMar>
        </w:tblPrEx>
        <w:trPr>
          <w:trHeight w:val="4277"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李亮（</w:t>
            </w:r>
            <w:r>
              <w:rPr>
                <w:rFonts w:hint="eastAsia" w:ascii="仿宋" w:hAnsi="仿宋" w:eastAsia="仿宋" w:cs="仿宋"/>
                <w:color w:val="auto"/>
                <w:sz w:val="28"/>
                <w:szCs w:val="28"/>
              </w:rPr>
              <w:t>南山区深云村</w:t>
            </w:r>
            <w:r>
              <w:rPr>
                <w:rFonts w:hint="eastAsia" w:ascii="仿宋" w:hAnsi="仿宋" w:eastAsia="仿宋" w:cs="仿宋"/>
                <w:color w:val="auto"/>
                <w:sz w:val="28"/>
                <w:szCs w:val="28"/>
                <w:lang w:val="en-US" w:eastAsia="zh-CN"/>
              </w:rPr>
              <w:t>）</w:t>
            </w:r>
          </w:p>
        </w:tc>
        <w:tc>
          <w:tcPr>
            <w:tcW w:w="5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建议一：增加公共服务平台提升项目。建议二：第十二条的资助条件“平台已建成（建成2年内）运营”适当放宽。理由有：服务平台都是投入大，见效慢的项目，对文化产业的快速发展起到技术引领和示范作用，是不可或缺的，需要政府长期的扶持和支持，也有利于文化产业的长期持续健康发展。</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未采纳。《操作规程》依据《深圳市文化产业发展专项资金资助办法》而制定，只对政策相关条文作细化规定，不能突破政策。</w:t>
            </w:r>
          </w:p>
        </w:tc>
      </w:tr>
      <w:tr>
        <w:tblPrEx>
          <w:shd w:val="clear" w:color="auto" w:fill="auto"/>
          <w:tblCellMar>
            <w:top w:w="0" w:type="dxa"/>
            <w:left w:w="0" w:type="dxa"/>
            <w:bottom w:w="0" w:type="dxa"/>
            <w:right w:w="0" w:type="dxa"/>
          </w:tblCellMar>
        </w:tblPrEx>
        <w:trPr>
          <w:trHeight w:val="3297"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王秋琼</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宝安区新安街道易尚创意科技大厦23层</w:t>
            </w:r>
            <w:r>
              <w:rPr>
                <w:rFonts w:hint="eastAsia" w:ascii="仿宋" w:hAnsi="仿宋" w:eastAsia="仿宋" w:cs="仿宋"/>
                <w:color w:val="auto"/>
                <w:sz w:val="28"/>
                <w:szCs w:val="28"/>
                <w:lang w:eastAsia="zh-CN"/>
              </w:rPr>
              <w:t>）</w:t>
            </w:r>
          </w:p>
        </w:tc>
        <w:tc>
          <w:tcPr>
            <w:tcW w:w="5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第九条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建议是否可仅对营收及地方财力贡献金额设置金额标准，若存在公司连年稳定发展，收入及地方财力贡献均能达标，但仅因增速未超30%则无法享受补贴，对存在此类情况的企业则无法达到预期激励支持作用。</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未采纳。《操作规程》依据《深圳市文化产业发展专项资金资助办法》而制定，只对政策相关条文作细化规定，不能突破政策。</w:t>
            </w:r>
          </w:p>
        </w:tc>
      </w:tr>
      <w:tr>
        <w:tblPrEx>
          <w:shd w:val="clear" w:color="auto" w:fill="auto"/>
          <w:tblCellMar>
            <w:top w:w="0" w:type="dxa"/>
            <w:left w:w="0" w:type="dxa"/>
            <w:bottom w:w="0" w:type="dxa"/>
            <w:right w:w="0" w:type="dxa"/>
          </w:tblCellMar>
        </w:tblPrEx>
        <w:trPr>
          <w:trHeight w:val="3297"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深圳市非遗生活文化产业研究院</w:t>
            </w:r>
          </w:p>
        </w:tc>
        <w:tc>
          <w:tcPr>
            <w:tcW w:w="5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1.建议在第二条具体项目中单独添加“非物质文化遗产产业项目”。2.建议将规程的第三章第八条第（一）中第3项内容调整为“项目在实施期内，且已发生的实际投资额占计划投资额的20%以上”。3。</w:t>
            </w:r>
            <w:r>
              <w:rPr>
                <w:rFonts w:hint="eastAsia" w:ascii="仿宋" w:hAnsi="仿宋" w:eastAsia="仿宋" w:cs="仿宋"/>
                <w:sz w:val="28"/>
                <w:szCs w:val="28"/>
                <w:lang w:val="en-US" w:eastAsia="zh-CN"/>
              </w:rPr>
              <w:t>建议将规程中第三章第八条第（二）条，内容更改为“资助标准：按最高不超过项目实际投资额50%比例予以资助。</w:t>
            </w:r>
          </w:p>
        </w:tc>
        <w:tc>
          <w:tcPr>
            <w:tcW w:w="1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未采纳。《操作规程》依据《深圳市文化产业发展专项资金资助办法》而制定，只对政策相关条文作细化规定，不能突破政策。</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8143C"/>
    <w:rsid w:val="0D113E43"/>
    <w:rsid w:val="0F430294"/>
    <w:rsid w:val="1E0F338F"/>
    <w:rsid w:val="2018143C"/>
    <w:rsid w:val="25575218"/>
    <w:rsid w:val="26D05A9B"/>
    <w:rsid w:val="34106FEC"/>
    <w:rsid w:val="3786667F"/>
    <w:rsid w:val="3F42172A"/>
    <w:rsid w:val="3F467C2D"/>
    <w:rsid w:val="461D1647"/>
    <w:rsid w:val="46FE7986"/>
    <w:rsid w:val="4D4B381F"/>
    <w:rsid w:val="528A50BA"/>
    <w:rsid w:val="552C2BA5"/>
    <w:rsid w:val="5B247656"/>
    <w:rsid w:val="649321A6"/>
    <w:rsid w:val="67756E22"/>
    <w:rsid w:val="69A0452E"/>
    <w:rsid w:val="6D4708EC"/>
    <w:rsid w:val="71A70265"/>
    <w:rsid w:val="73AF48AE"/>
    <w:rsid w:val="77E14708"/>
    <w:rsid w:val="79745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2020-03-19T01:43:00Z</dcterms:created>
  <dc:creator>单庆怡</dc:creator>
  <cp:lastModifiedBy>小容</cp:lastModifiedBy>
  <dcterms:modified xsi:type="dcterms:W3CDTF">2020-03-23T06:19:24Z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2052-11.1.0.9566</vt:lpwstr>
  </property>
</Properties>
</file>